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right"/>
        <w:rPr>
          <w:rFonts w:hint="eastAsia" w:ascii="仿宋" w:hAnsi="仿宋" w:eastAsia="仿宋"/>
          <w:color w:val="auto"/>
          <w:sz w:val="28"/>
          <w:szCs w:val="28"/>
        </w:rPr>
      </w:pPr>
    </w:p>
    <w:p>
      <w:pPr>
        <w:pStyle w:val="8"/>
        <w:jc w:val="both"/>
        <w:rPr>
          <w:rFonts w:hint="eastAsia" w:ascii="仿宋" w:hAnsi="仿宋" w:eastAsia="仿宋"/>
          <w:color w:val="auto"/>
          <w:sz w:val="28"/>
          <w:szCs w:val="28"/>
        </w:rPr>
      </w:pPr>
    </w:p>
    <w:p>
      <w:pPr>
        <w:pStyle w:val="8"/>
        <w:jc w:val="both"/>
        <w:rPr>
          <w:rFonts w:hint="eastAsia" w:ascii="仿宋" w:hAnsi="仿宋" w:eastAsia="仿宋"/>
          <w:color w:val="auto"/>
          <w:sz w:val="28"/>
          <w:szCs w:val="28"/>
        </w:rPr>
      </w:pPr>
    </w:p>
    <w:p>
      <w:pPr>
        <w:pStyle w:val="8"/>
        <w:jc w:val="right"/>
        <w:rPr>
          <w:rFonts w:hint="eastAsia" w:ascii="仿宋" w:hAnsi="仿宋" w:eastAsia="仿宋"/>
          <w:color w:val="auto"/>
          <w:sz w:val="30"/>
          <w:szCs w:val="30"/>
        </w:rPr>
      </w:pPr>
      <w:r>
        <w:rPr>
          <w:rFonts w:hint="eastAsia" w:ascii="仿宋" w:hAnsi="仿宋" w:eastAsia="仿宋"/>
          <w:color w:val="auto"/>
          <w:sz w:val="30"/>
          <w:szCs w:val="30"/>
        </w:rPr>
        <w:t>洪区环审</w:t>
      </w:r>
      <w:r>
        <w:rPr>
          <w:rFonts w:hint="eastAsia" w:ascii="微软雅黑" w:hAnsi="微软雅黑" w:eastAsia="微软雅黑" w:cs="微软雅黑"/>
          <w:color w:val="auto"/>
          <w:sz w:val="30"/>
          <w:szCs w:val="30"/>
        </w:rPr>
        <w:t>〔</w:t>
      </w:r>
      <w:r>
        <w:rPr>
          <w:rFonts w:hint="eastAsia" w:ascii="仿宋" w:hAnsi="仿宋" w:eastAsia="仿宋"/>
          <w:color w:val="auto"/>
          <w:sz w:val="30"/>
          <w:szCs w:val="30"/>
        </w:rPr>
        <w:t>201</w:t>
      </w:r>
      <w:r>
        <w:rPr>
          <w:rFonts w:hint="eastAsia" w:ascii="仿宋" w:hAnsi="仿宋" w:eastAsia="仿宋"/>
          <w:color w:val="auto"/>
          <w:sz w:val="30"/>
          <w:szCs w:val="30"/>
          <w:lang w:val="en-US" w:eastAsia="zh-CN"/>
        </w:rPr>
        <w:t>9</w:t>
      </w:r>
      <w:r>
        <w:rPr>
          <w:rFonts w:hint="eastAsia" w:ascii="微软雅黑" w:hAnsi="微软雅黑" w:eastAsia="微软雅黑" w:cs="微软雅黑"/>
          <w:color w:val="auto"/>
          <w:sz w:val="30"/>
          <w:szCs w:val="30"/>
        </w:rPr>
        <w:t>〕</w:t>
      </w:r>
      <w:r>
        <w:rPr>
          <w:rFonts w:hint="eastAsia" w:ascii="仿宋" w:hAnsi="仿宋" w:eastAsia="仿宋"/>
          <w:color w:val="auto"/>
          <w:sz w:val="30"/>
          <w:szCs w:val="30"/>
          <w:lang w:val="en-US" w:eastAsia="zh-CN"/>
        </w:rPr>
        <w:t>1</w:t>
      </w:r>
      <w:r>
        <w:rPr>
          <w:rFonts w:hint="eastAsia" w:ascii="仿宋" w:hAnsi="仿宋" w:eastAsia="仿宋"/>
          <w:color w:val="auto"/>
          <w:sz w:val="30"/>
          <w:szCs w:val="30"/>
        </w:rPr>
        <w:t>号</w:t>
      </w:r>
    </w:p>
    <w:p>
      <w:pPr>
        <w:pStyle w:val="8"/>
        <w:jc w:val="right"/>
        <w:rPr>
          <w:rFonts w:hint="eastAsia" w:ascii="宋体" w:hAnsi="宋体"/>
          <w:color w:val="auto"/>
          <w:sz w:val="28"/>
          <w:szCs w:val="28"/>
        </w:rPr>
      </w:pPr>
      <w:r>
        <w:rPr>
          <w:rFonts w:hint="eastAsia" w:ascii="宋体" w:hAnsi="宋体"/>
          <w:color w:val="auto"/>
          <w:sz w:val="28"/>
          <w:szCs w:val="28"/>
        </w:rPr>
        <w:t xml:space="preserve"> </w:t>
      </w:r>
    </w:p>
    <w:p>
      <w:pPr>
        <w:pStyle w:val="8"/>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2"/>
          <w:szCs w:val="42"/>
        </w:rPr>
      </w:pPr>
      <w:r>
        <w:rPr>
          <w:rFonts w:hint="eastAsia" w:ascii="方正小标宋简体" w:hAnsi="方正小标宋简体" w:eastAsia="方正小标宋简体" w:cs="方正小标宋简体"/>
          <w:bCs/>
          <w:color w:val="auto"/>
          <w:sz w:val="42"/>
          <w:szCs w:val="42"/>
        </w:rPr>
        <w:t>关于湖南省天腾旅游开发有限公司</w:t>
      </w:r>
      <w:r>
        <w:rPr>
          <w:rFonts w:hint="eastAsia" w:ascii="方正小标宋简体" w:hAnsi="方正小标宋简体" w:eastAsia="方正小标宋简体" w:cs="方正小标宋简体"/>
          <w:bCs/>
          <w:color w:val="auto"/>
          <w:sz w:val="42"/>
          <w:szCs w:val="42"/>
          <w:lang w:val="en-US" w:eastAsia="zh-CN"/>
        </w:rPr>
        <w:t>永达格兰德度假酒店项目</w:t>
      </w:r>
      <w:r>
        <w:rPr>
          <w:rFonts w:hint="eastAsia" w:ascii="方正小标宋简体" w:hAnsi="方正小标宋简体" w:eastAsia="方正小标宋简体" w:cs="方正小标宋简体"/>
          <w:bCs/>
          <w:color w:val="auto"/>
          <w:sz w:val="42"/>
          <w:szCs w:val="42"/>
        </w:rPr>
        <w:t>环境影响报告</w:t>
      </w:r>
      <w:r>
        <w:rPr>
          <w:rFonts w:hint="eastAsia" w:ascii="方正小标宋简体" w:hAnsi="方正小标宋简体" w:eastAsia="方正小标宋简体" w:cs="方正小标宋简体"/>
          <w:bCs/>
          <w:color w:val="auto"/>
          <w:sz w:val="42"/>
          <w:szCs w:val="42"/>
          <w:lang w:eastAsia="zh-CN"/>
        </w:rPr>
        <w:t>表</w:t>
      </w:r>
      <w:r>
        <w:rPr>
          <w:rFonts w:hint="eastAsia" w:ascii="方正小标宋简体" w:hAnsi="方正小标宋简体" w:eastAsia="方正小标宋简体" w:cs="方正小标宋简体"/>
          <w:bCs/>
          <w:color w:val="auto"/>
          <w:sz w:val="42"/>
          <w:szCs w:val="42"/>
        </w:rPr>
        <w:t>的批复</w:t>
      </w:r>
    </w:p>
    <w:p>
      <w:pPr>
        <w:pStyle w:val="8"/>
        <w:keepNext w:val="0"/>
        <w:keepLines w:val="0"/>
        <w:pageBreakBefore w:val="0"/>
        <w:widowControl/>
        <w:kinsoku/>
        <w:wordWrap/>
        <w:overflowPunct/>
        <w:topLinePunct w:val="0"/>
        <w:autoSpaceDE/>
        <w:bidi w:val="0"/>
        <w:adjustRightInd/>
        <w:snapToGrid/>
        <w:spacing w:line="600" w:lineRule="exact"/>
        <w:ind w:firstLine="420"/>
        <w:textAlignment w:val="auto"/>
        <w:rPr>
          <w:rFonts w:hint="eastAsia" w:ascii="黑体" w:eastAsia="黑体"/>
          <w:b/>
          <w:bCs/>
          <w:color w:val="auto"/>
          <w:sz w:val="32"/>
          <w:szCs w:val="32"/>
        </w:rPr>
      </w:pPr>
      <w:r>
        <w:rPr>
          <w:rFonts w:hint="eastAsia" w:ascii="黑体" w:eastAsia="黑体"/>
          <w:b/>
          <w:bCs/>
          <w:color w:val="auto"/>
          <w:sz w:val="32"/>
          <w:szCs w:val="32"/>
        </w:rPr>
        <w:t xml:space="preserve"> </w:t>
      </w:r>
    </w:p>
    <w:p>
      <w:pPr>
        <w:pStyle w:val="8"/>
        <w:keepNext w:val="0"/>
        <w:keepLines w:val="0"/>
        <w:pageBreakBefore w:val="0"/>
        <w:widowControl/>
        <w:kinsoku/>
        <w:wordWrap/>
        <w:overflowPunct/>
        <w:topLinePunct w:val="0"/>
        <w:autoSpaceDE/>
        <w:bidi w:val="0"/>
        <w:adjustRightInd/>
        <w:snapToGrid/>
        <w:spacing w:line="600" w:lineRule="exac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湖南省天腾旅游开发有限公司：</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你公司呈报的《永达格兰德度假酒店项目环境影响报告表》（以下简称《报告表》）及相关资料收悉。经研究，现批复如下：</w:t>
      </w:r>
    </w:p>
    <w:p>
      <w:pPr>
        <w:pStyle w:val="8"/>
        <w:keepNext w:val="0"/>
        <w:keepLines w:val="0"/>
        <w:pageBreakBefore w:val="0"/>
        <w:widowControl/>
        <w:numPr>
          <w:ilvl w:val="0"/>
          <w:numId w:val="1"/>
        </w:numPr>
        <w:kinsoku/>
        <w:wordWrap/>
        <w:overflowPunct/>
        <w:topLinePunct w:val="0"/>
        <w:autoSpaceDE/>
        <w:bidi w:val="0"/>
        <w:adjustRightInd/>
        <w:snapToGrid/>
        <w:spacing w:line="600" w:lineRule="exact"/>
        <w:ind w:left="0" w:leftChars="0"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你公司拟</w:t>
      </w:r>
      <w:r>
        <w:rPr>
          <w:rFonts w:hint="eastAsia" w:ascii="仿宋" w:hAnsi="仿宋" w:eastAsia="仿宋" w:cs="仿宋"/>
          <w:bCs/>
          <w:color w:val="auto"/>
          <w:sz w:val="32"/>
          <w:szCs w:val="32"/>
        </w:rPr>
        <w:t>投资16000万元</w:t>
      </w:r>
      <w:r>
        <w:rPr>
          <w:rFonts w:hint="eastAsia" w:ascii="仿宋" w:hAnsi="仿宋" w:eastAsia="仿宋" w:cs="仿宋"/>
          <w:b w:val="0"/>
          <w:bCs w:val="0"/>
          <w:color w:val="auto"/>
          <w:sz w:val="32"/>
          <w:szCs w:val="32"/>
          <w:lang w:val="en-US" w:eastAsia="zh-CN"/>
        </w:rPr>
        <w:t>在洪江区桂花园乡川山村贺家冲组建设永达格兰德度假酒店项目，其中环保投资135万元，占项目总投资的0.84%。主要建设内容包括：新建1栋七层酒店主楼和6套酒店休闲配套用户、一座音乐会所和一栋风景酒店，总建筑面积34118.02m</w:t>
      </w:r>
      <w:r>
        <w:rPr>
          <w:rFonts w:hint="eastAsia" w:ascii="仿宋" w:hAnsi="仿宋" w:eastAsia="仿宋" w:cs="仿宋"/>
          <w:b w:val="0"/>
          <w:bCs w:val="0"/>
          <w:color w:val="auto"/>
          <w:sz w:val="32"/>
          <w:szCs w:val="32"/>
          <w:vertAlign w:val="superscript"/>
          <w:lang w:val="en-US" w:eastAsia="zh-CN"/>
        </w:rPr>
        <w:t>2</w:t>
      </w:r>
      <w:r>
        <w:rPr>
          <w:rFonts w:hint="eastAsia" w:ascii="仿宋" w:hAnsi="仿宋" w:eastAsia="仿宋" w:cs="仿宋"/>
          <w:b w:val="0"/>
          <w:bCs w:val="0"/>
          <w:color w:val="auto"/>
          <w:sz w:val="32"/>
          <w:szCs w:val="32"/>
          <w:lang w:val="en-US" w:eastAsia="zh-CN"/>
        </w:rPr>
        <w:t>。根据《报告表》评价结论，在严格按照《报告表》所列规模、地点、内容实施，落实相关污染防治、风险防范措施和本批复要求等前提下，从环境保护角度分析，我局同意该项目建设。</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二、你公司要认真落实《报告表》提出的各项环保措施和要求，严格执行有关环境质量和污染物排放标准，落实环保“三同时”制度，切实加强污染防治设施运行管理与维护，确保各类污染物稳定达标排放。</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w:t>
      </w:r>
      <w:r>
        <w:rPr>
          <w:rFonts w:ascii="仿宋" w:hAnsi="仿宋" w:eastAsia="仿宋" w:cs="仿宋"/>
          <w:i w:val="0"/>
          <w:caps w:val="0"/>
          <w:color w:val="auto"/>
          <w:spacing w:val="0"/>
          <w:sz w:val="32"/>
          <w:szCs w:val="32"/>
          <w:shd w:val="clear" w:fill="FFFFFF"/>
        </w:rPr>
        <w:t>项目建设和运营中要重点做好以下几个方面的工作</w:t>
      </w:r>
      <w:r>
        <w:rPr>
          <w:rFonts w:hint="eastAsia" w:ascii="仿宋" w:hAnsi="仿宋" w:eastAsia="仿宋" w:cs="仿宋"/>
          <w:b w:val="0"/>
          <w:bCs w:val="0"/>
          <w:color w:val="auto"/>
          <w:sz w:val="32"/>
          <w:szCs w:val="32"/>
          <w:lang w:val="en-US" w:eastAsia="zh-CN"/>
        </w:rPr>
        <w:t>：</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1.严格落实施工期各项污染防治措施。严格执行施工期间“六个百分百”环境管理，文明施工。</w:t>
      </w:r>
    </w:p>
    <w:p>
      <w:pPr>
        <w:pStyle w:val="8"/>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 w:val="0"/>
          <w:bCs w:val="0"/>
          <w:color w:val="auto"/>
          <w:sz w:val="32"/>
          <w:szCs w:val="32"/>
          <w:lang w:val="en-US" w:eastAsia="zh-CN"/>
        </w:rPr>
        <w:t>2.严格落实运营期废水治理措施。</w:t>
      </w:r>
      <w:r>
        <w:rPr>
          <w:rFonts w:hint="eastAsia" w:ascii="仿宋" w:hAnsi="仿宋" w:eastAsia="仿宋" w:cs="仿宋"/>
          <w:bCs/>
          <w:color w:val="auto"/>
          <w:sz w:val="32"/>
          <w:szCs w:val="32"/>
        </w:rPr>
        <w:t>该项目营运期不能新增废水排口</w:t>
      </w:r>
      <w:r>
        <w:rPr>
          <w:rFonts w:hint="eastAsia" w:ascii="仿宋" w:hAnsi="仿宋" w:eastAsia="仿宋" w:cs="仿宋"/>
          <w:bCs/>
          <w:color w:val="auto"/>
          <w:sz w:val="32"/>
          <w:szCs w:val="32"/>
          <w:lang w:val="en-US" w:eastAsia="zh-CN"/>
        </w:rPr>
        <w:t>。</w:t>
      </w:r>
      <w:r>
        <w:rPr>
          <w:rFonts w:hint="eastAsia" w:ascii="仿宋" w:hAnsi="仿宋" w:eastAsia="仿宋" w:cs="仿宋"/>
          <w:bCs/>
          <w:color w:val="auto"/>
          <w:sz w:val="32"/>
          <w:szCs w:val="32"/>
        </w:rPr>
        <w:t>所有废水（工作人员生活污水、客房废水、餐饮废水、商业公建设施废水以及泳池废水）必须经化粪池预处理达到《污水综合排放标准》（GB8978-1996）表4中三级标准后，方可排入城镇污水处理厂。</w:t>
      </w:r>
      <w:bookmarkStart w:id="0" w:name="_GoBack"/>
      <w:bookmarkEnd w:id="0"/>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b w:val="0"/>
          <w:bCs w:val="0"/>
          <w:color w:val="auto"/>
          <w:sz w:val="32"/>
          <w:szCs w:val="32"/>
          <w:lang w:val="en-US" w:eastAsia="zh-CN"/>
        </w:rPr>
        <w:t>3.严格落实运营期大气污染防治措施。</w:t>
      </w:r>
      <w:r>
        <w:rPr>
          <w:rFonts w:hint="eastAsia" w:ascii="仿宋" w:hAnsi="仿宋" w:eastAsia="仿宋" w:cs="仿宋"/>
          <w:bCs/>
          <w:color w:val="auto"/>
          <w:sz w:val="32"/>
          <w:szCs w:val="32"/>
        </w:rPr>
        <w:t>该项目餐厅油烟</w:t>
      </w:r>
      <w:r>
        <w:rPr>
          <w:rFonts w:hint="eastAsia" w:ascii="仿宋" w:hAnsi="仿宋" w:eastAsia="仿宋" w:cs="仿宋"/>
          <w:bCs/>
          <w:color w:val="auto"/>
          <w:sz w:val="32"/>
          <w:szCs w:val="32"/>
          <w:lang w:eastAsia="zh-CN"/>
        </w:rPr>
        <w:t>废气经</w:t>
      </w:r>
      <w:r>
        <w:rPr>
          <w:rFonts w:hint="eastAsia" w:ascii="仿宋" w:hAnsi="仿宋" w:eastAsia="仿宋" w:cs="仿宋"/>
          <w:bCs/>
          <w:color w:val="auto"/>
          <w:sz w:val="32"/>
          <w:szCs w:val="32"/>
        </w:rPr>
        <w:t>静电油烟处理器进行处理达到《饮食业油烟排放标准（试行）》（GB18483-2001）中型标准后，</w:t>
      </w:r>
      <w:r>
        <w:rPr>
          <w:rFonts w:hint="eastAsia" w:ascii="仿宋" w:hAnsi="仿宋" w:eastAsia="仿宋" w:cs="仿宋"/>
          <w:bCs/>
          <w:color w:val="auto"/>
          <w:sz w:val="32"/>
          <w:szCs w:val="32"/>
          <w:u w:val="none"/>
          <w:lang w:eastAsia="zh-CN"/>
        </w:rPr>
        <w:t>通过高于楼顶</w:t>
      </w:r>
      <w:r>
        <w:rPr>
          <w:rFonts w:hint="eastAsia" w:ascii="仿宋" w:hAnsi="仿宋" w:eastAsia="仿宋" w:cs="仿宋"/>
          <w:bCs/>
          <w:color w:val="auto"/>
          <w:sz w:val="32"/>
          <w:szCs w:val="32"/>
          <w:u w:val="none"/>
          <w:lang w:val="en-US" w:eastAsia="zh-CN"/>
        </w:rPr>
        <w:t>3</w:t>
      </w:r>
      <w:r>
        <w:rPr>
          <w:rFonts w:hint="eastAsia" w:ascii="仿宋" w:hAnsi="仿宋" w:eastAsia="仿宋" w:cs="仿宋"/>
          <w:bCs/>
          <w:color w:val="auto"/>
          <w:sz w:val="32"/>
          <w:szCs w:val="32"/>
          <w:u w:val="none"/>
          <w:lang w:eastAsia="zh-CN"/>
        </w:rPr>
        <w:t>米的排气筒</w:t>
      </w:r>
      <w:r>
        <w:rPr>
          <w:rFonts w:hint="eastAsia" w:ascii="仿宋" w:hAnsi="仿宋" w:eastAsia="仿宋" w:cs="仿宋"/>
          <w:bCs/>
          <w:color w:val="auto"/>
          <w:sz w:val="32"/>
          <w:szCs w:val="32"/>
          <w:u w:val="none"/>
        </w:rPr>
        <w:t>排至</w:t>
      </w:r>
      <w:r>
        <w:rPr>
          <w:rFonts w:hint="eastAsia" w:ascii="仿宋" w:hAnsi="仿宋" w:eastAsia="仿宋" w:cs="仿宋"/>
          <w:bCs/>
          <w:color w:val="auto"/>
          <w:sz w:val="32"/>
          <w:szCs w:val="32"/>
          <w:u w:val="none"/>
          <w:lang w:eastAsia="zh-CN"/>
        </w:rPr>
        <w:t>外环境；</w:t>
      </w:r>
      <w:r>
        <w:rPr>
          <w:rFonts w:hint="eastAsia" w:ascii="仿宋" w:hAnsi="仿宋" w:eastAsia="仿宋" w:cs="仿宋"/>
          <w:bCs/>
          <w:color w:val="auto"/>
          <w:sz w:val="32"/>
          <w:szCs w:val="32"/>
          <w:lang w:eastAsia="zh-CN"/>
        </w:rPr>
        <w:t>垃圾收集点、化粪池恶臭、柴油发电机尾气等无组织废气，通过无组织排放管理与绿化隔离，确保无组织排放废气厂界浓度符合《大气污染物综合排放标准》（GB16297-1996）中表2之无组织排放监控浓度限值要求。</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 严格落实运营期固体废物污染防治措施。该项目生活垃圾交由环卫部门统一处置；酒店餐厅餐厨垃圾、隔油池浮油及沉渣，交由有资质、处理能力的单位进行处理。</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5.严格落实运营期噪声污染防治措施。</w:t>
      </w:r>
      <w:r>
        <w:rPr>
          <w:rFonts w:hint="eastAsia" w:ascii="仿宋" w:hAnsi="仿宋" w:eastAsia="仿宋" w:cs="仿宋"/>
          <w:bCs/>
          <w:color w:val="auto"/>
          <w:sz w:val="32"/>
          <w:szCs w:val="32"/>
        </w:rPr>
        <w:t>项目噪声应</w:t>
      </w:r>
      <w:r>
        <w:rPr>
          <w:rFonts w:hint="eastAsia" w:ascii="仿宋" w:hAnsi="仿宋" w:eastAsia="仿宋" w:cs="仿宋"/>
          <w:b w:val="0"/>
          <w:bCs w:val="0"/>
          <w:color w:val="auto"/>
          <w:sz w:val="32"/>
          <w:szCs w:val="32"/>
          <w:lang w:val="en-US" w:eastAsia="zh-CN"/>
        </w:rPr>
        <w:t>采取减震、隔声、消声等措施处理，达到《社会生活环境噪声排放标准》（GB22337-2008）中的2类和4类标准。</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6.严格落实《报告表》提出的风险防范措施。按要求编制突发环境事件应急预案并向环保部门备案。配备专职环保管理人员，建立健全环境管理制度，加强环保设施管理和日常维护，严防突发环境事件。</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四、该项目的环境保护设施应与主体工程同时设计、同时施工、同时投产使用。项目竣工后，建设单位应当按照相关规定和要求，对配套建设的环境保护设施进行验收，经验收合格后方可投入生产。</w:t>
      </w:r>
    </w:p>
    <w:p>
      <w:pPr>
        <w:pStyle w:val="8"/>
        <w:keepNext w:val="0"/>
        <w:keepLines w:val="0"/>
        <w:pageBreakBefore w:val="0"/>
        <w:widowControl/>
        <w:kinsoku/>
        <w:wordWrap/>
        <w:overflowPunct/>
        <w:topLinePunct w:val="0"/>
        <w:autoSpaceDE/>
        <w:autoSpaceDN w:val="0"/>
        <w:bidi w:val="0"/>
        <w:adjustRightInd/>
        <w:snapToGrid/>
        <w:spacing w:line="600" w:lineRule="exact"/>
        <w:ind w:left="0" w:leftChars="0" w:right="0" w:rightChars="0" w:firstLine="640"/>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五、该项目建设及运营期间的环境监管由怀化市生态环境局洪江区分局监察大队负责，</w:t>
      </w:r>
      <w:r>
        <w:rPr>
          <w:rFonts w:hint="eastAsia" w:ascii="仿宋" w:hAnsi="仿宋" w:eastAsia="仿宋" w:cs="仿宋"/>
          <w:color w:val="auto"/>
          <w:sz w:val="32"/>
          <w:szCs w:val="32"/>
        </w:rPr>
        <w:t>并自觉接受各级</w:t>
      </w:r>
      <w:r>
        <w:rPr>
          <w:rFonts w:hint="eastAsia" w:ascii="仿宋" w:hAnsi="仿宋" w:eastAsia="仿宋" w:cs="仿宋"/>
          <w:color w:val="auto"/>
          <w:sz w:val="32"/>
          <w:szCs w:val="32"/>
          <w:lang w:eastAsia="zh-CN"/>
        </w:rPr>
        <w:t>生态环境</w:t>
      </w:r>
      <w:r>
        <w:rPr>
          <w:rFonts w:hint="eastAsia" w:ascii="仿宋" w:hAnsi="仿宋" w:eastAsia="仿宋" w:cs="仿宋"/>
          <w:color w:val="auto"/>
          <w:sz w:val="32"/>
          <w:szCs w:val="32"/>
          <w:lang w:val="en-US" w:eastAsia="zh-CN"/>
        </w:rPr>
        <w:t>部门</w:t>
      </w:r>
      <w:r>
        <w:rPr>
          <w:rFonts w:hint="eastAsia" w:ascii="仿宋" w:hAnsi="仿宋" w:eastAsia="仿宋" w:cs="仿宋"/>
          <w:color w:val="auto"/>
          <w:sz w:val="32"/>
          <w:szCs w:val="32"/>
        </w:rPr>
        <w:t>的监督检查。</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六、《报告表》经批准后，如项目的性质、工艺、规模、地点和拟采用的防治污染及防止生态破坏的措施发生重大变动或自批准之日起满5年才开工建设，须报我局重新审批或者审核。</w:t>
      </w:r>
    </w:p>
    <w:p>
      <w:pPr>
        <w:pStyle w:val="8"/>
        <w:keepNext w:val="0"/>
        <w:keepLines w:val="0"/>
        <w:pageBreakBefore w:val="0"/>
        <w:widowControl/>
        <w:kinsoku/>
        <w:wordWrap/>
        <w:overflowPunct/>
        <w:topLinePunct w:val="0"/>
        <w:autoSpaceDE/>
        <w:autoSpaceDN w:val="0"/>
        <w:bidi w:val="0"/>
        <w:adjustRightInd/>
        <w:snapToGrid/>
        <w:spacing w:line="600" w:lineRule="exact"/>
        <w:ind w:left="0" w:leftChars="0" w:right="0" w:rightChars="0" w:firstLine="640"/>
        <w:jc w:val="righ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  </w:t>
      </w:r>
    </w:p>
    <w:p>
      <w:pPr>
        <w:pStyle w:val="8"/>
        <w:keepNext w:val="0"/>
        <w:keepLines w:val="0"/>
        <w:pageBreakBefore w:val="0"/>
        <w:widowControl/>
        <w:kinsoku/>
        <w:wordWrap/>
        <w:overflowPunct/>
        <w:topLinePunct w:val="0"/>
        <w:autoSpaceDE/>
        <w:autoSpaceDN w:val="0"/>
        <w:bidi w:val="0"/>
        <w:adjustRightInd/>
        <w:snapToGrid/>
        <w:spacing w:line="600" w:lineRule="exact"/>
        <w:ind w:left="0" w:leftChars="0" w:right="0" w:rightChars="0" w:firstLine="640"/>
        <w:jc w:val="right"/>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 xml:space="preserve"> </w:t>
      </w:r>
      <w:r>
        <w:rPr>
          <w:rFonts w:hint="eastAsia" w:ascii="仿宋" w:hAnsi="仿宋" w:eastAsia="仿宋" w:cs="仿宋"/>
          <w:b w:val="0"/>
          <w:bCs w:val="0"/>
          <w:color w:val="auto"/>
          <w:sz w:val="32"/>
          <w:szCs w:val="32"/>
          <w:lang w:val="en-US" w:eastAsia="zh-CN"/>
        </w:rPr>
        <w:t>怀化市生态环境局洪江区分局</w:t>
      </w:r>
    </w:p>
    <w:p>
      <w:pPr>
        <w:pStyle w:val="8"/>
        <w:keepNext w:val="0"/>
        <w:keepLines w:val="0"/>
        <w:pageBreakBefore w:val="0"/>
        <w:widowControl/>
        <w:kinsoku/>
        <w:wordWrap/>
        <w:overflowPunct/>
        <w:topLinePunct w:val="0"/>
        <w:autoSpaceDE/>
        <w:autoSpaceDN w:val="0"/>
        <w:bidi w:val="0"/>
        <w:adjustRightInd/>
        <w:snapToGrid/>
        <w:spacing w:line="600" w:lineRule="exact"/>
        <w:ind w:left="0" w:leftChars="0" w:right="0" w:rightChars="0" w:firstLine="640"/>
        <w:jc w:val="center"/>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F78057"/>
    <w:multiLevelType w:val="singleLevel"/>
    <w:tmpl w:val="F3F780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2343E"/>
    <w:rsid w:val="023758FE"/>
    <w:rsid w:val="08F2343E"/>
    <w:rsid w:val="0DCF58FC"/>
    <w:rsid w:val="14ED7C87"/>
    <w:rsid w:val="2138353C"/>
    <w:rsid w:val="23814970"/>
    <w:rsid w:val="24F85124"/>
    <w:rsid w:val="26814D95"/>
    <w:rsid w:val="274C0C94"/>
    <w:rsid w:val="417E075C"/>
    <w:rsid w:val="446F2BAE"/>
    <w:rsid w:val="462B4D96"/>
    <w:rsid w:val="4A5D690D"/>
    <w:rsid w:val="5B8765CA"/>
    <w:rsid w:val="68D92009"/>
    <w:rsid w:val="6B507B1C"/>
    <w:rsid w:val="71DE0EC9"/>
    <w:rsid w:val="7275435F"/>
    <w:rsid w:val="7B920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yperlink"/>
    <w:basedOn w:val="4"/>
    <w:qFormat/>
    <w:uiPriority w:val="0"/>
    <w:rPr>
      <w:color w:val="333333"/>
      <w:u w:val="none"/>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2019-03-04T07:57:00Z</dcterms:created>
  <dc:creator>左脸明媚右脸悲伤1407724796</dc:creator>
  <cp:lastModifiedBy>左脸明媚右脸悲伤1407724796</cp:lastModifiedBy>
  <cp:lastPrinted>2019-12-31T03:30:32Z</cp:lastPrinted>
  <dcterms:modified xsi:type="dcterms:W3CDTF">2019-12-31T03:30:40Z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