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p>
    <w:p>
      <w:pPr>
        <w:ind w:firstLine="1104" w:firstLineChars="25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湖南省政府采购电子卖场</w:t>
      </w:r>
    </w:p>
    <w:p>
      <w:pPr>
        <w:ind w:firstLine="1104" w:firstLineChars="25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供应商入驻须知</w:t>
      </w:r>
    </w:p>
    <w:p>
      <w:pPr>
        <w:ind w:firstLine="1104" w:firstLineChars="250"/>
        <w:jc w:val="center"/>
        <w:rPr>
          <w:rFonts w:hint="eastAsia" w:ascii="仿宋_GB2312" w:hAnsi="仿宋_GB2312" w:eastAsia="仿宋_GB2312" w:cs="仿宋_GB2312"/>
          <w:b/>
          <w:bCs/>
          <w:sz w:val="44"/>
          <w:szCs w:val="44"/>
        </w:rPr>
      </w:pPr>
    </w:p>
    <w:p>
      <w:pPr>
        <w:widowControl w:val="0"/>
        <w:wordWrap/>
        <w:adjustRightInd/>
        <w:snapToGrid/>
        <w:spacing w:before="0" w:after="0" w:line="240" w:lineRule="auto"/>
        <w:ind w:left="0" w:leftChars="0" w:right="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一</w:t>
      </w:r>
      <w:r>
        <w:rPr>
          <w:rFonts w:hint="eastAsia" w:ascii="仿宋_GB2312" w:eastAsia="仿宋_GB2312"/>
          <w:b/>
          <w:bCs/>
          <w:sz w:val="32"/>
          <w:szCs w:val="32"/>
        </w:rPr>
        <w:t>、网上注册：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未列入严重失信行为名单和经营异常名录的法人和其他组织，同意遵守《湖南省政府采购电子卖场入驻承诺书》即可入驻湖南省政府采购电子卖场。</w:t>
      </w:r>
    </w:p>
    <w:p>
      <w:pPr>
        <w:tabs>
          <w:tab w:val="left" w:pos="126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供应商登录湖南省政府采购网（http://www.ccgp-hunan.gov.cn/）或者湖南省政府采购电子卖场（https://hunan.zcygov.cn/），填写单位名称、管理员手机号（管理员手机号必须与银行增信登记的手机号码保持一致）进行注册，注册区划选择湖南省本级。</w:t>
      </w:r>
    </w:p>
    <w:p>
      <w:pPr>
        <w:tabs>
          <w:tab w:val="left" w:pos="105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供应商注册时录入单位基本信息、基本资质、特定资质、信用信息、出资人、财务信息、人员信息管理。其中法律法规规定需特定资质、资格的供应商和小微企业、监狱企业、福利企业，可上传相应证明材料，享受相关政策优惠。</w:t>
      </w:r>
    </w:p>
    <w:p>
      <w:pPr>
        <w:pStyle w:val="9"/>
        <w:numPr>
          <w:ilvl w:val="0"/>
          <w:numId w:val="1"/>
        </w:numPr>
        <w:ind w:left="1060" w:leftChars="0" w:hanging="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基本信息填报企业所属类型，如果是小微企业、监狱企业、福利企业等，并上传相应的证明材料，竞价交易流程中系统自动按支持节能环保产品、两型产品以及小微企业等政策规定的最高比例计算价格扣除。</w:t>
      </w:r>
    </w:p>
    <w:p>
      <w:pPr>
        <w:pStyle w:val="9"/>
        <w:numPr>
          <w:ilvl w:val="0"/>
          <w:numId w:val="1"/>
        </w:numPr>
        <w:ind w:left="1060" w:leftChars="0" w:hanging="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基本资质主要包含营业执照、社会保险证、组织机构代码证、税务登记证，供应商可以根据单位资质类型（五证合一/三证合一）进行填报资质信息并上传相应的证件扫描件。</w:t>
      </w:r>
    </w:p>
    <w:p>
      <w:pPr>
        <w:pStyle w:val="9"/>
        <w:numPr>
          <w:ilvl w:val="0"/>
          <w:numId w:val="2"/>
        </w:numPr>
        <w:ind w:left="1060" w:leftChars="0" w:hanging="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特定资质主要指企业在行业领域内获得专业技术能力的证明材料，例如建筑业企业资质、安全生产许可证、计算机信息专业资质等，如果供应商有相应的资质，请填写资质信息并上传相应证件扫描件。</w:t>
      </w:r>
    </w:p>
    <w:p>
      <w:pPr>
        <w:pStyle w:val="9"/>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信用信息填写企业获得信用等级证书。</w:t>
      </w:r>
    </w:p>
    <w:p>
      <w:pPr>
        <w:pStyle w:val="9"/>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出资人填写企业出资人相关信息。</w:t>
      </w:r>
    </w:p>
    <w:p>
      <w:pPr>
        <w:pStyle w:val="9"/>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财务信息填写企业近期的财务信息。</w:t>
      </w:r>
    </w:p>
    <w:p>
      <w:pPr>
        <w:pStyle w:val="9"/>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人员信息主要填写企业法定代表人。</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企业信息资质填写完毕后保存并提交平台运营商核验，核验通过后手机将收到短信提示已注册成功。</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供应商注册成功后，在电子卖场供应商入驻流程中下载《湖南省政府采购电子卖场入驻承诺书》，盖上单位公章并由法人签字后，上传至电子卖场。入驻承诺书核验通过后，供应商入驻成功。</w:t>
      </w:r>
    </w:p>
    <w:p>
      <w:pPr>
        <w:widowControl w:val="0"/>
        <w:wordWrap/>
        <w:adjustRightInd/>
        <w:snapToGrid/>
        <w:spacing w:before="0" w:after="0" w:line="240" w:lineRule="auto"/>
        <w:ind w:left="0" w:leftChars="0" w:right="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二、登记商品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商品标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原产地在境外的进口商品，应提供报关证明，核准后方可登记入库。不符合国家强制性标准的商品不得上柜或参与竞价。</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登记商品：按财政部规定的品目分类标准和电子卖场的商品分类标准分类登记所有商品，包括商品名称、型号规格、注册商标、最高限价、政府采购折扣以及参数配置或服务内容、检验报告等信息。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商品包括货物和服务，独立于商品的配件、服务，应作为独立的商品，分开计价，但市场报价中包含的配件、服务不得分拆。未登记入库的商品不得上柜销售或参与竞价。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pPr>
        <w:numPr>
          <w:ilvl w:val="0"/>
          <w:numId w:val="0"/>
        </w:numPr>
        <w:tabs>
          <w:tab w:val="left" w:pos="105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类标识：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pPr>
        <w:widowControl w:val="0"/>
        <w:wordWrap/>
        <w:adjustRightInd/>
        <w:snapToGrid/>
        <w:spacing w:before="0" w:after="0" w:line="240" w:lineRule="auto"/>
        <w:ind w:left="0" w:leftChars="0" w:right="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三、开具增信：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供应商办理增信后，方可在电子卖场开展相关业务。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上柜商品，信用额度应不低于3万元、时间不短于一年；授权代理，信用额度应不低于10万元、时间不短于一年；参与竞价项目报价，信用额度应不低于竞价项目预算金额的5%、有效期不短于项目时间要求。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驻供应商上柜商品、参与报价、签订合同以及品牌商授权其他入驻供应商代理时，系统将按以下要求验证电子增信并锁定信用额度：入驻供应商的电子增信未锁定信用余额、时间达不到要求时，不得办理相关业务和报价。</w:t>
      </w:r>
    </w:p>
    <w:p>
      <w:pPr>
        <w:widowControl w:val="0"/>
        <w:wordWrap/>
        <w:adjustRightInd/>
        <w:snapToGrid/>
        <w:spacing w:before="0" w:after="0" w:line="240" w:lineRule="auto"/>
        <w:ind w:left="0" w:leftChars="0" w:right="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四、电子卖场问题咨询：</w:t>
      </w:r>
    </w:p>
    <w:p>
      <w:pPr>
        <w:pStyle w:val="9"/>
        <w:numPr>
          <w:ilvl w:val="0"/>
          <w:numId w:val="0"/>
        </w:numPr>
        <w:tabs>
          <w:tab w:val="left" w:pos="126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客服热线：4008817190；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湖南电子卖场</w:t>
      </w:r>
      <w:r>
        <w:rPr>
          <w:rFonts w:hint="eastAsia" w:ascii="仿宋_GB2312" w:hAnsi="仿宋_GB2312" w:eastAsia="仿宋_GB2312" w:cs="仿宋_GB2312"/>
          <w:sz w:val="32"/>
          <w:szCs w:val="32"/>
        </w:rPr>
        <w:t>供应商钉钉⑥群（</w:t>
      </w:r>
      <w:r>
        <w:rPr>
          <w:rFonts w:hint="eastAsia" w:ascii="仿宋_GB2312" w:hAnsi="仿宋_GB2312" w:eastAsia="仿宋_GB2312" w:cs="仿宋_GB2312"/>
          <w:sz w:val="32"/>
          <w:szCs w:val="32"/>
          <w:lang w:val="en-US" w:eastAsia="zh-CN"/>
        </w:rPr>
        <w:t>30682808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或钉钉</w:t>
      </w:r>
      <w:r>
        <w:rPr>
          <w:rFonts w:hint="eastAsia" w:ascii="仿宋_GB2312" w:hAnsi="仿宋_GB2312" w:eastAsia="仿宋_GB2312" w:cs="仿宋_GB2312"/>
          <w:sz w:val="32"/>
          <w:szCs w:val="32"/>
        </w:rPr>
        <w:t>⑦群（</w:t>
      </w:r>
      <w:r>
        <w:rPr>
          <w:rFonts w:hint="eastAsia" w:ascii="仿宋_GB2312" w:hAnsi="仿宋_GB2312" w:eastAsia="仿宋_GB2312" w:cs="仿宋_GB2312"/>
          <w:sz w:val="32"/>
          <w:szCs w:val="32"/>
          <w:lang w:val="en-US" w:eastAsia="zh-CN"/>
        </w:rPr>
        <w:t>32648848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两个群加入一个即可，加入时，请注明公司名称和人员信息。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在线咨询（采小蜜）点击湖南省政府采购电子卖场电子网址右侧采宝咨询：</w:t>
      </w:r>
    </w:p>
    <w:p>
      <w:pPr>
        <w:pStyle w:val="9"/>
        <w:rPr>
          <w:rStyle w:val="8"/>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"https://ics.zcygov.cn/robot/?accessChannels=CAI_XIAOMI&amp;utm=a0017.262d36e7.cc001.d1001.f9936a50ef0a11e9bde24bb441ad16a1"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https://ics.zcygov.cn/robot/?accessChannels=CAI_XIAOMI&amp;utm=a0017.262d36e7.cc001.d1001.f9936a50ef0a11e9bde24bb441ad16a1</w:t>
      </w:r>
      <w:r>
        <w:rPr>
          <w:rFonts w:hint="eastAsia" w:ascii="仿宋_GB2312" w:hAnsi="仿宋_GB2312" w:eastAsia="仿宋_GB2312" w:cs="仿宋_GB2312"/>
          <w:sz w:val="32"/>
          <w:szCs w:val="32"/>
        </w:rPr>
        <w:fldChar w:fldCharType="end"/>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帮助中心（常见问题）：</w:t>
      </w:r>
    </w:p>
    <w:p>
      <w:pPr>
        <w:pStyle w:val="9"/>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fldChar w:fldCharType="begin"/>
      </w:r>
      <w:r>
        <w:rPr>
          <w:rStyle w:val="8"/>
          <w:rFonts w:hint="eastAsia" w:ascii="仿宋_GB2312" w:hAnsi="仿宋_GB2312" w:eastAsia="仿宋_GB2312" w:cs="仿宋_GB2312"/>
          <w:sz w:val="32"/>
          <w:szCs w:val="32"/>
        </w:rPr>
        <w:instrText xml:space="preserve"> HYPERLINK "https://help.zcy.gov.cn/" </w:instrText>
      </w:r>
      <w:r>
        <w:rPr>
          <w:rStyle w:val="8"/>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https://help.zcy.gov.cn/</w:t>
      </w:r>
      <w:r>
        <w:rPr>
          <w:rStyle w:val="8"/>
          <w:rFonts w:hint="eastAsia" w:ascii="仿宋_GB2312" w:hAnsi="仿宋_GB2312" w:eastAsia="仿宋_GB2312" w:cs="仿宋_GB2312"/>
          <w:sz w:val="32"/>
          <w:szCs w:val="32"/>
        </w:rPr>
        <w:fldChar w:fldCharType="end"/>
      </w:r>
    </w:p>
    <w:p>
      <w:pPr>
        <w:pStyle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自助留言（问题反馈）：</w:t>
      </w:r>
    </w:p>
    <w:p>
      <w:pPr>
        <w:pStyle w:val="9"/>
        <w:rPr>
          <w:rStyle w:val="8"/>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"https://customer.zcy.gov.cn/feedback"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https://customer.zcy.gov.cn/feedback</w:t>
      </w:r>
      <w:r>
        <w:rPr>
          <w:rFonts w:hint="eastAsia" w:ascii="仿宋_GB2312" w:hAnsi="仿宋_GB2312" w:eastAsia="仿宋_GB2312" w:cs="仿宋_GB2312"/>
          <w:sz w:val="32"/>
          <w:szCs w:val="32"/>
        </w:rPr>
        <w:fldChar w:fldCharType="end"/>
      </w: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pStyle w:val="9"/>
        <w:ind w:left="1060" w:firstLine="0" w:firstLineChars="0"/>
        <w:rPr>
          <w:rStyle w:val="8"/>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电子增信办理流程</w:t>
      </w:r>
    </w:p>
    <w:p>
      <w:pPr>
        <w:jc w:val="both"/>
        <w:rPr>
          <w:rFonts w:hint="eastAsia" w:ascii="仿宋_GB2312" w:hAnsi="仿宋_GB2312" w:eastAsia="仿宋_GB2312" w:cs="仿宋_GB2312"/>
          <w:b/>
          <w:sz w:val="32"/>
          <w:szCs w:val="32"/>
          <w:lang w:val="en-US" w:eastAsia="zh-CN"/>
        </w:rPr>
      </w:pPr>
    </w:p>
    <w:p>
      <w:pPr>
        <w:ind w:firstLine="643" w:firstLineChars="200"/>
        <w:rPr>
          <w:rFonts w:ascii="仿宋_GB2312" w:hAnsi="Calibri" w:eastAsia="仿宋_GB2312" w:cs="Times New Roman"/>
          <w:b/>
          <w:sz w:val="32"/>
          <w:szCs w:val="32"/>
        </w:rPr>
      </w:pPr>
      <w:r>
        <w:rPr>
          <w:rFonts w:hint="eastAsia" w:ascii="仿宋_GB2312" w:eastAsia="仿宋_GB2312" w:cs="Times New Roman"/>
          <w:b/>
          <w:sz w:val="32"/>
          <w:szCs w:val="32"/>
          <w:lang w:eastAsia="zh-CN"/>
        </w:rPr>
        <w:t>一</w:t>
      </w:r>
      <w:r>
        <w:rPr>
          <w:rFonts w:hint="eastAsia" w:ascii="仿宋_GB2312" w:hAnsi="Calibri" w:eastAsia="仿宋_GB2312" w:cs="Times New Roman"/>
          <w:b/>
          <w:sz w:val="32"/>
          <w:szCs w:val="32"/>
        </w:rPr>
        <w:t>、建设银行：</w:t>
      </w:r>
    </w:p>
    <w:p>
      <w:p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开户所需资料：</w:t>
      </w:r>
    </w:p>
    <w:p>
      <w:pPr>
        <w:numPr>
          <w:ilvl w:val="0"/>
          <w:numId w:val="0"/>
        </w:num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营业执照正本原件（缩印到A4纸上）</w:t>
      </w:r>
    </w:p>
    <w:p>
      <w:pPr>
        <w:numPr>
          <w:ilvl w:val="0"/>
          <w:numId w:val="0"/>
        </w:num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法人和经办人身份证原件</w:t>
      </w:r>
    </w:p>
    <w:p>
      <w:pPr>
        <w:numPr>
          <w:ilvl w:val="0"/>
          <w:numId w:val="0"/>
        </w:num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人行基本户开户许可证原件</w:t>
      </w:r>
    </w:p>
    <w:p>
      <w:pPr>
        <w:numPr>
          <w:ilvl w:val="0"/>
          <w:numId w:val="0"/>
        </w:num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单位公章、财务章、私章</w:t>
      </w:r>
    </w:p>
    <w:p>
      <w:pPr>
        <w:numPr>
          <w:ilvl w:val="0"/>
          <w:numId w:val="0"/>
        </w:num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25%以上份额的持股股东身份证正反两面复印件（如</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就不需要）</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一个账户需要一套资料，为节约时间，建议您提前复印好与原件一并带至银行。</w:t>
      </w:r>
    </w:p>
    <w:p>
      <w:pPr>
        <w:tabs>
          <w:tab w:val="left" w:pos="709"/>
          <w:tab w:val="left" w:pos="993"/>
        </w:tabs>
        <w:adjustRightInd w:val="0"/>
        <w:snapToGrid w:val="0"/>
        <w:spacing w:line="360" w:lineRule="auto"/>
        <w:rPr>
          <w:rFonts w:hint="eastAsia" w:ascii="仿宋_GB2312" w:hAnsi="仿宋_GB2312" w:eastAsia="仿宋_GB2312" w:cs="仿宋_GB2312"/>
          <w:b/>
          <w:sz w:val="32"/>
          <w:szCs w:val="32"/>
        </w:rPr>
      </w:pP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联系方式：</w:t>
      </w:r>
    </w:p>
    <w:p>
      <w:pPr>
        <w:numPr>
          <w:ilvl w:val="0"/>
          <w:numId w:val="0"/>
        </w:num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省建行营业部：</w:t>
      </w:r>
    </w:p>
    <w:p>
      <w:p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符瑕联系电话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13875852080；</w:t>
      </w:r>
    </w:p>
    <w:p>
      <w:p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网点地址：湖南长沙市芙蓉区芙蓉中路二段85号。</w:t>
      </w:r>
    </w:p>
    <w:p>
      <w:pPr>
        <w:numPr>
          <w:ilvl w:val="0"/>
          <w:numId w:val="0"/>
        </w:num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2.建行洪江区支行</w:t>
      </w:r>
      <w:r>
        <w:rPr>
          <w:rFonts w:hint="eastAsia" w:ascii="仿宋_GB2312" w:hAnsi="仿宋_GB2312" w:eastAsia="仿宋_GB2312" w:cs="仿宋_GB2312"/>
          <w:sz w:val="32"/>
          <w:szCs w:val="32"/>
        </w:rPr>
        <w:t>：</w:t>
      </w:r>
    </w:p>
    <w:p>
      <w:pPr>
        <w:numPr>
          <w:ilvl w:val="0"/>
          <w:numId w:val="0"/>
        </w:numPr>
        <w:adjustRightInd w:val="0"/>
        <w:snapToGrid w:val="0"/>
        <w:spacing w:line="360" w:lineRule="auto"/>
        <w:ind w:left="640" w:hanging="640" w:hangingChars="200"/>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  翔  18774756255         </w:t>
      </w:r>
    </w:p>
    <w:p>
      <w:pPr>
        <w:adjustRightInd w:val="0"/>
        <w:snapToGrid w:val="0"/>
        <w:spacing w:line="360" w:lineRule="auto"/>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网点地址：</w:t>
      </w:r>
      <w:r>
        <w:rPr>
          <w:rFonts w:hint="eastAsia" w:ascii="仿宋_GB2312" w:hAnsi="仿宋_GB2312" w:eastAsia="仿宋_GB2312" w:cs="仿宋_GB2312"/>
          <w:sz w:val="32"/>
          <w:szCs w:val="32"/>
          <w:lang w:eastAsia="zh-CN"/>
        </w:rPr>
        <w:t>洪江区新民路</w:t>
      </w:r>
    </w:p>
    <w:p>
      <w:pPr>
        <w:widowControl/>
        <w:jc w:val="left"/>
        <w:rPr>
          <w:rFonts w:ascii="仿宋_GB2312" w:hAnsi="Calibri" w:eastAsia="仿宋_GB2312" w:cs="Times New Roman"/>
          <w:b/>
          <w:sz w:val="32"/>
          <w:szCs w:val="32"/>
        </w:rPr>
      </w:pPr>
      <w:r>
        <w:rPr>
          <w:rFonts w:ascii="仿宋_GB2312" w:hAnsi="Calibri" w:eastAsia="仿宋_GB2312" w:cs="Times New Roman"/>
          <w:b/>
          <w:sz w:val="32"/>
          <w:szCs w:val="32"/>
        </w:rPr>
        <w:br w:type="page"/>
      </w:r>
      <w:r>
        <w:rPr>
          <w:rFonts w:hint="eastAsia" w:ascii="仿宋_GB2312" w:eastAsia="仿宋_GB2312" w:cs="Times New Roman"/>
          <w:b/>
          <w:sz w:val="32"/>
          <w:szCs w:val="32"/>
          <w:lang w:val="en-US" w:eastAsia="zh-CN"/>
        </w:rPr>
        <w:t xml:space="preserve">    二</w:t>
      </w:r>
      <w:r>
        <w:rPr>
          <w:rFonts w:hint="eastAsia" w:ascii="仿宋_GB2312" w:hAnsi="Calibri" w:eastAsia="仿宋_GB2312" w:cs="Times New Roman"/>
          <w:b/>
          <w:sz w:val="32"/>
          <w:szCs w:val="32"/>
        </w:rPr>
        <w:t>、</w:t>
      </w:r>
      <w:r>
        <w:rPr>
          <w:rFonts w:ascii="仿宋_GB2312" w:hAnsi="Calibri" w:eastAsia="仿宋_GB2312" w:cs="Times New Roman"/>
          <w:b/>
          <w:sz w:val="32"/>
          <w:szCs w:val="32"/>
        </w:rPr>
        <w:t>招商银行</w:t>
      </w:r>
      <w:r>
        <w:rPr>
          <w:rFonts w:hint="eastAsia" w:ascii="仿宋_GB2312" w:hAnsi="Calibri" w:eastAsia="仿宋_GB2312" w:cs="Times New Roman"/>
          <w:b/>
          <w:sz w:val="32"/>
          <w:szCs w:val="32"/>
        </w:rPr>
        <w:t>：</w:t>
      </w:r>
    </w:p>
    <w:p>
      <w:pPr>
        <w:adjustRightInd w:val="0"/>
        <w:snapToGrid w:val="0"/>
        <w:spacing w:line="360" w:lineRule="auto"/>
        <w:ind w:firstLine="640" w:firstLineChars="200"/>
        <w:outlineLvl w:val="1"/>
        <w:rPr>
          <w:rFonts w:ascii="仿宋_GB2312" w:eastAsia="仿宋_GB2312"/>
          <w:b w:val="0"/>
          <w:bCs/>
          <w:sz w:val="32"/>
          <w:szCs w:val="32"/>
        </w:rPr>
      </w:pPr>
      <w:bookmarkStart w:id="0" w:name="_Toc13648764"/>
      <w:bookmarkStart w:id="1" w:name="_Toc312764924"/>
      <w:r>
        <w:rPr>
          <w:rFonts w:hint="eastAsia" w:ascii="仿宋_GB2312" w:eastAsia="仿宋_GB2312"/>
          <w:b w:val="0"/>
          <w:bCs/>
          <w:sz w:val="32"/>
          <w:szCs w:val="32"/>
        </w:rPr>
        <w:t>基本流程及说明</w:t>
      </w:r>
      <w:bookmarkEnd w:id="0"/>
      <w:bookmarkEnd w:id="1"/>
      <w:r>
        <w:rPr>
          <w:rFonts w:hint="eastAsia" w:ascii="仿宋_GB2312" w:eastAsia="仿宋_GB2312"/>
          <w:b w:val="0"/>
          <w:bCs/>
          <w:sz w:val="32"/>
          <w:szCs w:val="32"/>
        </w:rPr>
        <w:t>：</w:t>
      </w:r>
      <w:bookmarkStart w:id="2" w:name="_Toc312764925"/>
    </w:p>
    <w:bookmarkEnd w:id="2"/>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申请人在我行开户并与我行签订《担保合作协议》。授信客户还需签订《授信协议》。</w:t>
      </w:r>
    </w:p>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申请人在企业网银端开通“国内保函”模块权限。</w:t>
      </w:r>
    </w:p>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申请人在第三方平台或者企业网银端填写保函信息，并经由企业网银端将保函信息传输至我行CVM系统。</w:t>
      </w:r>
    </w:p>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经营团队或相关有权人在CVM 系统对该笔保函进行审核，决定是否准予开立。</w:t>
      </w:r>
    </w:p>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放款中心放款。</w:t>
      </w:r>
    </w:p>
    <w:p>
      <w:pPr>
        <w:numPr>
          <w:ilvl w:val="0"/>
          <w:numId w:val="0"/>
        </w:numPr>
        <w:tabs>
          <w:tab w:val="left" w:pos="709"/>
          <w:tab w:val="left" w:pos="993"/>
        </w:tabs>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开立成功后，保函信息直接回传至企业网银端供第三方平台查看或打印纸质保函交付给申请人。</w:t>
      </w:r>
    </w:p>
    <w:p>
      <w:pPr>
        <w:tabs>
          <w:tab w:val="left" w:pos="709"/>
          <w:tab w:val="left" w:pos="993"/>
        </w:tabs>
        <w:adjustRightInd w:val="0"/>
        <w:snapToGrid w:val="0"/>
        <w:spacing w:line="360" w:lineRule="auto"/>
        <w:rPr>
          <w:rFonts w:ascii="仿宋_GB2312" w:eastAsia="仿宋_GB2312"/>
          <w:sz w:val="32"/>
          <w:szCs w:val="32"/>
        </w:rPr>
      </w:pPr>
    </w:p>
    <w:p>
      <w:pPr>
        <w:tabs>
          <w:tab w:val="left" w:pos="709"/>
          <w:tab w:val="left" w:pos="993"/>
        </w:tabs>
        <w:adjustRightInd w:val="0"/>
        <w:snapToGrid w:val="0"/>
        <w:spacing w:line="360" w:lineRule="auto"/>
        <w:ind w:firstLine="640" w:firstLineChars="200"/>
        <w:rPr>
          <w:rFonts w:ascii="仿宋_GB2312" w:eastAsia="仿宋_GB2312"/>
          <w:b w:val="0"/>
          <w:bCs/>
          <w:sz w:val="32"/>
          <w:szCs w:val="32"/>
        </w:rPr>
      </w:pPr>
      <w:r>
        <w:rPr>
          <w:rFonts w:hint="eastAsia" w:ascii="仿宋_GB2312" w:eastAsia="仿宋_GB2312"/>
          <w:b w:val="0"/>
          <w:bCs/>
          <w:sz w:val="32"/>
          <w:szCs w:val="32"/>
        </w:rPr>
        <w:t>联系方式：</w:t>
      </w:r>
    </w:p>
    <w:p>
      <w:pPr>
        <w:numPr>
          <w:ilvl w:val="0"/>
          <w:numId w:val="0"/>
        </w:numPr>
        <w:adjustRightInd w:val="0"/>
        <w:snapToGrid w:val="0"/>
        <w:spacing w:line="360" w:lineRule="auto"/>
        <w:ind w:firstLine="640" w:firstLineChars="200"/>
        <w:outlineLvl w:val="1"/>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招商</w:t>
      </w:r>
      <w:r>
        <w:rPr>
          <w:rFonts w:ascii="仿宋_GB2312" w:eastAsia="仿宋_GB2312"/>
          <w:sz w:val="32"/>
          <w:szCs w:val="32"/>
        </w:rPr>
        <w:t>银行长沙分行</w:t>
      </w:r>
      <w:r>
        <w:rPr>
          <w:rFonts w:hint="eastAsia" w:ascii="仿宋_GB2312" w:eastAsia="仿宋_GB2312"/>
          <w:sz w:val="32"/>
          <w:szCs w:val="32"/>
        </w:rPr>
        <w:t>：</w:t>
      </w:r>
    </w:p>
    <w:p>
      <w:pPr>
        <w:adjustRightInd w:val="0"/>
        <w:snapToGrid w:val="0"/>
        <w:spacing w:line="360" w:lineRule="auto"/>
        <w:ind w:firstLine="640" w:firstLineChars="200"/>
        <w:outlineLvl w:val="1"/>
        <w:rPr>
          <w:rFonts w:ascii="仿宋_GB2312" w:eastAsia="仿宋_GB2312"/>
          <w:sz w:val="32"/>
          <w:szCs w:val="32"/>
        </w:rPr>
      </w:pPr>
      <w:r>
        <w:rPr>
          <w:rFonts w:hint="eastAsia" w:ascii="仿宋_GB2312" w:eastAsia="仿宋_GB2312"/>
          <w:sz w:val="32"/>
          <w:szCs w:val="32"/>
        </w:rPr>
        <w:t>吴磊，联系电话18570358899</w:t>
      </w:r>
      <w:r>
        <w:rPr>
          <w:rFonts w:ascii="仿宋_GB2312" w:eastAsia="仿宋_GB2312"/>
          <w:sz w:val="32"/>
          <w:szCs w:val="32"/>
        </w:rPr>
        <w:t>；</w:t>
      </w:r>
    </w:p>
    <w:p>
      <w:pPr>
        <w:adjustRightInd w:val="0"/>
        <w:snapToGrid w:val="0"/>
        <w:spacing w:line="360" w:lineRule="auto"/>
        <w:ind w:firstLine="640" w:firstLineChars="200"/>
        <w:outlineLvl w:val="1"/>
        <w:rPr>
          <w:rFonts w:ascii="仿宋_GB2312" w:eastAsia="仿宋_GB2312"/>
          <w:sz w:val="32"/>
          <w:szCs w:val="32"/>
        </w:rPr>
      </w:pPr>
      <w:r>
        <w:rPr>
          <w:rFonts w:ascii="仿宋_GB2312" w:eastAsia="仿宋_GB2312"/>
          <w:sz w:val="32"/>
          <w:szCs w:val="32"/>
        </w:rPr>
        <w:t>网</w:t>
      </w:r>
      <w:r>
        <w:rPr>
          <w:rFonts w:hint="eastAsia" w:ascii="仿宋_GB2312" w:eastAsia="仿宋_GB2312"/>
          <w:sz w:val="32"/>
          <w:szCs w:val="32"/>
        </w:rPr>
        <w:t>点</w:t>
      </w:r>
      <w:r>
        <w:rPr>
          <w:rFonts w:ascii="仿宋_GB2312" w:eastAsia="仿宋_GB2312"/>
          <w:sz w:val="32"/>
          <w:szCs w:val="32"/>
        </w:rPr>
        <w:t>地址：</w:t>
      </w:r>
      <w:r>
        <w:rPr>
          <w:rFonts w:hint="eastAsia" w:ascii="仿宋_GB2312" w:eastAsia="仿宋_GB2312"/>
          <w:sz w:val="32"/>
          <w:szCs w:val="32"/>
        </w:rPr>
        <w:t>长沙市芙蓉区五一大道766号中天广场一楼</w:t>
      </w:r>
      <w:r>
        <w:rPr>
          <w:rFonts w:ascii="仿宋_GB2312" w:eastAsia="仿宋_GB2312"/>
          <w:sz w:val="32"/>
          <w:szCs w:val="32"/>
        </w:rPr>
        <w:t>。</w:t>
      </w:r>
    </w:p>
    <w:p>
      <w:pPr>
        <w:numPr>
          <w:ilvl w:val="0"/>
          <w:numId w:val="0"/>
        </w:numPr>
        <w:adjustRightInd w:val="0"/>
        <w:snapToGrid w:val="0"/>
        <w:spacing w:line="360" w:lineRule="auto"/>
        <w:ind w:firstLine="640" w:firstLineChars="200"/>
        <w:outlineLvl w:val="1"/>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招商</w:t>
      </w:r>
      <w:r>
        <w:rPr>
          <w:rFonts w:ascii="仿宋_GB2312" w:eastAsia="仿宋_GB2312"/>
          <w:sz w:val="32"/>
          <w:szCs w:val="32"/>
        </w:rPr>
        <w:t>银行株洲分行</w:t>
      </w:r>
      <w:r>
        <w:rPr>
          <w:rFonts w:hint="eastAsia" w:ascii="仿宋_GB2312" w:eastAsia="仿宋_GB2312"/>
          <w:sz w:val="32"/>
          <w:szCs w:val="32"/>
        </w:rPr>
        <w:t>：</w:t>
      </w:r>
    </w:p>
    <w:p>
      <w:pPr>
        <w:adjustRightInd w:val="0"/>
        <w:snapToGrid w:val="0"/>
        <w:spacing w:line="360" w:lineRule="auto"/>
        <w:ind w:firstLine="640" w:firstLineChars="200"/>
        <w:outlineLvl w:val="1"/>
        <w:rPr>
          <w:rFonts w:ascii="仿宋_GB2312" w:eastAsia="仿宋_GB2312"/>
          <w:sz w:val="32"/>
          <w:szCs w:val="32"/>
        </w:rPr>
      </w:pPr>
      <w:r>
        <w:rPr>
          <w:rFonts w:hint="eastAsia" w:ascii="仿宋_GB2312" w:eastAsia="仿宋_GB2312"/>
          <w:sz w:val="32"/>
          <w:szCs w:val="32"/>
        </w:rPr>
        <w:t>周宇婷15575870994（微信号同</w:t>
      </w:r>
      <w:r>
        <w:rPr>
          <w:rFonts w:ascii="仿宋_GB2312" w:eastAsia="仿宋_GB2312"/>
          <w:sz w:val="32"/>
          <w:szCs w:val="32"/>
        </w:rPr>
        <w:t>手机号码）；</w:t>
      </w:r>
    </w:p>
    <w:p>
      <w:pPr>
        <w:adjustRightInd w:val="0"/>
        <w:snapToGrid w:val="0"/>
        <w:spacing w:line="360" w:lineRule="auto"/>
        <w:ind w:firstLine="640" w:firstLineChars="200"/>
        <w:outlineLvl w:val="1"/>
        <w:rPr>
          <w:rFonts w:ascii="仿宋_GB2312" w:eastAsia="仿宋_GB2312"/>
          <w:sz w:val="32"/>
          <w:szCs w:val="32"/>
        </w:rPr>
      </w:pPr>
      <w:r>
        <w:rPr>
          <w:rFonts w:ascii="仿宋_GB2312" w:eastAsia="仿宋_GB2312"/>
          <w:sz w:val="32"/>
          <w:szCs w:val="32"/>
        </w:rPr>
        <w:t>网</w:t>
      </w:r>
      <w:r>
        <w:rPr>
          <w:rFonts w:hint="eastAsia" w:ascii="仿宋_GB2312" w:eastAsia="仿宋_GB2312"/>
          <w:sz w:val="32"/>
          <w:szCs w:val="32"/>
        </w:rPr>
        <w:t>点</w:t>
      </w:r>
      <w:r>
        <w:rPr>
          <w:rFonts w:ascii="仿宋_GB2312" w:eastAsia="仿宋_GB2312"/>
          <w:sz w:val="32"/>
          <w:szCs w:val="32"/>
        </w:rPr>
        <w:t>地址：株洲市天元区泰山路</w:t>
      </w:r>
      <w:r>
        <w:rPr>
          <w:rFonts w:hint="eastAsia" w:ascii="仿宋_GB2312" w:eastAsia="仿宋_GB2312"/>
          <w:sz w:val="32"/>
          <w:szCs w:val="32"/>
        </w:rPr>
        <w:t>238号</w:t>
      </w:r>
      <w:r>
        <w:rPr>
          <w:rFonts w:ascii="仿宋_GB2312" w:eastAsia="仿宋_GB2312"/>
          <w:sz w:val="32"/>
          <w:szCs w:val="32"/>
        </w:rPr>
        <w:t>东帆国际</w:t>
      </w:r>
      <w:r>
        <w:rPr>
          <w:rFonts w:hint="eastAsia" w:ascii="仿宋_GB2312" w:eastAsia="仿宋_GB2312"/>
          <w:sz w:val="32"/>
          <w:szCs w:val="32"/>
        </w:rPr>
        <w:t>大厦4楼</w:t>
      </w:r>
      <w:r>
        <w:rPr>
          <w:rFonts w:ascii="仿宋_GB2312" w:eastAsia="仿宋_GB2312"/>
          <w:sz w:val="32"/>
          <w:szCs w:val="32"/>
        </w:rPr>
        <w:t>。</w:t>
      </w:r>
    </w:p>
    <w:p>
      <w:pPr>
        <w:rPr>
          <w:rFonts w:hint="eastAsia" w:ascii="仿宋_GB2312" w:eastAsia="仿宋_GB2312" w:cs="Times New Roman"/>
          <w:b/>
          <w:sz w:val="32"/>
          <w:szCs w:val="32"/>
          <w:lang w:eastAsia="zh-CN"/>
        </w:rPr>
      </w:pPr>
    </w:p>
    <w:p>
      <w:pPr>
        <w:rPr>
          <w:rFonts w:hint="eastAsia" w:ascii="仿宋_GB2312" w:eastAsia="仿宋_GB2312" w:cs="Times New Roman"/>
          <w:b/>
          <w:sz w:val="32"/>
          <w:szCs w:val="32"/>
          <w:lang w:eastAsia="zh-CN"/>
        </w:rPr>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、其他：</w:t>
      </w:r>
    </w:p>
    <w:p>
      <w:pPr>
        <w:adjustRightInd w:val="0"/>
        <w:snapToGrid w:val="0"/>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其他商业银行、担保机构入驻电子卖场，湖南省政府采购网和电子卖场将及时公告。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供应商无法在已入驻商业银行办理增信，可以在本单位开户银行开具《湖南省政府采购电子卖场入驻保函》（格式见附件2），交由湖南省财政厅指定机构验证后转化为电子增信。</w:t>
      </w:r>
    </w:p>
    <w:p>
      <w:pPr>
        <w:rPr>
          <w:rFonts w:hint="eastAsia" w:ascii="仿宋_GB2312" w:hAnsi="仿宋_GB2312" w:eastAsia="仿宋_GB2312" w:cs="仿宋_GB2312"/>
          <w:sz w:val="32"/>
          <w:szCs w:val="32"/>
        </w:rPr>
      </w:pPr>
    </w:p>
    <w:p>
      <w:pPr>
        <w:tabs>
          <w:tab w:val="left" w:pos="709"/>
          <w:tab w:val="left" w:pos="993"/>
        </w:tabs>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基本流程及说明：</w:t>
      </w:r>
    </w:p>
    <w:p>
      <w:pPr>
        <w:tabs>
          <w:tab w:val="left" w:pos="709"/>
          <w:tab w:val="left" w:pos="993"/>
          <w:tab w:val="left" w:pos="1060"/>
          <w:tab w:val="left" w:pos="1260"/>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拨打验证机构电话提出申请。</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邮寄增信函原件到验证机构。</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验证机构对增信函进行验证（1-5个工作日）。</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验证通过后系统登记增信函并电话通知供应商。</w:t>
      </w:r>
    </w:p>
    <w:p>
      <w:pPr>
        <w:tabs>
          <w:tab w:val="left" w:pos="709"/>
          <w:tab w:val="left" w:pos="993"/>
        </w:tabs>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验证、保管服务费可收取100元/笔</w:t>
      </w:r>
    </w:p>
    <w:p>
      <w:pPr>
        <w:tabs>
          <w:tab w:val="left" w:pos="709"/>
          <w:tab w:val="left" w:pos="993"/>
        </w:tabs>
        <w:adjustRightInd w:val="0"/>
        <w:snapToGrid w:val="0"/>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w:t>
      </w:r>
    </w:p>
    <w:p>
      <w:pPr>
        <w:tabs>
          <w:tab w:val="left" w:pos="709"/>
          <w:tab w:val="left" w:pos="993"/>
        </w:tabs>
        <w:adjustRightInd w:val="0"/>
        <w:snapToGrid w:val="0"/>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验证机构联系方式：</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长沙佳瑛科技有限公司</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地址：湖南省长沙市五一大道599号供销大厦906室</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联系人：喻乐</w:t>
      </w:r>
    </w:p>
    <w:p>
      <w:pPr>
        <w:tabs>
          <w:tab w:val="left" w:pos="709"/>
          <w:tab w:val="left" w:pos="993"/>
        </w:tabs>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联系电话：0731-85522071</w:t>
      </w:r>
    </w:p>
    <w:p>
      <w:pPr>
        <w:ind w:firstLine="640" w:firstLineChars="200"/>
        <w:rPr>
          <w:rFonts w:hint="eastAsia" w:ascii="仿宋_GB2312" w:hAnsi="仿宋_GB2312" w:eastAsia="仿宋_GB2312" w:cs="仿宋_GB2312"/>
          <w:sz w:val="32"/>
          <w:szCs w:val="32"/>
        </w:rPr>
      </w:pPr>
    </w:p>
    <w:p>
      <w:pPr>
        <w:widowControl/>
        <w:wordWrap/>
        <w:spacing w:before="0" w:after="0" w:line="460" w:lineRule="exact"/>
        <w:ind w:left="0" w:leftChars="0" w:right="0"/>
        <w:jc w:val="left"/>
        <w:textAlignment w:val="auto"/>
        <w:outlineLvl w:val="9"/>
        <w:rPr>
          <w:rFonts w:ascii="仿宋_GB2312" w:eastAsia="仿宋_GB2312"/>
          <w:sz w:val="32"/>
          <w:szCs w:val="32"/>
        </w:rPr>
      </w:pPr>
      <w:r>
        <w:rPr>
          <w:rFonts w:hint="eastAsia" w:ascii="仿宋_GB2312" w:hAnsi="仿宋_GB2312" w:eastAsia="仿宋_GB2312" w:cs="仿宋_GB2312"/>
          <w:sz w:val="32"/>
          <w:szCs w:val="32"/>
        </w:rPr>
        <w:br w:type="page"/>
      </w:r>
      <w:r>
        <w:rPr>
          <w:rFonts w:hint="eastAsia" w:ascii="仿宋_GB2312" w:eastAsia="仿宋_GB2312"/>
          <w:sz w:val="32"/>
          <w:szCs w:val="32"/>
        </w:rPr>
        <w:t>附件1</w:t>
      </w:r>
    </w:p>
    <w:p>
      <w:pPr>
        <w:wordWrap/>
        <w:spacing w:before="0" w:after="0" w:line="460" w:lineRule="exact"/>
        <w:ind w:left="0" w:leftChars="0" w:right="0"/>
        <w:jc w:val="center"/>
        <w:textAlignment w:val="auto"/>
        <w:outlineLvl w:val="9"/>
        <w:rPr>
          <w:rFonts w:hint="eastAsia" w:ascii="仿宋_GB2312" w:hAnsi="仿宋_GB2312" w:eastAsia="仿宋_GB2312" w:cs="仿宋_GB2312"/>
          <w:b/>
          <w:bCs/>
          <w:sz w:val="44"/>
          <w:szCs w:val="44"/>
        </w:rPr>
      </w:pPr>
    </w:p>
    <w:p>
      <w:pPr>
        <w:wordWrap/>
        <w:spacing w:before="0" w:after="0" w:line="460" w:lineRule="exact"/>
        <w:ind w:left="0" w:leftChars="0" w:right="0"/>
        <w:jc w:val="center"/>
        <w:textAlignment w:val="auto"/>
        <w:outlineLvl w:val="9"/>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湖南省政府采购电子卖场入驻承诺书</w:t>
      </w:r>
    </w:p>
    <w:p>
      <w:pPr>
        <w:wordWrap/>
        <w:spacing w:before="0" w:after="0" w:line="460" w:lineRule="exact"/>
        <w:ind w:left="0" w:leftChars="0" w:right="0" w:firstLine="645"/>
        <w:jc w:val="left"/>
        <w:textAlignment w:val="auto"/>
        <w:outlineLvl w:val="9"/>
        <w:rPr>
          <w:rFonts w:ascii="仿宋_GB2312" w:eastAsia="仿宋_GB2312"/>
          <w:sz w:val="32"/>
          <w:szCs w:val="32"/>
        </w:rPr>
      </w:pPr>
    </w:p>
    <w:p>
      <w:pPr>
        <w:wordWrap/>
        <w:spacing w:before="0" w:after="0" w:line="460" w:lineRule="exact"/>
        <w:ind w:left="0" w:leftChars="0" w:right="0" w:firstLine="645"/>
        <w:jc w:val="left"/>
        <w:textAlignment w:val="auto"/>
        <w:outlineLvl w:val="9"/>
        <w:rPr>
          <w:rFonts w:ascii="仿宋_GB2312" w:eastAsia="仿宋_GB2312"/>
          <w:sz w:val="32"/>
          <w:szCs w:val="32"/>
        </w:rPr>
      </w:pPr>
      <w:r>
        <w:rPr>
          <w:rFonts w:hint="eastAsia" w:ascii="仿宋_GB2312" w:eastAsia="仿宋_GB2312"/>
          <w:sz w:val="32"/>
          <w:szCs w:val="32"/>
        </w:rPr>
        <w:t>本公司自愿成为湖南省政府采购电子卖场入驻供应商。本公司法定代表人（负责人）已阅读并理解《</w:t>
      </w:r>
      <w:r>
        <w:rPr>
          <w:rFonts w:hint="eastAsia" w:ascii="仿宋_GB2312" w:hAnsi="黑体" w:eastAsia="仿宋_GB2312"/>
          <w:sz w:val="32"/>
          <w:szCs w:val="32"/>
        </w:rPr>
        <w:t>湖南省政府采购电子卖场管理暂行办法</w:t>
      </w:r>
      <w:r>
        <w:rPr>
          <w:rFonts w:hint="eastAsia" w:ascii="仿宋_GB2312" w:eastAsia="仿宋_GB2312"/>
          <w:sz w:val="32"/>
          <w:szCs w:val="32"/>
        </w:rPr>
        <w:t>》，并代表公司承诺如下：</w:t>
      </w:r>
    </w:p>
    <w:p>
      <w:pPr>
        <w:wordWrap/>
        <w:spacing w:before="0" w:after="0" w:line="460" w:lineRule="exact"/>
        <w:ind w:left="0" w:leftChars="0" w:right="0" w:firstLine="645"/>
        <w:jc w:val="left"/>
        <w:textAlignment w:val="auto"/>
        <w:outlineLvl w:val="9"/>
        <w:rPr>
          <w:rFonts w:ascii="仿宋_GB2312" w:eastAsia="仿宋_GB2312"/>
          <w:sz w:val="32"/>
          <w:szCs w:val="32"/>
        </w:rPr>
      </w:pPr>
      <w:r>
        <w:rPr>
          <w:rFonts w:hint="eastAsia" w:ascii="仿宋_GB2312" w:eastAsia="仿宋_GB2312"/>
          <w:sz w:val="32"/>
          <w:szCs w:val="32"/>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pPr>
        <w:wordWrap/>
        <w:spacing w:before="0" w:after="0" w:line="460" w:lineRule="exact"/>
        <w:ind w:left="0" w:leftChars="0" w:right="0" w:firstLine="645"/>
        <w:jc w:val="left"/>
        <w:textAlignment w:val="auto"/>
        <w:outlineLvl w:val="9"/>
        <w:rPr>
          <w:rFonts w:ascii="仿宋_GB2312" w:eastAsia="仿宋_GB2312"/>
          <w:sz w:val="32"/>
          <w:szCs w:val="32"/>
        </w:rPr>
      </w:pPr>
      <w:r>
        <w:rPr>
          <w:rFonts w:hint="eastAsia" w:ascii="仿宋_GB2312" w:eastAsia="仿宋_GB2312"/>
          <w:sz w:val="32"/>
          <w:szCs w:val="32"/>
        </w:rPr>
        <w:t>二、本公司的商品符合国家强制性标准，以及行业协会发布的团体标准或入驻供应商自我声明执行的标准，符合政府采购政策，来源渠道正规、合法，按规定提供售后服务，承担“三包”责任，报价不高于其他市场同期报价。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pPr>
        <w:wordWrap/>
        <w:spacing w:before="0" w:after="0" w:line="46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三、本公司同意遵守湖南省政府采购电子卖场交易规则，接受运营商的核查，服从财政部门对异议的裁决，接受财政部门的监管和检查。</w:t>
      </w:r>
    </w:p>
    <w:p>
      <w:pPr>
        <w:wordWrap/>
        <w:spacing w:before="0" w:after="0" w:line="460" w:lineRule="exact"/>
        <w:ind w:left="0" w:leftChars="0" w:right="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本公司同意：如违反以上承诺，财政部门将增信保证划缴国库。</w:t>
      </w:r>
    </w:p>
    <w:p>
      <w:pPr>
        <w:widowControl/>
        <w:wordWrap/>
        <w:spacing w:before="0" w:after="0" w:line="460" w:lineRule="exact"/>
        <w:ind w:left="0" w:leftChars="0" w:right="0"/>
        <w:jc w:val="left"/>
        <w:textAlignment w:val="auto"/>
        <w:outlineLvl w:val="9"/>
        <w:rPr>
          <w:rFonts w:ascii="仿宋_GB2312" w:eastAsia="仿宋_GB2312"/>
          <w:sz w:val="32"/>
          <w:szCs w:val="32"/>
        </w:rPr>
      </w:pPr>
    </w:p>
    <w:p>
      <w:pPr>
        <w:wordWrap/>
        <w:adjustRightInd w:val="0"/>
        <w:snapToGrid w:val="0"/>
        <w:spacing w:before="0" w:after="0" w:line="460" w:lineRule="exact"/>
        <w:ind w:left="0" w:leftChars="0" w:right="0"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公司（单位）名称：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wordWrap/>
        <w:adjustRightInd w:val="0"/>
        <w:snapToGrid w:val="0"/>
        <w:spacing w:before="0" w:after="0" w:line="460" w:lineRule="exact"/>
        <w:ind w:left="0" w:leftChars="0" w:right="0"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法定代表人（负责人）：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（签字）</w:t>
      </w:r>
    </w:p>
    <w:p>
      <w:pPr>
        <w:wordWrap/>
        <w:adjustRightInd w:val="0"/>
        <w:snapToGrid w:val="0"/>
        <w:spacing w:before="0" w:after="0" w:line="460" w:lineRule="exact"/>
        <w:ind w:left="0" w:leftChars="0" w:right="0" w:firstLine="640" w:firstLineChars="200"/>
        <w:jc w:val="left"/>
        <w:textAlignment w:val="auto"/>
        <w:outlineLvl w:val="9"/>
        <w:rPr>
          <w:rFonts w:ascii="仿宋_GB2312" w:hAnsi="宋体" w:eastAsia="仿宋_GB2312"/>
          <w:sz w:val="32"/>
          <w:szCs w:val="32"/>
          <w:u w:val="single"/>
        </w:rPr>
      </w:pPr>
    </w:p>
    <w:p>
      <w:pPr>
        <w:wordWrap/>
        <w:adjustRightInd w:val="0"/>
        <w:snapToGrid w:val="0"/>
        <w:spacing w:before="0" w:after="0" w:line="460" w:lineRule="exact"/>
        <w:ind w:right="0" w:firstLine="5760" w:firstLineChars="1800"/>
        <w:jc w:val="left"/>
        <w:textAlignment w:val="auto"/>
        <w:outlineLvl w:val="9"/>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rPr>
        <w:t>日</w:t>
      </w:r>
    </w:p>
    <w:p>
      <w:pPr>
        <w:widowControl/>
        <w:jc w:val="left"/>
        <w:rPr>
          <w:rFonts w:hint="eastAsia"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附件2</w:t>
      </w:r>
    </w:p>
    <w:p>
      <w:pPr>
        <w:adjustRightInd w:val="0"/>
        <w:snapToGrid w:val="0"/>
        <w:spacing w:line="360" w:lineRule="auto"/>
        <w:jc w:val="center"/>
        <w:rPr>
          <w:rFonts w:hint="eastAsia" w:ascii="仿宋_GB2312" w:hAnsi="仿宋_GB2312" w:eastAsia="仿宋_GB2312" w:cs="仿宋_GB2312"/>
          <w:b/>
          <w:bCs/>
          <w:sz w:val="44"/>
          <w:szCs w:val="44"/>
          <w:u w:val="single"/>
        </w:rPr>
      </w:pPr>
      <w:r>
        <w:rPr>
          <w:rFonts w:hint="eastAsia" w:ascii="仿宋_GB2312" w:hAnsi="仿宋_GB2312" w:eastAsia="仿宋_GB2312" w:cs="仿宋_GB2312"/>
          <w:b/>
          <w:bCs/>
          <w:sz w:val="44"/>
          <w:szCs w:val="44"/>
        </w:rPr>
        <w:t>湖南省政府采购电子卖场入驻保函</w:t>
      </w:r>
      <w:r>
        <w:rPr>
          <w:rFonts w:hint="eastAsia" w:ascii="仿宋_GB2312" w:hAnsi="仿宋_GB2312" w:eastAsia="仿宋_GB2312" w:cs="仿宋_GB2312"/>
          <w:b/>
          <w:bCs/>
          <w:sz w:val="44"/>
          <w:szCs w:val="44"/>
        </w:rPr>
        <w:br w:type="textWrapping"/>
      </w:r>
      <w:r>
        <w:rPr>
          <w:rFonts w:hint="eastAsia" w:ascii="仿宋_GB2312" w:hAnsi="仿宋_GB2312" w:eastAsia="仿宋_GB2312" w:cs="仿宋_GB2312"/>
          <w:b/>
          <w:bCs/>
          <w:sz w:val="44"/>
          <w:szCs w:val="44"/>
        </w:rPr>
        <w:t>（格式）</w:t>
      </w:r>
    </w:p>
    <w:p>
      <w:pPr>
        <w:wordWrap w:val="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编号：    </w:t>
      </w:r>
    </w:p>
    <w:p>
      <w:pPr>
        <w:adjustRightInd w:val="0"/>
        <w:snapToGrid w:val="0"/>
        <w:spacing w:line="360" w:lineRule="auto"/>
        <w:jc w:val="left"/>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w:t>
      </w:r>
    </w:p>
    <w:p>
      <w:pPr>
        <w:ind w:firstLine="640" w:firstLineChars="200"/>
        <w:jc w:val="left"/>
        <w:rPr>
          <w:rFonts w:ascii="仿宋_GB2312" w:hAnsi="宋体" w:eastAsia="仿宋_GB2312" w:cs="Times New Roman"/>
          <w:sz w:val="32"/>
          <w:szCs w:val="32"/>
        </w:rPr>
      </w:pPr>
      <w:r>
        <w:rPr>
          <w:rFonts w:hint="eastAsia" w:ascii="仿宋_GB2312" w:hAnsi="黑体" w:eastAsia="仿宋_GB2312" w:cs="Times New Roman"/>
          <w:sz w:val="32"/>
          <w:szCs w:val="32"/>
        </w:rPr>
        <w:t>根据《湖南省政府采购电子卖场管理办法</w:t>
      </w:r>
      <w:r>
        <w:rPr>
          <w:rFonts w:hint="eastAsia" w:ascii="仿宋_GB2312" w:hAnsi="Times New Roman" w:eastAsia="仿宋_GB2312" w:cs="Times New Roman"/>
          <w:sz w:val="32"/>
          <w:szCs w:val="32"/>
        </w:rPr>
        <w:t>》，</w:t>
      </w:r>
      <w:r>
        <w:rPr>
          <w:rFonts w:hint="eastAsia" w:ascii="仿宋_GB2312" w:hAnsi="宋体" w:eastAsia="仿宋_GB2312" w:cs="Times New Roman"/>
          <w:sz w:val="32"/>
          <w:szCs w:val="32"/>
        </w:rPr>
        <w:t>申请人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（供应商名称）申请入驻</w:t>
      </w:r>
      <w:r>
        <w:rPr>
          <w:rFonts w:hint="eastAsia" w:ascii="仿宋_GB2312" w:hAnsi="黑体" w:eastAsia="仿宋_GB2312" w:cs="Times New Roman"/>
          <w:sz w:val="32"/>
          <w:szCs w:val="32"/>
        </w:rPr>
        <w:t xml:space="preserve">湖南省政府采购电子卖场。 </w:t>
      </w:r>
      <w:r>
        <w:rPr>
          <w:rFonts w:hint="eastAsia" w:ascii="仿宋_GB2312" w:hAnsi="宋体" w:eastAsia="仿宋_GB2312" w:cs="Times New Roman"/>
          <w:sz w:val="32"/>
          <w:szCs w:val="32"/>
        </w:rPr>
        <w:t>保证人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（保证人名称）无条件地、不可撤销地保证：在本保函有效期内，保证在收到贵方书面要求5个工作日内，将申请人</w:t>
      </w:r>
      <w:r>
        <w:rPr>
          <w:rFonts w:hint="eastAsia" w:ascii="仿宋_GB2312" w:hAnsi="宋体" w:eastAsia="仿宋_GB2312" w:cs="Times New Roman"/>
          <w:sz w:val="32"/>
          <w:szCs w:val="32"/>
          <w:lang w:eastAsia="zh-CN"/>
        </w:rPr>
        <w:t>保证金额</w:t>
      </w:r>
      <w:bookmarkStart w:id="3" w:name="_GoBack"/>
      <w:bookmarkEnd w:id="3"/>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（大写）支付到贵方指定账户。</w:t>
      </w:r>
    </w:p>
    <w:p>
      <w:pPr>
        <w:ind w:firstLine="540"/>
        <w:jc w:val="left"/>
        <w:rPr>
          <w:rFonts w:ascii="仿宋_GB2312" w:hAnsi="宋体" w:eastAsia="仿宋_GB2312" w:cs="Times New Roman"/>
          <w:sz w:val="32"/>
          <w:szCs w:val="32"/>
        </w:rPr>
      </w:pP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本保函自</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日至</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日内保持有效。</w:t>
      </w:r>
    </w:p>
    <w:p>
      <w:pPr>
        <w:adjustRightInd w:val="0"/>
        <w:snapToGrid w:val="0"/>
        <w:spacing w:line="360" w:lineRule="auto"/>
        <w:ind w:firstLine="640" w:firstLineChars="200"/>
        <w:jc w:val="left"/>
        <w:rPr>
          <w:rFonts w:ascii="仿宋_GB2312" w:hAnsi="宋体" w:eastAsia="仿宋_GB2312" w:cs="Times New Roman"/>
          <w:sz w:val="32"/>
          <w:szCs w:val="32"/>
        </w:rPr>
      </w:pP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保证人名称：</w:t>
      </w:r>
      <w:r>
        <w:rPr>
          <w:rFonts w:hint="eastAsia" w:ascii="仿宋_GB2312" w:hAnsi="宋体" w:eastAsia="仿宋_GB2312" w:cs="Times New Roman"/>
          <w:sz w:val="32"/>
          <w:szCs w:val="32"/>
          <w:u w:val="single"/>
        </w:rPr>
        <w:t xml:space="preserve">            </w:t>
      </w: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 xml:space="preserve">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址：</w:t>
      </w:r>
      <w:r>
        <w:rPr>
          <w:rFonts w:hint="eastAsia" w:ascii="仿宋_GB2312" w:hAnsi="宋体" w:eastAsia="仿宋_GB2312" w:cs="Times New Roman"/>
          <w:sz w:val="32"/>
          <w:szCs w:val="32"/>
          <w:u w:val="single"/>
        </w:rPr>
        <w:t xml:space="preserve">            </w:t>
      </w:r>
    </w:p>
    <w:p>
      <w:pPr>
        <w:adjustRightInd w:val="0"/>
        <w:snapToGrid w:val="0"/>
        <w:spacing w:line="360" w:lineRule="auto"/>
        <w:ind w:firstLine="640" w:firstLineChars="200"/>
        <w:jc w:val="left"/>
        <w:rPr>
          <w:rFonts w:ascii="仿宋_GB2312" w:hAnsi="宋体" w:eastAsia="仿宋_GB2312" w:cs="Times New Roman"/>
          <w:sz w:val="32"/>
          <w:szCs w:val="32"/>
          <w:u w:val="single"/>
        </w:rPr>
      </w:pPr>
    </w:p>
    <w:p>
      <w:pPr>
        <w:adjustRightInd w:val="0"/>
        <w:snapToGrid w:val="0"/>
        <w:spacing w:line="360" w:lineRule="auto"/>
        <w:ind w:firstLine="5760" w:firstLineChars="1800"/>
        <w:jc w:val="left"/>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w:t>
      </w:r>
    </w:p>
    <w:p>
      <w:pPr>
        <w:adjustRightInd w:val="0"/>
        <w:snapToGrid w:val="0"/>
        <w:spacing w:line="360" w:lineRule="auto"/>
        <w:ind w:firstLine="4800" w:firstLineChars="1500"/>
        <w:jc w:val="left"/>
        <w:rPr>
          <w:rFonts w:ascii="仿宋_GB2312" w:hAnsi="宋体" w:eastAsia="仿宋_GB2312"/>
          <w:sz w:val="32"/>
          <w:szCs w:val="32"/>
        </w:rPr>
      </w:pPr>
    </w:p>
    <w:p>
      <w:pPr>
        <w:widowControl/>
        <w:jc w:val="left"/>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sectPr>
          <w:headerReference r:id="rId3" w:type="default"/>
          <w:footerReference r:id="rId4" w:type="default"/>
          <w:pgSz w:w="11906" w:h="16838"/>
          <w:pgMar w:top="1417" w:right="1587" w:bottom="1417" w:left="158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LINK Excel.Sheet.12 D:\\ZCY\\7、政采事业部\\2、华东华中区划部署\\1、湖南省\\1、湖南省本级\\供应商入驻、采购人入驻通知文件\\供应商入驻、采购人入驻指南-1120\\资质清单.xlsx Sheet1!R1C1:R20C4 \a \f 4 \h  \* MERGEFORMAT </w:instrText>
      </w:r>
      <w:r>
        <w:rPr>
          <w:rFonts w:hint="eastAsia" w:ascii="仿宋_GB2312" w:hAnsi="仿宋_GB2312" w:eastAsia="仿宋_GB2312" w:cs="仿宋_GB2312"/>
          <w:sz w:val="32"/>
          <w:szCs w:val="32"/>
        </w:rPr>
        <w:fldChar w:fldCharType="separate"/>
      </w:r>
    </w:p>
    <w:tbl>
      <w:tblPr>
        <w:tblStyle w:val="5"/>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
        <w:gridCol w:w="1527"/>
        <w:gridCol w:w="3140"/>
        <w:gridCol w:w="8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4060" w:type="dxa"/>
            <w:gridSpan w:val="4"/>
            <w:tcBorders>
              <w:top w:val="single" w:color="auto" w:sz="4" w:space="0"/>
              <w:left w:val="single" w:color="auto" w:sz="4" w:space="0"/>
              <w:bottom w:val="single" w:color="auto" w:sz="4" w:space="0"/>
              <w:right w:val="single" w:color="auto" w:sz="4" w:space="0"/>
            </w:tcBorders>
            <w:shd w:val="clear" w:color="000000" w:fill="B7DEE8"/>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供应商资质清单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bottom"/>
          </w:tcPr>
          <w:p>
            <w:pPr>
              <w:widowControl/>
              <w:jc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序号</w:t>
            </w:r>
          </w:p>
        </w:tc>
        <w:tc>
          <w:tcPr>
            <w:tcW w:w="1527"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资质类别</w:t>
            </w:r>
          </w:p>
        </w:tc>
        <w:tc>
          <w:tcPr>
            <w:tcW w:w="314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资质名称</w:t>
            </w:r>
          </w:p>
        </w:tc>
        <w:tc>
          <w:tcPr>
            <w:tcW w:w="848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基本资质</w:t>
            </w:r>
          </w:p>
        </w:tc>
        <w:tc>
          <w:tcPr>
            <w:tcW w:w="314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营业执照</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企业从事生产经营活动的证件，用于核验企业基本信息真实性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314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社会保险登记证</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提供依法缴纳税收和社会保障资金的良好记录凭证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314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税务登记证</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从事生产、经营的纳税人向生产、经营地或者纳税义务发生地的主管税务机关申报办理税务登记时，所颁发的登记凭证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3140" w:type="dxa"/>
            <w:tcBorders>
              <w:top w:val="nil"/>
              <w:left w:val="nil"/>
              <w:bottom w:val="single" w:color="auto" w:sz="4" w:space="0"/>
              <w:right w:val="single" w:color="auto" w:sz="4" w:space="0"/>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组织机构代码证</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各类组织机构在社会经济活动中的通行证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52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企业类型</w:t>
            </w:r>
          </w:p>
        </w:tc>
        <w:tc>
          <w:tcPr>
            <w:tcW w:w="31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小微企业</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小微企业证明材料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31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监狱企业</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监狱企业证明材料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913"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1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31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福利企业</w:t>
            </w:r>
          </w:p>
        </w:tc>
        <w:tc>
          <w:tcPr>
            <w:tcW w:w="848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福利企业证明材料</w:t>
            </w:r>
          </w:p>
        </w:tc>
      </w:tr>
    </w:tbl>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tbl>
      <w:tblPr>
        <w:tblStyle w:val="5"/>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909"/>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1417" w:type="dxa"/>
            <w:vMerge w:val="restart"/>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特定资质</w:t>
            </w:r>
          </w:p>
        </w:tc>
        <w:tc>
          <w:tcPr>
            <w:tcW w:w="2909" w:type="dxa"/>
            <w:tcBorders>
              <w:tl2br w:val="nil"/>
              <w:tr2bl w:val="nil"/>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工程承包资质类别</w:t>
            </w:r>
          </w:p>
        </w:tc>
        <w:tc>
          <w:tcPr>
            <w:tcW w:w="8868" w:type="dxa"/>
            <w:vMerge w:val="restart"/>
            <w:tcBorders>
              <w:tl2br w:val="nil"/>
              <w:tr2bl w:val="nil"/>
            </w:tcBorders>
            <w:vAlign w:val="center"/>
          </w:tcPr>
          <w:p>
            <w:pPr>
              <w:widowControl/>
              <w:wordWrap/>
              <w:adjustRightInd/>
              <w:snapToGrid/>
              <w:spacing w:before="0" w:after="0" w:line="740" w:lineRule="exact"/>
              <w:ind w:left="0" w:leftChars="0" w:right="0" w:firstLine="0" w:firstLine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根据《建筑业企业资质管理规定》（建设部</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2007</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rPr>
              <w:t>令第159号），从事土木工程、建筑工程、线路管道设备安装工程、装修工程的新建、扩建、改建等活动的建筑业企业应当按照其拥有的《企业法人营业执照》以及注册资本、专业技术人员、技术设备和已完成的工程业绩等条件申请相应类别和等级的企业资质，经建设行政主管部门以及铁路、交通、水利水电、信息产业、民航等有关部门配合进行资格审查认定，取得建筑企业相应类别资质证书后，方可从事相应资质许可范围内的工程施工承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1417"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l2br w:val="nil"/>
              <w:tr2bl w:val="nil"/>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工程设计资质类别</w:t>
            </w:r>
          </w:p>
        </w:tc>
        <w:tc>
          <w:tcPr>
            <w:tcW w:w="8868"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417"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l2br w:val="nil"/>
              <w:tr2bl w:val="nil"/>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工程监理资质类别</w:t>
            </w:r>
          </w:p>
        </w:tc>
        <w:tc>
          <w:tcPr>
            <w:tcW w:w="8868"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1417"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l2br w:val="nil"/>
              <w:tr2bl w:val="nil"/>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工程勘察资质类别</w:t>
            </w:r>
          </w:p>
        </w:tc>
        <w:tc>
          <w:tcPr>
            <w:tcW w:w="8868"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1417"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l2br w:val="nil"/>
              <w:tr2bl w:val="nil"/>
            </w:tcBorders>
            <w:vAlign w:val="bottom"/>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工程造价资质类别</w:t>
            </w:r>
          </w:p>
        </w:tc>
        <w:tc>
          <w:tcPr>
            <w:tcW w:w="8868"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846" w:type="dxa"/>
            <w:tcBorders>
              <w:tl2br w:val="nil"/>
              <w:tr2bl w:val="nil"/>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1417"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工程咨询单位资格类别</w:t>
            </w:r>
          </w:p>
        </w:tc>
        <w:tc>
          <w:tcPr>
            <w:tcW w:w="8868" w:type="dxa"/>
            <w:vMerge w:val="continue"/>
            <w:tcBorders>
              <w:tl2br w:val="nil"/>
              <w:tr2bl w:val="nil"/>
            </w:tcBorders>
            <w:vAlign w:val="center"/>
          </w:tcPr>
          <w:p>
            <w:pPr>
              <w:widowControl/>
              <w:jc w:val="left"/>
              <w:rPr>
                <w:rFonts w:hint="eastAsia" w:ascii="仿宋_GB2312" w:hAnsi="仿宋_GB2312" w:eastAsia="仿宋_GB2312" w:cs="仿宋_GB2312"/>
                <w:color w:val="000000"/>
                <w:kern w:val="0"/>
                <w:sz w:val="28"/>
                <w:szCs w:val="28"/>
              </w:rPr>
            </w:pPr>
          </w:p>
        </w:tc>
      </w:tr>
    </w:tbl>
    <w:tbl>
      <w:tblPr>
        <w:tblStyle w:val="5"/>
        <w:tblpPr w:leftFromText="180" w:rightFromText="180" w:vertAnchor="text" w:horzAnchor="page" w:tblpX="1438" w:tblpY="391"/>
        <w:tblOverlap w:val="never"/>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
        <w:gridCol w:w="1417"/>
        <w:gridCol w:w="2909"/>
        <w:gridCol w:w="8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4"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招标代理资格</w:t>
            </w:r>
          </w:p>
        </w:tc>
        <w:tc>
          <w:tcPr>
            <w:tcW w:w="886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40" w:lineRule="exact"/>
              <w:ind w:left="0" w:leftChars="0" w:right="0" w:firstLine="0" w:firstLine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从事工程招标代理业务的机构，应当依法取得国务院建设主管部门或者省、自治区、直辖市人民政府建设主管部门认定的工程招标代理机构资格，并在其资格许可的范围内从事相应的工程招标代理业务。 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计算机信息专业资质</w:t>
            </w:r>
          </w:p>
        </w:tc>
        <w:tc>
          <w:tcPr>
            <w:tcW w:w="8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从事计算机信息领域获取的专项认证。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企业资质</w:t>
            </w:r>
          </w:p>
        </w:tc>
        <w:tc>
          <w:tcPr>
            <w:tcW w:w="886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企业在从事某种行业经营中，应具有的资格以及与此资格相适应的质量等级标准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检验检测资质</w:t>
            </w:r>
          </w:p>
        </w:tc>
        <w:tc>
          <w:tcPr>
            <w:tcW w:w="886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40" w:lineRule="exact"/>
              <w:ind w:left="0" w:leftChars="0" w:right="0" w:firstLine="0" w:firstLine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国家认证认可监督管理委员会和省级质量技术监督部门依据有关法律法规和标准、技术规范的规定，对检验检测机构的基本条件和技术能力是否符合法定要求实施的评价许可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8"/>
                <w:szCs w:val="28"/>
              </w:rPr>
            </w:pP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安全生产许可证</w:t>
            </w:r>
          </w:p>
        </w:tc>
        <w:tc>
          <w:tcPr>
            <w:tcW w:w="886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20" w:lineRule="exact"/>
              <w:ind w:left="0" w:leftChars="0" w:right="0" w:firstLine="0" w:firstLineChars="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安全生产许可证是矿山企业、建筑施工企业和危险化学品、烟花爆竹、民用爆炸物品生产企业必备的一个证件，它和企业资质联系在一块，取得建筑施工资质证书的企业，必须申请安全生产许可证，方可进行招投工作来接相应工程</w:t>
            </w:r>
          </w:p>
        </w:tc>
      </w:tr>
    </w:tbl>
    <w:p>
      <w:pPr>
        <w:widowControl/>
        <w:jc w:val="left"/>
        <w:rPr>
          <w:rFonts w:hint="eastAsia" w:ascii="仿宋_GB2312" w:hAnsi="仿宋_GB2312" w:eastAsia="仿宋_GB2312" w:cs="仿宋_GB2312"/>
          <w:sz w:val="32"/>
          <w:szCs w:val="32"/>
        </w:rPr>
      </w:pPr>
    </w:p>
    <w:sectPr>
      <w:pgSz w:w="16781" w:h="11849"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rStyle w:val="7"/>
        <w:rFonts w:hint="eastAsia" w:cs="宋体"/>
      </w:rPr>
      <w:t>—</w:t>
    </w:r>
    <w:r>
      <w:rPr>
        <w:rFonts w:hint="default" w:ascii="Times New Roman" w:hAnsi="Times New Roman" w:cs="Times New Roman"/>
        <w:sz w:val="28"/>
        <w:szCs w:val="28"/>
      </w:rPr>
      <w:fldChar w:fldCharType="begin"/>
    </w:r>
    <w:r>
      <w:rPr>
        <w:rStyle w:val="7"/>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7"/>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7"/>
        <w:rFonts w:hint="eastAsia" w:cs="宋体"/>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F61"/>
    <w:multiLevelType w:val="multilevel"/>
    <w:tmpl w:val="140B1F61"/>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5D902701"/>
    <w:multiLevelType w:val="multilevel"/>
    <w:tmpl w:val="5D902701"/>
    <w:lvl w:ilvl="0" w:tentative="0">
      <w:start w:val="1"/>
      <w:numFmt w:val="bullet"/>
      <w:lvlText w:val=""/>
      <w:lvlJc w:val="left"/>
      <w:pPr>
        <w:ind w:left="1060" w:hanging="420"/>
      </w:pPr>
      <w:rPr>
        <w:rFonts w:hint="default" w:ascii="Wingdings" w:hAnsi="Wingding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D25A14"/>
    <w:rsid w:val="04E1238A"/>
    <w:rsid w:val="09B17C34"/>
    <w:rsid w:val="111804F1"/>
    <w:rsid w:val="155D530F"/>
    <w:rsid w:val="20D934FE"/>
    <w:rsid w:val="256118AB"/>
    <w:rsid w:val="2E0F3004"/>
    <w:rsid w:val="317559E1"/>
    <w:rsid w:val="32C15E0C"/>
    <w:rsid w:val="32F60C50"/>
    <w:rsid w:val="344D53BC"/>
    <w:rsid w:val="356F06C2"/>
    <w:rsid w:val="455F1049"/>
    <w:rsid w:val="491A1675"/>
    <w:rsid w:val="4C83337F"/>
    <w:rsid w:val="55AE6EE1"/>
    <w:rsid w:val="66CF32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semiHidden/>
    <w:unhideWhenUsed/>
    <w:qFormat/>
    <w:uiPriority w:val="0"/>
  </w:style>
  <w:style w:type="character" w:styleId="8">
    <w:name w:val="Hyperlink"/>
    <w:basedOn w:val="6"/>
    <w:unhideWhenUsed/>
    <w:qFormat/>
    <w:uiPriority w:val="99"/>
    <w:rPr>
      <w:color w:val="0563C1"/>
      <w:u w:val="single"/>
    </w:rPr>
  </w:style>
  <w:style w:type="paragraph" w:customStyle="1" w:styleId="9">
    <w:name w:val="List Paragraph"/>
    <w:basedOn w:val="1"/>
    <w:link w:val="12"/>
    <w:qFormat/>
    <w:uiPriority w:val="34"/>
    <w:pPr>
      <w:ind w:firstLine="420" w:firstLineChars="200"/>
    </w:pPr>
  </w:style>
  <w:style w:type="character" w:customStyle="1" w:styleId="10">
    <w:name w:val="页眉 Char Char"/>
    <w:basedOn w:val="6"/>
    <w:link w:val="3"/>
    <w:qFormat/>
    <w:uiPriority w:val="99"/>
    <w:rPr>
      <w:sz w:val="18"/>
      <w:szCs w:val="18"/>
    </w:rPr>
  </w:style>
  <w:style w:type="character" w:customStyle="1" w:styleId="11">
    <w:name w:val="页脚 Char Char"/>
    <w:basedOn w:val="6"/>
    <w:link w:val="2"/>
    <w:qFormat/>
    <w:uiPriority w:val="99"/>
    <w:rPr>
      <w:sz w:val="18"/>
      <w:szCs w:val="18"/>
    </w:rPr>
  </w:style>
  <w:style w:type="character" w:customStyle="1" w:styleId="12">
    <w:name w:val="列出段落 Char"/>
    <w:basedOn w:val="6"/>
    <w:link w:val="9"/>
    <w:qFormat/>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813</Words>
  <Characters>4640</Characters>
  <Lines>38</Lines>
  <Paragraphs>10</Paragraphs>
  <TotalTime>84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2019-11-25T09:14:00Z</dcterms:created>
  <dc:creator>杨 小昭</dc:creator>
  <cp:lastModifiedBy>真</cp:lastModifiedBy>
  <cp:lastPrinted>2020-08-02T09:46:00Z</cp:lastPrinted>
  <dcterms:modified xsi:type="dcterms:W3CDTF">2020-08-04T09:49:11Z</dcterms:modified>
  <dc:title>湖南省政府采购电子卖场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