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p>
    <w:p>
      <w:pPr>
        <w:jc w:val="center"/>
        <w:rPr>
          <w:rFonts w:hint="eastAsia" w:ascii="方正小标宋_GBK" w:hAnsi="黑体" w:eastAsia="方正小标宋_GBK" w:cs="Times New Roman"/>
          <w:sz w:val="44"/>
          <w:szCs w:val="44"/>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湖南省政府采购电子卖场管理办法</w:t>
      </w:r>
    </w:p>
    <w:p>
      <w:pPr>
        <w:jc w:val="center"/>
        <w:rPr>
          <w:rFonts w:ascii="仿宋_GB2312" w:hAnsi="Times New Roman" w:eastAsia="仿宋_GB2312" w:cs="Times New Roman"/>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tabs>
          <w:tab w:val="left" w:pos="1866"/>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为加强财政预算支出管理</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规范政府采购限额标准以下的小额采购行为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根据《预算法》和政府采购有关规定，制定本办法。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湖南省政府采购电子卖场（以下简称电子卖场）是依托信息网络技术建立的、政府采购限额标准以下的货物、服务和工程采购的互联网交易和监管平台。</w:t>
      </w:r>
    </w:p>
    <w:p>
      <w:pPr>
        <w:tabs>
          <w:tab w:val="left" w:pos="1866"/>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第三条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湖南省各级国家机关、事业单位和团体组织（以下简称采购人）采购政府采购限额标准以下的货物、服务和工程，原则上应通过电子卖场进行。</w:t>
      </w:r>
    </w:p>
    <w:p>
      <w:pPr>
        <w:tabs>
          <w:tab w:val="left" w:pos="1866"/>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第四条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电子卖场的交易和监管遵循公开透明、高效简便、公平公正和诚实信用的原则。</w:t>
      </w:r>
    </w:p>
    <w:p>
      <w:pPr>
        <w:tabs>
          <w:tab w:val="left" w:pos="1555"/>
          <w:tab w:val="left" w:pos="1866"/>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第五条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电子卖场由湖南省财政厅委托运营商建设和运营。</w:t>
      </w:r>
    </w:p>
    <w:p>
      <w:pPr>
        <w:spacing w:line="600" w:lineRule="exact"/>
        <w:rPr>
          <w:rFonts w:ascii="仿宋_GB2312" w:hAnsi="Times New Roman" w:eastAsia="仿宋_GB2312" w:cs="Times New Roman"/>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供应商、商品</w:t>
      </w:r>
    </w:p>
    <w:p>
      <w:pPr>
        <w:spacing w:line="600" w:lineRule="exact"/>
        <w:rPr>
          <w:rFonts w:ascii="仿宋_GB2312" w:hAnsi="Times New Roman" w:eastAsia="仿宋_GB2312" w:cs="Times New Roman"/>
          <w:sz w:val="32"/>
          <w:szCs w:val="32"/>
        </w:rPr>
      </w:pPr>
    </w:p>
    <w:p>
      <w:pPr>
        <w:tabs>
          <w:tab w:val="left" w:pos="1866"/>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第六条  未列入严重失信行为名单和经营异常名录的法人和其他组织，同意遵守《湖南省政府采购电子卖场入驻承诺书》（见附件1），在湖南省政府采购网或电子卖场注册即可成为入驻供应商。法律法规规定需特定资质、资格的供应商和小微企业、监狱企业、福利企业，注册时应提供相应证明材料。</w:t>
      </w:r>
    </w:p>
    <w:p>
      <w:pPr>
        <w:tabs>
          <w:tab w:val="left" w:pos="1555"/>
          <w:tab w:val="left" w:pos="1866"/>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第七条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在民政部门登记的行业协会、获得检验检测资质认定证书的检验机构、商业银行以及担保、信用评级机构也可作为服务机构申请入驻。入驻的行业协会应及时公布国家强制标准，发布本地区、本行业的团体标准，组织成员通过协商来确定本地区、本行业商品的核心参数，认定协会成员的企业标准为推荐标准，行业协会暂未入驻的行业由运营商代行其职责。入驻的检验机构应邀对入驻供应商的商品进行检验，认定商品达标并发布检验报告。入驻的商业银行、担保机构为入驻供应商提供信用、担保、融资等服务，在信用、担保额度内承担扣划的连带责任。公务卡支付结算由银联支持实施。</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第八</w:t>
      </w:r>
      <w:r>
        <w:rPr>
          <w:rFonts w:hint="eastAsia" w:ascii="仿宋_GB2312" w:hAnsi="Times New Roman" w:eastAsia="仿宋_GB2312" w:cs="Times New Roman"/>
          <w:sz w:val="32"/>
          <w:szCs w:val="32"/>
          <w:lang w:eastAsia="zh-CN"/>
        </w:rPr>
        <w:t>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入驻供应商应建立商品库，按财政部规定的品目分类标准和电子卖场的商品分类标准分类登记所有商品，包括商品名称、型号规格、注册商标、最高限价、政府采购折扣以及参数配置或服务内容、检验报告等信息。商品包括货物和服务，独立于商品的配件、服务，应作为独立的商品，分开计价，但市场报价中包含的配件、服务不得分拆。未登记入库的商品不得上柜销售或参与竞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拥有注册商标的入驻供应商为品牌商，可授权其他入驻供应商代理其品牌商品或提供相关的服务认证，承担商品质量、价格的管理责任。授权代理的商品应从品牌商的商品库中选择登记入库，执行品牌商登记的最高限价。加入行业协会的入驻供应商应按行业协会的要求登记商品的核心参数。原产地在境外的进口商品，应提供报关证明，核准后方可登记入库。</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可向入驻检验机构申请检验商品，确认商品符合国家强制性标准或行业协会发布的团体标准或自我声明执行的标准，也可以登记合法检验机构出具的检验报告来证明符合标准。品牌商已通过检验的商品，其他入驻供应商登记时无需再申请检验或提供检验报告。不符合国家强制性标准的商品不得上柜或参与竞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pPr>
        <w:tabs>
          <w:tab w:val="left" w:pos="1866"/>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第九条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pPr>
        <w:tabs>
          <w:tab w:val="left" w:pos="1866"/>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第十条  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入驻供应商上柜商品、参与报价、签订合同以及品牌商授权其他入驻供应商代理时，系统将按以下要求验证电子增信并锁定信用额度：上柜商品，信用额度应不低于3万元、时间不短于一年；授权代理，信用额度应不低于10万元、时间不短于一年；参与竞价（团购）项目报价，信用额度应不低于竞价（团购）项目预算金额的5%、有效期不短于项目时间要求。入驻供应商的电子增信未锁定信用余额、时间达不到要求时，不得办理相关业务和报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除已成交项目履约验收前不得撤回已锁定的信用额度外，</w:t>
      </w:r>
      <w:r>
        <w:rPr>
          <w:rFonts w:hint="eastAsia" w:ascii="仿宋_GB2312" w:hAnsi="Times New Roman" w:eastAsia="仿宋_GB2312" w:cs="Times New Roman"/>
          <w:color w:val="000000"/>
          <w:sz w:val="32"/>
          <w:szCs w:val="32"/>
        </w:rPr>
        <w:t>入驻供应商可撤回增信，</w:t>
      </w:r>
      <w:r>
        <w:rPr>
          <w:rFonts w:hint="eastAsia" w:ascii="仿宋_GB2312" w:hAnsi="Times New Roman" w:eastAsia="仿宋_GB2312" w:cs="Times New Roman"/>
          <w:sz w:val="32"/>
          <w:szCs w:val="32"/>
        </w:rPr>
        <w:t>相关业务或报价将自动失效。入驻供应商因违反本办法规定不予退还增信的,信用（保函）保证人无条件按承保金额划缴国库。</w:t>
      </w: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第十一条　鼓励入驻供应商诚信经营，不断提高信用等级。入驻供应商锁定的信用额度不低于3万元、时间不短于一年的，信用等级为1星，参与预算金额不高于20万元的竞价项目报价不锁定电子增信额度；交易累计超过100笔无差评或锁定的信用额度不低于10万元、时间不短于一年的，信用等级为2星，参与预算金额不高于50万元的竞价项目报价不锁定电子增信额度；当年被财政部门评为优秀供应商或锁定的增信额度不低于30万元、时间不短于一年的，信用等级为3星，参与所有竞价项目报价可不锁定电子增信额度。入驻供应商因不诚信行为导致不予退还增信或全年差评达三次或全年无成交的，将取消星级标识，办理相关业务时加倍锁定信用额度；连续两年取消星级标识的，当年不再受理增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可利用电子卖场的交易记录和评价，在入驻的商业银行或担保机构增信，提高信用额度和信用等级。入驻的商业银行等服务机构可给予信用等级2星、3星的入驻供应商减免增信手续费、提高合同融资贷款比例、降低贷款利率等支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第十二条　入驻供应商应对提交的注册信息、商品登记信息全面、真实、准确、有效承担相应责任，不得虚假注册、虚假登记。入驻供应商信息不全或无法验证通过的，应及时补充修改；发生变更的，应及时维护；商品信息与其他入驻供应商登记信息不一致的，应及时向运营商报告。</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运营商应对入驻供应商新增或修改的注册信息、商品登记信息进行核查，不间断对入驻供应商注册信息、商品登记信息在后台进行跟踪比对。运营商应在3个工作日内将发现的问题及时通知入驻供应商，问题商品应标记为“自有商品”；注册信息可能影响增信有效性的，应及时退回其增信。</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第十三条　入驻供应商应严格按照合同约定履行合同，履行商品退换、维修等售后服务义务，及时处理合同争议和对售后服务的投诉。变更商品的性能参数或服务要求不得低于原成交商品。</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入驻供应商因不可抗拒力无法履行合同的，应及时向采购人提供不可抗拒力的证明，申请终止合同。</w:t>
      </w: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第十四条　入驻供应商应按照先交货再结算的原则，在采购人验收合格后申请结算合同款项，合同履行时间超过3个月的可以在合同中约定先结算后验收。1个月内合同结算金额合计不足5万元的，入驻供应商应汇总提出结算申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入驻供应商应在收款后对采购人验收付款情况、廉洁自律等情况进行评价，差评应详细说明原因。</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第十五条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增信有效的</w:t>
      </w:r>
      <w:r>
        <w:rPr>
          <w:rFonts w:ascii="仿宋_GB2312" w:hAnsi="Times New Roman" w:eastAsia="仿宋_GB2312" w:cs="Times New Roman"/>
          <w:sz w:val="32"/>
          <w:szCs w:val="32"/>
        </w:rPr>
        <w:t>入驻供应商</w:t>
      </w:r>
      <w:r>
        <w:rPr>
          <w:rFonts w:hint="eastAsia" w:ascii="仿宋_GB2312" w:hAnsi="Times New Roman" w:eastAsia="仿宋_GB2312" w:cs="Times New Roman"/>
          <w:sz w:val="32"/>
          <w:szCs w:val="32"/>
        </w:rPr>
        <w:t>可以对采购人发布的非常公告、竞价成交公告、验收公告中损害自身权益的内容向采购人提出异议，对运营商退回其增信、标记为“自有商品”向运营商提出异议，但不得利用异议恶意干扰、阻挠正常的采购活动。</w:t>
      </w:r>
    </w:p>
    <w:p>
      <w:pPr>
        <w:spacing w:line="600" w:lineRule="exact"/>
        <w:ind w:firstLine="640" w:firstLineChars="200"/>
        <w:rPr>
          <w:rFonts w:ascii="仿宋_GB2312" w:hAnsi="Times New Roman" w:eastAsia="仿宋_GB2312" w:cs="Times New Roman"/>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采购人</w:t>
      </w:r>
    </w:p>
    <w:p>
      <w:pPr>
        <w:spacing w:line="600" w:lineRule="exact"/>
        <w:rPr>
          <w:rFonts w:ascii="仿宋_GB2312" w:hAnsi="Times New Roman" w:eastAsia="仿宋_GB2312" w:cs="Times New Roman"/>
          <w:sz w:val="32"/>
          <w:szCs w:val="32"/>
        </w:rPr>
      </w:pP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第十六条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按照部门预算、采购预算、资产配置限额标准和电子卖场的交易规则和流程进行采购，按照国库集中支付的规定和合同的约定及时足额结算合同款项，落实促进节能环保、支持两型产品、支持小微企业发展等政府采购政策功能，厉行节约，切实履行预算执行主体责任和采购主体责任。</w:t>
      </w: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第十七条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建立健全政府采购内控机制，明确交易方式的适用范围、审批流程和相关部门、人员的责任并向电子卖场迁移，实现采购活动全过程留痕，通过对接预算和国库集中支付管理，不断完善内控管理和预算绩效评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采购人应将单位基本情况和操作管理员信息向同级财政部门及时报备。</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第十八条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按照预算管理的要求编制采购项目预算并将品目分类细化到最底级；零星采购按照支出经济分类科目进行核算和管理。年初采购预算下达前急需的项目采购，采购人应先征得同级财政部门同意。追加、调整预算科目、项目、品目以及细化品目分类，采购人应按预算管理的有关规定办理。采购人年终决算、结转时应认真清理核对采购预算、采购项目和支出经济分类科目。</w:t>
      </w: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第十九条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按财务管理要求管理小额采购支出，确认下单、竞价（团购）时应明确采购项目预算或支出经济分类科目，报账、支付时应验证电子卖场的采购合同。特殊情况下确实无法在电子卖场采购的，采购人可事后凭发票在电子卖场补录采购合同，并说明原因。与公务人员个人相关的小额采购支出，公务人员可使用公务卡支付，采购人报账时应验证采购合同和公务卡交易记录。</w:t>
      </w:r>
    </w:p>
    <w:p>
      <w:pPr>
        <w:tabs>
          <w:tab w:val="left" w:pos="2177"/>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第二十条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根据预算编制标准和资产配置标准，从行业协会发布的商品标准中选择并明确为采购需求标准，细化为采购需求清单中具体的采购标的和相关的服务、配件以及规格参数或服务要求以及供应商的特定资格条件。采购人还可以通过发布采购需求公告来征询入驻供应商的建议或解决方案，将指定品牌或认可的解决方案列入采购需求清单。采购人可参照入驻供应商上柜商品的报价确定项目预算，还可以将商品的近期成交价设定为最高限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需求清单既是采购人确定采购预算的依据，也是采购人验收的依据，还是入驻供应商竞价的基础。采购需求清单可以明确商品标准，可以明确品牌型号，可以按照行业协会公布的核心参数明确参数规格或服务要求，也可以是经投资评审的工程量清单，服务项目可以推荐2个以上解决方案，货物项目可以为核心商品推荐2个以上的品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货物、服务项目采购需求清单未细化到具体标的，工程项目未编制工程量清单、未经投资评审，不得在电子卖场采购。</w:t>
      </w:r>
    </w:p>
    <w:p>
      <w:pPr>
        <w:tabs>
          <w:tab w:val="left" w:pos="2177"/>
          <w:tab w:val="left" w:pos="2488"/>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第二十一条　采购人应根据采购需求特点，合理采用直购、竞价和团购等方式。同一品目的年度采购预算达到政府采购限额标准的零星采购，采购人可以定点直购。采购人及其主管部门实行定点直购，应公开定点直购的品目名称、年度预算和按折扣率确定的定点供应商名单、折扣率，定点期限不超过1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采购人不得利用电子卖场化整为零规避政府采购。单次采购预算达到政府采购限额标准的项目，应依法按政府采购的方式和程序进行。</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第二十二条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采购人应严格按照合同约定的时间履约验收，并在验收通过后 1个工作日内发布验收公告。合同有变更的，采购人应公开变更原因。因不可抗拒力导致合同终止的，采购人应及时发布合同终止公告并向同级财政部门报备。</w:t>
      </w:r>
    </w:p>
    <w:p>
      <w:pPr>
        <w:tabs>
          <w:tab w:val="left" w:pos="2488"/>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采购人应在合同验收公告发布、合同履行完毕时对入驻供应商的履约情况和商品质量进行综合评价，差评应详细说明原因。</w:t>
      </w:r>
    </w:p>
    <w:p>
      <w:pPr>
        <w:tabs>
          <w:tab w:val="left" w:pos="2488"/>
        </w:tabs>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第二十三条　采购人应按照先验收再付款的原则，在入驻供应商申请结算合同款项10个工作日内或按照合同约定的日期及时足额支付合同款项。采购人不得向入驻供应商预付合同款项，验收后应一次付清合同款项，工程项目另有规定的除外。入驻供应商验收结算后拒不履行售后服务义务或被发现了虚假资料谋取成交、假冒伪劣骗取验收的，采购人应及时向同级财政部门报告。</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第二十四条　采购人应认真、及时答复入驻供应商提出的异议，协商解决供应商的疑虑和关切，必要时还可以委托专业人士参与答复。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第二十五条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采购人应信守合同，诚信交易。超过合同约定验收时间10个工作日不发布验收公告的，系统自动记差评1次；超过合同约定付款时间10个工作日不支付的，系统自动记差评1次；收到入驻供应商异议10个工作日不答复的，系统自动记差评1次。采购人改正后，系统自动收回差评。</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采购人一年内差评达3次，系统暂停采购人开展新的采购活动；采购人应主动进行整改，公开整改情况后系统自动收回差评，恢复开展新的采购活动。</w:t>
      </w:r>
    </w:p>
    <w:p>
      <w:pPr>
        <w:spacing w:line="600" w:lineRule="exact"/>
        <w:rPr>
          <w:rFonts w:ascii="仿宋_GB2312" w:hAnsi="Times New Roman" w:eastAsia="仿宋_GB2312" w:cs="Times New Roman"/>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章 交易规则和流程</w:t>
      </w:r>
    </w:p>
    <w:p>
      <w:pPr>
        <w:spacing w:line="600" w:lineRule="exact"/>
        <w:rPr>
          <w:rFonts w:ascii="仿宋_GB2312" w:hAnsi="Times New Roman" w:eastAsia="仿宋_GB2312" w:cs="Times New Roman"/>
          <w:sz w:val="32"/>
          <w:szCs w:val="32"/>
        </w:rPr>
      </w:pP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电子卖场包含直购、竞价和团购三种交易方式。</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直购是采购人在上柜商品中择优选择，直接向入驻供应商下达订单的方式。采购需求可以明确为品牌型号或具体服务要求的，采购人可以采用直购方式。</w:t>
      </w:r>
    </w:p>
    <w:p>
      <w:pPr>
        <w:tabs>
          <w:tab w:val="left" w:pos="2488"/>
        </w:tabs>
        <w:spacing w:line="600" w:lineRule="exact"/>
        <w:ind w:left="0" w:leftChars="0" w:firstLine="617" w:firstLineChars="19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增信有效的入驻供应商，可选择商品库的商品上柜，商品报价可随时根据市场调整，但不得高于登记的最高限价。入驻供应商还可以将相关商品（服务、配件）组合上架，但应分别列明商品报价。商品的成交价按市场报价乘上政府采购折扣计算。入驻供应商可以随时下柜商品，货物类商品存货数量为0时将自动下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通过品目分类、商品标准、供应商、品牌型号等条件从入驻供应商的上柜商品中综合选择符合采购需求、报价低、服务好的商品下单，入驻供应商也可以根据采购人的要求提交报价单，由采购人确认下单，系统将提醒商品以及相关服务、配件的最新成交价和最低报价等相关信息。采购人确认下单后，系统自动发布成交公告、自动生成电子采购合同并通知成交供应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购的下列情形,系统自动将成交公告同步推送至非常公告栏：成交商品为“自有商品”的；成交价格高于该商品1个月平均成交价（或报价）一定比例（比例由当地财政部门规定）的；成交商品属于采购人公告的定点品目但成交供应商不在定点范围内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信有效的入驻供应商可在1个工作日内对列入非常公告栏的直购成交公告提出异议，采购人收到异议后可取消成交并通知成交供应商。采购人未收到异议或答复异议后决定继续签订合同的，系统自动生成电子采购合同并通知成交供应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电子卖场将按照政策功能和本土优势产业分别设立两型产品馆、扶贫馆、湖湘特色馆等专业卖场，相关商品经审核后即可在专业卖场上柜直购。鼓励采购人根据采购需求在专业卖场直购，专业卖场的成交公告不作为非常公告自动推送。</w:t>
      </w:r>
    </w:p>
    <w:p>
      <w:pPr>
        <w:tabs>
          <w:tab w:val="left" w:pos="2177"/>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竞价是采购人提出采购需求清单，邀请供应商竞价，选择实质性响应采购需求的入驻供应商成交的方式，是参照政府采购非招标方式的简化网上交易方式。采购需求清单明确为商品标准、参数规格或服务要求以及经投资评审的工程量清单的，采购人可以采用竞价方式。</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采购人应将采购需求清单随竞价邀请公告一同发布，竞价邀请公告约定的响应截止时间应不少3个工作日。货物项目可以为核心商品推荐2个以上的品牌，服务项目可以推荐2个以上解决方案。采购人可在发布公告时向特定的入驻供应商发出邀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价邀请公告约定的响应截止时间前，增信有效的入驻供应商均可提交响应清单和报价。入驻供应商响应清单应对照采购需求清单从商品库中选择满足需求的商品，商品报价不得高于其最高限价，货物类“自有商品”不得参与竞价。响应清单和报价提交后不可更改，但可以在响应截止前撤回。</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价响应截止后，系统自动按支持节能环保产品、两型产品以及小微企业等政策规定的最高比例计算价格扣除后排序，报价相同的以报价时间优先。不符合资格条件、不符合需求标准、不属于推荐品牌或未采用推荐的解决方案以及规格参数、服务要求不能实质性响应需求的，系统自动作为无效响应处理；需要人工认定的，系统开放显示响应清单供采购人处理并记录原因，必要时采购人可以邀请专家协助认定。实质性响应需求的入驻供应商不足2家的，竞价自动终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价响应截止1个工作日内，采购人选择满足采购需求、报价低、服务好的入驻供应商成交并公告成交结果。参与竞价的供应商可在1个工作日内对竞价成交公告提出异议，采购人收到异议后可取消成交并通知成交供应商。采购人未收到异议或答复异议后决定继续签订合同的，系统自动生成电子采购合同并通知成交供应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团购是具有相同采购需求的采购人，邀请信用等级较高的入驻供应商竞价，实质性响应采购需求且报价最低的入驻供应商成交的方式。团购是多个采购人的批量竞价，适用于技术、服务等标准统一的商品。</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发起团购的采购人应发布团购邀请公告。公告应详细列明需求标准、商品的品牌型号、最高单价等, 货物项目可以推荐需求标准相同、2个以上的品牌型号；公告约定的团购截止时间不得少5个工作日，参与团购的采购人最低数量不得少于5人。发起团购的采购人在发布团购邀请公告时，可向特定的入驻供应商发出邀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购邀请公告约定截止时间止未达到约定的最低人数，团购自动终止。团购邀请公告约定截止时间前，参与团购的人数达到约定的最低人数，信用等级为2星、3星的入驻供应商即可开始竞价。入驻供应商竞价时间不少于3个工作日，团购邀请公告约定的截止时间不足的，自动延后。入驻供应商开始竞价后，有相同采购需求的采购人可以继续参与团购，入驻供应商可以提交更低的单价。团购邀请公告将实时刷新参与团购的采购人数量、采购人申报的采购数量以及入驻供应商的最新报价；团购截止后，系统自动将报价最低的入驻供应商确认为成交供应商，公告成交结果，生成电子采购合同，通知成交供应商。</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电子卖场的采购合同均由系统自动生成，采购人与供应商可以约定交货、验收时间、地点等商务条款，但不得实质改变采购合同。纸质合同应在电子卖场下载打印后再签字盖章。</w:t>
      </w:r>
    </w:p>
    <w:p>
      <w:pPr>
        <w:spacing w:line="600" w:lineRule="exact"/>
        <w:rPr>
          <w:rFonts w:ascii="仿宋_GB2312" w:hAnsi="Times New Roman" w:eastAsia="仿宋_GB2312" w:cs="Times New Roman"/>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章  监督管理</w:t>
      </w:r>
    </w:p>
    <w:p>
      <w:pPr>
        <w:spacing w:line="600" w:lineRule="exact"/>
        <w:rPr>
          <w:rFonts w:ascii="仿宋_GB2312" w:hAnsi="Times New Roman" w:eastAsia="仿宋_GB2312" w:cs="Times New Roman"/>
          <w:sz w:val="32"/>
          <w:szCs w:val="32"/>
        </w:rPr>
      </w:pP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财政部门按预算管理级次对采购人、采购活动以及相关入驻供应商进行监管。财政部门应定期抽查本级的采购项目，重点检查采购人合同履约和验收付款情况；可根据采购项目情况对相关采购人、入驻供应商进行检查。入驻供应商利用异议恶意干扰的，财政部门可暂停其提出异议的权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财政部门应积极推行预算绩效评价，对采购人落实政府采购政策功能情况进行考核。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采购人违反本办法规定的，财政部门可责令限期整改，认定成交结果无效；情节严重的，财政部门可责令暂停开展新的采购活动，造成经济损失的可责令赔偿损失；采购人拒不整改的，可移送相关部门追究相关负责人、经办人的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驻供应商违反本办法规定的，财政部门可责令限期整改，认定成交结果无效，可通知运营商将问题商品强制下柜或标记为“自有商品”；情节严重的，财政部门可通知运营商退回电子增信；造成经济损失的，财政部门可责令赔偿损失。除不可抗拒力导致无法履行合同外，入驻供应商拒不履行合同或两次验收无法达到合同约定或验收后不履行约定的售后服务义务的，财政部门可通知运营商退回电子增信，可通知运营商不予退还增信，可通知运营商一年内不再受理新的增信。入驻供应商虚假资料谋取成交、假冒伪劣骗取验收的，财政部门还可将其列入严重失信行为名单，通知运营商三年内不再受理增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采购人、供应商应主动接受财政部门检查、考核和审计、监察部门以及社会公众的监督。 任何单位和个人发现供应商的注册信息、上柜商品信息以及采购人发布的成交公告、验收公告存在虚假、违规的，都可以实名举报。</w:t>
      </w:r>
    </w:p>
    <w:p>
      <w:pPr>
        <w:tabs>
          <w:tab w:val="left" w:pos="2177"/>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行业协会、检验机构、商业银行等服务机构应定期公开服务情况，及时向省财政厅报告服务中发现的问题。服务机构不能正常履职的，省财政厅应责令其整改；情节严重的，可通知运营商暂停或取消其入驻资格。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行业协会、检验机构、商业银行等服务机构提供收费服务，应公开费用标准，由入驻供应商选择。</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运营商应按照本办法规定和委托协议建设、运营电子卖场，为采购人、入驻供应商和入驻服务机构提供服务，为小微企业平等参与竞争提供保障。运营商应定期向省财政厅报告运营情况和异议答复情况，及时报告运营中发现的违规行为。省财政厅加强对运营商的管理，督促提高运营水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除代扣公务卡交易手续费外，运营商不得向采购人、入驻供应商收取运营费用。运营商提供增值服务，应公开费用标准，由入驻供应商选择。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财政部门检查考核结果、处理意见应予公开。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财政部门及监管人员不得参与、干涉采购人及采购活动，不得插手供应商入驻、商品入库，不得干涉运营商的正常运营。</w:t>
      </w:r>
    </w:p>
    <w:p>
      <w:pPr>
        <w:jc w:val="center"/>
        <w:rPr>
          <w:rFonts w:ascii="黑体" w:hAnsi="Times New Roman" w:eastAsia="黑体" w:cs="Times New Roman"/>
          <w:sz w:val="32"/>
          <w:szCs w:val="32"/>
        </w:rPr>
      </w:pPr>
    </w:p>
    <w:p>
      <w:pPr>
        <w:jc w:val="center"/>
        <w:rPr>
          <w:rFonts w:ascii="仿宋_GB2312" w:hAnsi="Times New Roman" w:eastAsia="仿宋_GB2312" w:cs="Times New Roman"/>
          <w:sz w:val="32"/>
          <w:szCs w:val="32"/>
        </w:rPr>
      </w:pPr>
      <w:r>
        <w:rPr>
          <w:rFonts w:hint="eastAsia" w:ascii="黑体" w:hAnsi="Times New Roman" w:eastAsia="黑体" w:cs="Times New Roman"/>
          <w:sz w:val="32"/>
          <w:szCs w:val="32"/>
        </w:rPr>
        <w:t>第</w:t>
      </w:r>
      <w:r>
        <w:rPr>
          <w:rFonts w:hint="eastAsia" w:ascii="黑体" w:hAnsi="Times New Roman" w:eastAsia="黑体" w:cs="Times New Roman"/>
          <w:sz w:val="32"/>
          <w:szCs w:val="32"/>
          <w:lang w:eastAsia="zh-CN"/>
        </w:rPr>
        <w:t>六</w:t>
      </w:r>
      <w:r>
        <w:rPr>
          <w:rFonts w:hint="eastAsia" w:ascii="黑体" w:hAnsi="Times New Roman" w:eastAsia="黑体" w:cs="Times New Roman"/>
          <w:sz w:val="32"/>
          <w:szCs w:val="32"/>
        </w:rPr>
        <w:t>章  附则</w:t>
      </w:r>
    </w:p>
    <w:p>
      <w:pPr>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为了提高采购效率，单次采购预算在采购限额标准以上、采购人可以明确提出采购需求清单且技术、服务等标准统一的货物、服务项目或工程量清单经投资评审的工程项目，经同级财政部门同意，可在电子卖场竞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电子卖场启用后，协议供货、定点采购有关办法停止执行。</w:t>
      </w:r>
    </w:p>
    <w:p>
      <w:pPr>
        <w:tabs>
          <w:tab w:val="left" w:pos="2488"/>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本办法自2019年12月13日起施行，有效期五年。</w:t>
      </w:r>
    </w:p>
    <w:p>
      <w:pPr>
        <w:widowControl/>
        <w:wordWrap/>
        <w:spacing w:before="0" w:after="0" w:line="440" w:lineRule="exact"/>
        <w:ind w:left="0" w:leftChars="0" w:right="0"/>
        <w:jc w:val="left"/>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br w:type="page"/>
      </w:r>
      <w:r>
        <w:rPr>
          <w:rFonts w:hint="eastAsia" w:ascii="仿宋_GB2312" w:hAnsi="Times New Roman" w:eastAsia="仿宋_GB2312" w:cs="Times New Roman"/>
          <w:sz w:val="32"/>
          <w:szCs w:val="32"/>
        </w:rPr>
        <w:t>附件1</w:t>
      </w:r>
    </w:p>
    <w:p>
      <w:pPr>
        <w:wordWrap/>
        <w:spacing w:before="0" w:after="0" w:line="440" w:lineRule="exact"/>
        <w:ind w:left="0" w:leftChars="0" w:right="0"/>
        <w:jc w:val="center"/>
        <w:textAlignment w:val="auto"/>
        <w:outlineLvl w:val="9"/>
        <w:rPr>
          <w:rFonts w:hint="eastAsia" w:ascii="仿宋_GB2312" w:hAnsi="仿宋_GB2312" w:eastAsia="仿宋_GB2312" w:cs="仿宋_GB2312"/>
          <w:b/>
          <w:bCs/>
          <w:sz w:val="44"/>
          <w:szCs w:val="44"/>
        </w:rPr>
      </w:pPr>
    </w:p>
    <w:p>
      <w:pPr>
        <w:wordWrap/>
        <w:spacing w:before="0" w:after="0" w:line="440" w:lineRule="exact"/>
        <w:ind w:left="0" w:leftChars="0" w:right="0"/>
        <w:jc w:val="center"/>
        <w:textAlignment w:val="auto"/>
        <w:outlineLvl w:val="9"/>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湖南省政府采购电子卖场入驻承诺书</w:t>
      </w:r>
    </w:p>
    <w:p>
      <w:pPr>
        <w:wordWrap/>
        <w:spacing w:before="0" w:after="0" w:line="440" w:lineRule="exact"/>
        <w:ind w:left="0" w:leftChars="0" w:right="0" w:firstLine="645"/>
        <w:jc w:val="left"/>
        <w:textAlignment w:val="auto"/>
        <w:outlineLvl w:val="9"/>
        <w:rPr>
          <w:rFonts w:ascii="仿宋_GB2312" w:hAnsi="Times New Roman" w:eastAsia="仿宋_GB2312" w:cs="Times New Roman"/>
          <w:sz w:val="32"/>
          <w:szCs w:val="32"/>
        </w:rPr>
      </w:pPr>
    </w:p>
    <w:p>
      <w:pPr>
        <w:wordWrap/>
        <w:spacing w:before="0" w:after="0" w:line="440" w:lineRule="exact"/>
        <w:ind w:left="0" w:leftChars="0" w:right="0" w:firstLine="645"/>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本公司自愿成为湖南省政府采购电子卖场入驻供应商。本公司法定代表人（负责人）已阅读并理解《</w:t>
      </w:r>
      <w:r>
        <w:rPr>
          <w:rFonts w:hint="eastAsia" w:ascii="仿宋_GB2312" w:hAnsi="黑体" w:eastAsia="仿宋_GB2312" w:cs="Times New Roman"/>
          <w:sz w:val="32"/>
          <w:szCs w:val="32"/>
        </w:rPr>
        <w:t>湖南省政府采购电子卖场管理办法</w:t>
      </w:r>
      <w:r>
        <w:rPr>
          <w:rFonts w:hint="eastAsia" w:ascii="仿宋_GB2312" w:hAnsi="Times New Roman" w:eastAsia="仿宋_GB2312" w:cs="Times New Roman"/>
          <w:sz w:val="32"/>
          <w:szCs w:val="32"/>
        </w:rPr>
        <w:t>》，并代表公司承诺如下：</w:t>
      </w:r>
    </w:p>
    <w:p>
      <w:pPr>
        <w:wordWrap/>
        <w:spacing w:before="0" w:after="0" w:line="440" w:lineRule="exact"/>
        <w:ind w:left="0" w:leftChars="0" w:right="0" w:firstLine="645"/>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pPr>
        <w:wordWrap/>
        <w:spacing w:before="0" w:after="0" w:line="440" w:lineRule="exact"/>
        <w:ind w:left="0" w:leftChars="0" w:right="0" w:firstLine="645"/>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本公司的商品符合国家强制性标准，以及行业协会发布的团体标准或入驻供应商自我声明执行的标准，符合政府采购政策，来源渠道正规、合法，按规定提供售后服务，承担“三包”责任，报价不高于其他市场同期报价，验收合格后再收款。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pPr>
        <w:wordWrap/>
        <w:spacing w:before="0" w:after="0" w:line="440" w:lineRule="exact"/>
        <w:ind w:left="0" w:leftChars="0" w:right="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三、本公司愿意遵守湖南省政府采购电子卖场的入驻要求和交易规则，接受运营商的核查、管理，接受财政部门的监管、检查。</w:t>
      </w:r>
    </w:p>
    <w:p>
      <w:pPr>
        <w:wordWrap/>
        <w:spacing w:before="0" w:after="0" w:line="440" w:lineRule="exact"/>
        <w:ind w:left="0" w:leftChars="0" w:right="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本公司如违反《</w:t>
      </w:r>
      <w:r>
        <w:rPr>
          <w:rFonts w:hint="eastAsia" w:ascii="仿宋_GB2312" w:hAnsi="黑体" w:eastAsia="仿宋_GB2312" w:cs="Times New Roman"/>
          <w:sz w:val="32"/>
          <w:szCs w:val="32"/>
        </w:rPr>
        <w:t>湖南省政府采购电子卖场管理办法</w:t>
      </w:r>
      <w:r>
        <w:rPr>
          <w:rFonts w:hint="eastAsia" w:ascii="仿宋_GB2312" w:hAnsi="Times New Roman" w:eastAsia="仿宋_GB2312" w:cs="Times New Roman"/>
          <w:sz w:val="32"/>
          <w:szCs w:val="32"/>
        </w:rPr>
        <w:t>》和以上承诺，同意将增信保证划缴国库。</w:t>
      </w:r>
    </w:p>
    <w:p>
      <w:pPr>
        <w:widowControl/>
        <w:wordWrap/>
        <w:spacing w:before="0" w:after="0" w:line="440" w:lineRule="exact"/>
        <w:ind w:left="0" w:leftChars="0" w:right="0"/>
        <w:jc w:val="left"/>
        <w:textAlignment w:val="auto"/>
        <w:outlineLvl w:val="9"/>
        <w:rPr>
          <w:rFonts w:ascii="仿宋_GB2312" w:hAnsi="Times New Roman" w:eastAsia="仿宋_GB2312" w:cs="Times New Roman"/>
          <w:sz w:val="32"/>
          <w:szCs w:val="32"/>
        </w:rPr>
      </w:pPr>
    </w:p>
    <w:p>
      <w:pPr>
        <w:wordWrap/>
        <w:adjustRightInd w:val="0"/>
        <w:snapToGrid w:val="0"/>
        <w:spacing w:before="0" w:after="0" w:line="4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公司（单位）名称：</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（盖章）</w:t>
      </w:r>
    </w:p>
    <w:p>
      <w:pPr>
        <w:wordWrap/>
        <w:adjustRightInd w:val="0"/>
        <w:snapToGrid w:val="0"/>
        <w:spacing w:before="0" w:after="0" w:line="4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法定代表人（负责人）：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（签字）</w:t>
      </w:r>
    </w:p>
    <w:p>
      <w:pPr>
        <w:wordWrap/>
        <w:adjustRightInd w:val="0"/>
        <w:snapToGrid w:val="0"/>
        <w:spacing w:before="0" w:after="0" w:line="440" w:lineRule="exact"/>
        <w:ind w:left="0" w:leftChars="0" w:right="0" w:firstLine="640" w:firstLineChars="200"/>
        <w:jc w:val="left"/>
        <w:textAlignment w:val="auto"/>
        <w:outlineLvl w:val="9"/>
        <w:rPr>
          <w:rFonts w:ascii="仿宋_GB2312" w:hAnsi="宋体" w:eastAsia="仿宋_GB2312" w:cs="Times New Roman"/>
          <w:sz w:val="32"/>
          <w:szCs w:val="32"/>
          <w:u w:val="single"/>
        </w:rPr>
      </w:pPr>
    </w:p>
    <w:p>
      <w:pPr>
        <w:wordWrap/>
        <w:adjustRightInd w:val="0"/>
        <w:snapToGrid w:val="0"/>
        <w:spacing w:before="0" w:after="0" w:line="440" w:lineRule="exact"/>
        <w:ind w:right="0" w:firstLine="5760" w:firstLineChars="18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w:t>
      </w:r>
    </w:p>
    <w:p>
      <w:pPr>
        <w:widowControl/>
        <w:jc w:val="left"/>
        <w:rPr>
          <w:rFonts w:ascii="仿宋_GB2312" w:hAnsi="Times New Roman" w:eastAsia="仿宋_GB2312" w:cs="Times New Roman"/>
          <w:sz w:val="32"/>
          <w:szCs w:val="32"/>
        </w:rPr>
      </w:pPr>
      <w:r>
        <w:rPr>
          <w:rFonts w:ascii="仿宋_GB2312" w:hAnsi="宋体" w:eastAsia="仿宋_GB2312" w:cs="Times New Roman"/>
          <w:sz w:val="32"/>
          <w:szCs w:val="32"/>
        </w:rPr>
        <w:br w:type="page"/>
      </w:r>
      <w:r>
        <w:rPr>
          <w:rFonts w:hint="eastAsia" w:ascii="仿宋_GB2312" w:hAnsi="Times New Roman" w:eastAsia="仿宋_GB2312" w:cs="Times New Roman"/>
          <w:sz w:val="32"/>
          <w:szCs w:val="32"/>
        </w:rPr>
        <w:t>附件2</w:t>
      </w:r>
    </w:p>
    <w:p>
      <w:pPr>
        <w:adjustRightInd w:val="0"/>
        <w:snapToGrid w:val="0"/>
        <w:spacing w:before="0" w:after="0" w:line="540" w:lineRule="exact"/>
        <w:ind w:left="0" w:leftChars="0" w:right="0"/>
        <w:jc w:val="center"/>
        <w:textAlignment w:val="auto"/>
        <w:outlineLvl w:val="9"/>
        <w:rPr>
          <w:rFonts w:hint="eastAsia" w:ascii="仿宋_GB2312" w:hAnsi="仿宋_GB2312" w:eastAsia="仿宋_GB2312" w:cs="仿宋_GB2312"/>
          <w:b/>
          <w:bCs/>
          <w:sz w:val="44"/>
          <w:szCs w:val="44"/>
          <w:u w:val="single"/>
        </w:rPr>
      </w:pPr>
      <w:r>
        <w:rPr>
          <w:rFonts w:hint="eastAsia" w:ascii="仿宋_GB2312" w:hAnsi="仿宋_GB2312" w:eastAsia="仿宋_GB2312" w:cs="仿宋_GB2312"/>
          <w:b/>
          <w:bCs/>
          <w:sz w:val="44"/>
          <w:szCs w:val="44"/>
        </w:rPr>
        <w:t>湖南省政府采购电子卖场入驻保函</w:t>
      </w:r>
      <w:r>
        <w:rPr>
          <w:rFonts w:hint="eastAsia" w:ascii="仿宋_GB2312" w:hAnsi="仿宋_GB2312" w:eastAsia="仿宋_GB2312" w:cs="仿宋_GB2312"/>
          <w:b/>
          <w:bCs/>
          <w:sz w:val="44"/>
          <w:szCs w:val="44"/>
        </w:rPr>
        <w:br w:type="textWrapping"/>
      </w:r>
      <w:r>
        <w:rPr>
          <w:rFonts w:hint="eastAsia" w:ascii="仿宋_GB2312" w:hAnsi="仿宋_GB2312" w:eastAsia="仿宋_GB2312" w:cs="仿宋_GB2312"/>
          <w:b/>
          <w:bCs/>
          <w:sz w:val="44"/>
          <w:szCs w:val="44"/>
        </w:rPr>
        <w:t>（格式）</w:t>
      </w:r>
    </w:p>
    <w:p>
      <w:pPr>
        <w:wordWrap w:val="0"/>
        <w:spacing w:before="0" w:after="0" w:line="540" w:lineRule="exact"/>
        <w:ind w:left="0" w:leftChars="0" w:right="0"/>
        <w:jc w:val="righ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编号：    </w:t>
      </w:r>
    </w:p>
    <w:p>
      <w:pPr>
        <w:adjustRightInd w:val="0"/>
        <w:snapToGrid w:val="0"/>
        <w:spacing w:before="0" w:after="0" w:line="540" w:lineRule="exact"/>
        <w:ind w:left="0" w:leftChars="0" w:right="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w:t>
      </w:r>
    </w:p>
    <w:p>
      <w:pPr>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黑体" w:eastAsia="仿宋_GB2312" w:cs="Times New Roman"/>
          <w:sz w:val="32"/>
          <w:szCs w:val="32"/>
        </w:rPr>
        <w:t>根据《湖南省政府采购电子卖场管理办法</w:t>
      </w:r>
      <w:r>
        <w:rPr>
          <w:rFonts w:hint="eastAsia" w:ascii="仿宋_GB2312" w:hAnsi="Times New Roman" w:eastAsia="仿宋_GB2312" w:cs="Times New Roman"/>
          <w:sz w:val="32"/>
          <w:szCs w:val="32"/>
        </w:rPr>
        <w:t>》，</w:t>
      </w:r>
      <w:r>
        <w:rPr>
          <w:rFonts w:hint="eastAsia" w:ascii="仿宋_GB2312" w:hAnsi="宋体" w:eastAsia="仿宋_GB2312" w:cs="Times New Roman"/>
          <w:sz w:val="32"/>
          <w:szCs w:val="32"/>
        </w:rPr>
        <w:t>申请人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（供应商名称）申请入驻</w:t>
      </w:r>
      <w:r>
        <w:rPr>
          <w:rFonts w:hint="eastAsia" w:ascii="仿宋_GB2312" w:hAnsi="黑体" w:eastAsia="仿宋_GB2312" w:cs="Times New Roman"/>
          <w:sz w:val="32"/>
          <w:szCs w:val="32"/>
        </w:rPr>
        <w:t xml:space="preserve">湖南省政府采购电子卖场。 </w:t>
      </w:r>
      <w:r>
        <w:rPr>
          <w:rFonts w:hint="eastAsia" w:ascii="仿宋_GB2312" w:hAnsi="宋体" w:eastAsia="仿宋_GB2312" w:cs="Times New Roman"/>
          <w:sz w:val="32"/>
          <w:szCs w:val="32"/>
        </w:rPr>
        <w:t>保证人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（保证人名称）无条件地、不可撤销地保证：在本保函有效期内，保证在收到贵方书面要求5个工作日内，将申请人</w:t>
      </w:r>
      <w:r>
        <w:rPr>
          <w:rFonts w:hint="eastAsia" w:ascii="仿宋_GB2312" w:hAnsi="宋体" w:eastAsia="仿宋_GB2312" w:cs="Times New Roman"/>
          <w:sz w:val="32"/>
          <w:szCs w:val="32"/>
          <w:lang w:eastAsia="zh-CN"/>
        </w:rPr>
        <w:t>保证金额</w:t>
      </w:r>
      <w:bookmarkStart w:id="0" w:name="_GoBack"/>
      <w:bookmarkEnd w:id="0"/>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（大写）支付到贵方指定账户。</w:t>
      </w:r>
    </w:p>
    <w:p>
      <w:pPr>
        <w:spacing w:before="0" w:after="0" w:line="540" w:lineRule="exact"/>
        <w:ind w:left="0" w:leftChars="0" w:right="0" w:firstLine="540"/>
        <w:jc w:val="left"/>
        <w:textAlignment w:val="auto"/>
        <w:outlineLvl w:val="9"/>
        <w:rPr>
          <w:rFonts w:ascii="仿宋_GB2312" w:hAnsi="宋体" w:eastAsia="仿宋_GB2312" w:cs="Times New Roman"/>
          <w:sz w:val="32"/>
          <w:szCs w:val="32"/>
        </w:rPr>
      </w:pPr>
    </w:p>
    <w:p>
      <w:pPr>
        <w:adjustRightInd w:val="0"/>
        <w:snapToGrid w:val="0"/>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本保函自</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日至</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日内保持有效。</w:t>
      </w:r>
    </w:p>
    <w:p>
      <w:pPr>
        <w:adjustRightInd w:val="0"/>
        <w:snapToGrid w:val="0"/>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rPr>
      </w:pPr>
    </w:p>
    <w:p>
      <w:pPr>
        <w:adjustRightInd w:val="0"/>
        <w:snapToGrid w:val="0"/>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保证人名称：</w:t>
      </w:r>
      <w:r>
        <w:rPr>
          <w:rFonts w:hint="eastAsia" w:ascii="仿宋_GB2312" w:hAnsi="宋体" w:eastAsia="仿宋_GB2312" w:cs="Times New Roman"/>
          <w:sz w:val="32"/>
          <w:szCs w:val="32"/>
          <w:u w:val="single"/>
        </w:rPr>
        <w:t xml:space="preserve">            </w:t>
      </w:r>
    </w:p>
    <w:p>
      <w:pPr>
        <w:adjustRightInd w:val="0"/>
        <w:snapToGrid w:val="0"/>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 xml:space="preserve">地    </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址：</w:t>
      </w:r>
      <w:r>
        <w:rPr>
          <w:rFonts w:hint="eastAsia" w:ascii="仿宋_GB2312" w:hAnsi="宋体" w:eastAsia="仿宋_GB2312" w:cs="Times New Roman"/>
          <w:sz w:val="32"/>
          <w:szCs w:val="32"/>
          <w:u w:val="single"/>
        </w:rPr>
        <w:t xml:space="preserve">            </w:t>
      </w:r>
    </w:p>
    <w:p>
      <w:pPr>
        <w:adjustRightInd w:val="0"/>
        <w:snapToGrid w:val="0"/>
        <w:spacing w:before="0" w:after="0" w:line="540" w:lineRule="exact"/>
        <w:ind w:left="0" w:leftChars="0" w:right="0" w:firstLine="640" w:firstLineChars="200"/>
        <w:jc w:val="left"/>
        <w:textAlignment w:val="auto"/>
        <w:outlineLvl w:val="9"/>
        <w:rPr>
          <w:rFonts w:ascii="仿宋_GB2312" w:hAnsi="宋体" w:eastAsia="仿宋_GB2312" w:cs="Times New Roman"/>
          <w:sz w:val="32"/>
          <w:szCs w:val="32"/>
          <w:u w:val="single"/>
        </w:rPr>
      </w:pPr>
    </w:p>
    <w:p>
      <w:pPr>
        <w:adjustRightInd w:val="0"/>
        <w:snapToGrid w:val="0"/>
        <w:spacing w:before="0" w:after="0" w:line="540" w:lineRule="exact"/>
        <w:ind w:right="0" w:firstLine="5760" w:firstLineChars="1800"/>
        <w:jc w:val="left"/>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w:t>
      </w:r>
    </w:p>
    <w:p>
      <w:pPr>
        <w:adjustRightInd w:val="0"/>
        <w:snapToGrid w:val="0"/>
        <w:spacing w:before="0" w:after="0" w:line="540" w:lineRule="exact"/>
        <w:ind w:left="0" w:leftChars="0" w:right="0" w:firstLine="4800" w:firstLineChars="1500"/>
        <w:jc w:val="left"/>
        <w:textAlignment w:val="auto"/>
        <w:outlineLvl w:val="9"/>
        <w:rPr>
          <w:rFonts w:ascii="仿宋_GB2312" w:hAnsi="宋体" w:eastAsia="仿宋_GB2312" w:cs="Times New Roman"/>
          <w:sz w:val="32"/>
          <w:szCs w:val="32"/>
        </w:rPr>
      </w:pPr>
    </w:p>
    <w:p>
      <w:pPr>
        <w:widowControl/>
        <w:spacing w:before="0" w:after="0" w:line="540" w:lineRule="exact"/>
        <w:ind w:left="0" w:leftChars="0" w:right="0"/>
        <w:jc w:val="left"/>
        <w:textAlignment w:val="auto"/>
        <w:outlineLvl w:val="9"/>
        <w:rPr>
          <w:rFonts w:ascii="仿宋_GB2312" w:hAnsi="Times New Roman" w:eastAsia="仿宋_GB2312" w:cs="Times New Roman"/>
          <w:sz w:val="32"/>
          <w:szCs w:val="32"/>
        </w:rPr>
      </w:pPr>
    </w:p>
    <w:p>
      <w:pPr>
        <w:widowControl/>
        <w:spacing w:before="0" w:after="0" w:line="540" w:lineRule="exact"/>
        <w:ind w:left="0" w:leftChars="0" w:right="0"/>
        <w:jc w:val="left"/>
        <w:textAlignment w:val="auto"/>
        <w:outlineLvl w:val="9"/>
        <w:rPr>
          <w:rFonts w:ascii="仿宋_GB2312" w:hAnsi="Times New Roman" w:eastAsia="仿宋_GB2312" w:cs="Times New Roman"/>
          <w:sz w:val="32"/>
          <w:szCs w:val="32"/>
        </w:rPr>
      </w:pPr>
    </w:p>
    <w:p>
      <w:pPr>
        <w:widowControl/>
        <w:spacing w:before="0" w:after="0" w:line="540" w:lineRule="exact"/>
        <w:ind w:left="0" w:leftChars="0" w:right="0"/>
        <w:jc w:val="left"/>
        <w:textAlignment w:val="auto"/>
        <w:outlineLvl w:val="9"/>
        <w:rPr>
          <w:rFonts w:ascii="仿宋_GB2312" w:hAnsi="Times New Roman" w:eastAsia="仿宋_GB2312" w:cs="Times New Roman"/>
          <w:sz w:val="32"/>
          <w:szCs w:val="32"/>
        </w:rPr>
      </w:pPr>
    </w:p>
    <w:p>
      <w:pPr>
        <w:widowControl/>
        <w:spacing w:before="0" w:after="0" w:line="540" w:lineRule="exact"/>
        <w:ind w:left="0" w:leftChars="0" w:right="0"/>
        <w:jc w:val="left"/>
        <w:textAlignment w:val="auto"/>
        <w:outlineLvl w:val="9"/>
        <w:rPr>
          <w:rFonts w:ascii="仿宋_GB2312" w:hAnsi="Times New Roman" w:eastAsia="仿宋_GB2312" w:cs="Times New Roman"/>
          <w:sz w:val="32"/>
          <w:szCs w:val="32"/>
        </w:rPr>
      </w:pPr>
    </w:p>
    <w:p>
      <w:pPr>
        <w:widowControl/>
        <w:spacing w:before="0" w:after="0" w:line="540" w:lineRule="exact"/>
        <w:ind w:left="0" w:leftChars="0" w:right="0"/>
        <w:jc w:val="left"/>
        <w:textAlignment w:val="auto"/>
        <w:outlineLvl w:val="9"/>
        <w:rPr>
          <w:rFonts w:ascii="仿宋_GB2312" w:hAnsi="Times New Roman" w:eastAsia="仿宋_GB2312" w:cs="Times New Roman"/>
          <w:sz w:val="32"/>
          <w:szCs w:val="32"/>
        </w:rPr>
      </w:pPr>
    </w:p>
    <w:p>
      <w:pPr>
        <w:adjustRightInd w:val="0"/>
        <w:snapToGrid w:val="0"/>
        <w:spacing w:before="0" w:after="0" w:line="540" w:lineRule="exact"/>
        <w:ind w:left="0" w:leftChars="0" w:right="0" w:firstLine="4800" w:firstLineChars="1500"/>
        <w:jc w:val="left"/>
        <w:textAlignment w:val="auto"/>
        <w:outlineLvl w:val="9"/>
        <w:rPr>
          <w:rFonts w:ascii="Times New Roman" w:hAnsi="Times New Roman" w:eastAsia="仿宋_GB2312" w:cs="Times New Roman"/>
          <w:sz w:val="32"/>
          <w:szCs w:val="32"/>
        </w:rPr>
      </w:pPr>
    </w:p>
    <w:sectPr>
      <w:headerReference r:id="rId3" w:type="default"/>
      <w:footerReference r:id="rId4" w:type="default"/>
      <w:footerReference r:id="rId5"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cs="宋体"/>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cs="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18</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A93D95"/>
    <w:rsid w:val="075C3D09"/>
    <w:rsid w:val="08B42CD3"/>
    <w:rsid w:val="2302031A"/>
    <w:rsid w:val="24096B37"/>
    <w:rsid w:val="307F1D6F"/>
    <w:rsid w:val="33CA6A7C"/>
    <w:rsid w:val="37581D20"/>
    <w:rsid w:val="3C7C0686"/>
    <w:rsid w:val="4FBE6A7F"/>
    <w:rsid w:val="5FBB0FC9"/>
    <w:rsid w:val="6C1D14E0"/>
    <w:rsid w:val="7B843C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style>
  <w:style w:type="character" w:customStyle="1" w:styleId="7">
    <w:name w:val="页眉 Char Char"/>
    <w:basedOn w:val="5"/>
    <w:link w:val="3"/>
    <w:qFormat/>
    <w:uiPriority w:val="99"/>
    <w:rPr>
      <w:rFonts w:ascii="Times New Roman" w:hAnsi="Times New Roman" w:eastAsia="宋体" w:cs="Times New Roman"/>
      <w:sz w:val="18"/>
      <w:szCs w:val="18"/>
    </w:rPr>
  </w:style>
  <w:style w:type="character" w:customStyle="1" w:styleId="8">
    <w:name w:val="页脚 Char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1393</Words>
  <Characters>7941</Characters>
  <Lines>66</Lines>
  <Paragraphs>18</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2019-11-14T00:41:00Z</dcterms:created>
  <dc:creator>刘志雄 10.104.102.79</dc:creator>
  <cp:lastModifiedBy>真</cp:lastModifiedBy>
  <cp:lastPrinted>2020-06-02T02:26:00Z</cp:lastPrinted>
  <dcterms:modified xsi:type="dcterms:W3CDTF">2020-08-04T09:09:33Z</dcterms:modified>
  <dc:title>湖南省政府采购电子卖场管理办法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