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276"/>
        </w:tabs>
        <w:rPr>
          <w:b/>
          <w:bCs/>
          <w:sz w:val="72"/>
          <w:szCs w:val="20"/>
        </w:rPr>
      </w:pPr>
      <w:r>
        <w:rPr>
          <w:b/>
          <w:bCs/>
          <w:sz w:val="72"/>
          <w:szCs w:val="20"/>
        </w:rPr>
        <w:tab/>
      </w:r>
    </w:p>
    <w:p>
      <w:pPr>
        <w:rPr>
          <w:b/>
          <w:bCs/>
          <w:color w:val="auto"/>
          <w:sz w:val="72"/>
          <w:szCs w:val="20"/>
        </w:rPr>
      </w:pPr>
      <w:r>
        <w:rPr>
          <w:b/>
          <w:bCs/>
          <w:color w:val="auto"/>
          <w:sz w:val="72"/>
          <w:szCs w:val="20"/>
        </w:rPr>
        <w:t>建设项目环境影响报告表</w:t>
      </w:r>
    </w:p>
    <w:p>
      <w:pPr>
        <w:jc w:val="center"/>
        <w:rPr>
          <w:rFonts w:hint="eastAsia"/>
          <w:color w:val="auto"/>
          <w:sz w:val="36"/>
          <w:szCs w:val="36"/>
        </w:rPr>
      </w:pPr>
      <w:r>
        <w:rPr>
          <w:rFonts w:hint="eastAsia"/>
          <w:color w:val="auto"/>
          <w:sz w:val="36"/>
          <w:szCs w:val="36"/>
        </w:rPr>
        <w:t>（</w:t>
      </w:r>
      <w:r>
        <w:rPr>
          <w:rFonts w:hint="eastAsia"/>
          <w:color w:val="auto"/>
          <w:sz w:val="36"/>
          <w:szCs w:val="36"/>
          <w:lang w:eastAsia="zh-CN"/>
        </w:rPr>
        <w:t>报批</w:t>
      </w:r>
      <w:r>
        <w:rPr>
          <w:rFonts w:hint="eastAsia"/>
          <w:color w:val="auto"/>
          <w:sz w:val="36"/>
          <w:szCs w:val="36"/>
        </w:rPr>
        <w:t>稿）</w:t>
      </w:r>
    </w:p>
    <w:p>
      <w:pPr>
        <w:jc w:val="center"/>
        <w:rPr>
          <w:rFonts w:ascii="宋体" w:cs="宋体"/>
          <w:color w:val="auto"/>
          <w:kern w:val="0"/>
          <w:sz w:val="24"/>
          <w:szCs w:val="24"/>
        </w:rPr>
      </w:pPr>
    </w:p>
    <w:p>
      <w:pPr>
        <w:jc w:val="center"/>
        <w:rPr>
          <w:rFonts w:ascii="宋体" w:cs="宋体"/>
          <w:color w:val="auto"/>
          <w:kern w:val="0"/>
          <w:sz w:val="24"/>
          <w:szCs w:val="24"/>
        </w:rPr>
      </w:pPr>
    </w:p>
    <w:p>
      <w:pPr>
        <w:jc w:val="center"/>
        <w:rPr>
          <w:rFonts w:ascii="宋体" w:cs="宋体"/>
          <w:color w:val="auto"/>
          <w:kern w:val="0"/>
          <w:sz w:val="24"/>
          <w:szCs w:val="24"/>
        </w:rPr>
      </w:pPr>
    </w:p>
    <w:p>
      <w:pPr>
        <w:jc w:val="center"/>
        <w:rPr>
          <w:rFonts w:ascii="宋体" w:cs="宋体"/>
          <w:color w:val="auto"/>
          <w:kern w:val="0"/>
          <w:sz w:val="24"/>
          <w:szCs w:val="24"/>
        </w:rPr>
      </w:pPr>
    </w:p>
    <w:p>
      <w:pPr>
        <w:jc w:val="center"/>
        <w:rPr>
          <w:rFonts w:ascii="宋体" w:cs="宋体"/>
          <w:color w:val="auto"/>
          <w:kern w:val="0"/>
          <w:sz w:val="24"/>
          <w:szCs w:val="24"/>
        </w:rPr>
      </w:pPr>
    </w:p>
    <w:p>
      <w:pPr>
        <w:jc w:val="center"/>
        <w:rPr>
          <w:rFonts w:ascii="宋体" w:cs="宋体"/>
          <w:color w:val="auto"/>
          <w:kern w:val="0"/>
          <w:sz w:val="24"/>
          <w:szCs w:val="24"/>
        </w:rPr>
      </w:pPr>
    </w:p>
    <w:p>
      <w:pPr>
        <w:rPr>
          <w:rFonts w:hAnsi="宋体"/>
          <w:b/>
          <w:bCs/>
          <w:color w:val="auto"/>
          <w:sz w:val="32"/>
          <w:szCs w:val="20"/>
        </w:rPr>
      </w:pPr>
    </w:p>
    <w:p>
      <w:pPr>
        <w:adjustRightInd w:val="0"/>
        <w:snapToGrid w:val="0"/>
        <w:spacing w:line="480" w:lineRule="auto"/>
        <w:ind w:left="3855" w:hanging="3855" w:hangingChars="1200"/>
        <w:jc w:val="left"/>
        <w:rPr>
          <w:rFonts w:hint="eastAsia" w:hAnsi="宋体"/>
          <w:b/>
          <w:bCs/>
          <w:color w:val="auto"/>
          <w:sz w:val="32"/>
          <w:szCs w:val="20"/>
        </w:rPr>
      </w:pPr>
    </w:p>
    <w:p>
      <w:pPr>
        <w:adjustRightInd w:val="0"/>
        <w:snapToGrid w:val="0"/>
        <w:spacing w:line="480" w:lineRule="auto"/>
        <w:ind w:left="3855" w:hanging="3855" w:hangingChars="1200"/>
        <w:jc w:val="left"/>
        <w:rPr>
          <w:rFonts w:hAnsi="宋体"/>
          <w:b/>
          <w:bCs/>
          <w:color w:val="auto"/>
          <w:sz w:val="32"/>
          <w:szCs w:val="20"/>
        </w:rPr>
      </w:pPr>
    </w:p>
    <w:p>
      <w:pPr>
        <w:adjustRightInd w:val="0"/>
        <w:snapToGrid w:val="0"/>
        <w:spacing w:line="480" w:lineRule="auto"/>
        <w:ind w:left="4228" w:hanging="4228" w:hangingChars="1404"/>
        <w:jc w:val="left"/>
        <w:rPr>
          <w:rFonts w:hint="eastAsia" w:hAnsi="宋体"/>
          <w:b/>
          <w:bCs/>
          <w:color w:val="auto"/>
          <w:sz w:val="30"/>
          <w:szCs w:val="30"/>
        </w:rPr>
      </w:pPr>
    </w:p>
    <w:p>
      <w:pPr>
        <w:adjustRightInd w:val="0"/>
        <w:snapToGrid w:val="0"/>
        <w:spacing w:line="480" w:lineRule="auto"/>
        <w:ind w:left="4510" w:hanging="4510" w:hangingChars="1404"/>
        <w:jc w:val="center"/>
        <w:rPr>
          <w:rFonts w:hint="eastAsia" w:hAnsi="宋体"/>
          <w:b/>
          <w:bCs/>
          <w:color w:val="auto"/>
          <w:sz w:val="28"/>
          <w:szCs w:val="28"/>
          <w:u w:val="single"/>
        </w:rPr>
      </w:pPr>
      <w:r>
        <w:rPr>
          <w:rFonts w:hint="eastAsia" w:hAnsi="宋体"/>
          <w:b/>
          <w:bCs/>
          <w:color w:val="auto"/>
          <w:sz w:val="32"/>
          <w:szCs w:val="32"/>
          <w:lang w:val="en-US" w:eastAsia="zh-CN"/>
        </w:rPr>
        <w:t xml:space="preserve"> </w:t>
      </w:r>
      <w:r>
        <w:rPr>
          <w:rFonts w:hAnsi="宋体"/>
          <w:b/>
          <w:bCs/>
          <w:color w:val="auto"/>
          <w:sz w:val="32"/>
          <w:szCs w:val="32"/>
        </w:rPr>
        <w:t>项目名称</w:t>
      </w:r>
      <w:r>
        <w:rPr>
          <w:rFonts w:hint="eastAsia" w:hAnsi="宋体"/>
          <w:b/>
          <w:bCs/>
          <w:color w:val="auto"/>
          <w:sz w:val="32"/>
          <w:szCs w:val="32"/>
        </w:rPr>
        <w:t>：</w:t>
      </w:r>
      <w:r>
        <w:rPr>
          <w:rFonts w:hint="eastAsia" w:hAnsi="宋体"/>
          <w:b/>
          <w:bCs/>
          <w:color w:val="auto"/>
          <w:sz w:val="28"/>
          <w:szCs w:val="28"/>
          <w:u w:val="single"/>
        </w:rPr>
        <w:t>怀化市洪江区欣隆竹胶板厂年产3000t机制木炭</w:t>
      </w:r>
    </w:p>
    <w:p>
      <w:pPr>
        <w:adjustRightInd w:val="0"/>
        <w:snapToGrid w:val="0"/>
        <w:spacing w:line="480" w:lineRule="auto"/>
        <w:ind w:left="4510" w:hanging="3947" w:hangingChars="1404"/>
        <w:jc w:val="center"/>
        <w:rPr>
          <w:rFonts w:hint="default" w:hAnsi="宋体" w:eastAsia="宋体"/>
          <w:b/>
          <w:bCs/>
          <w:color w:val="auto"/>
          <w:sz w:val="28"/>
          <w:szCs w:val="28"/>
          <w:lang w:val="en-US" w:eastAsia="zh-CN"/>
        </w:rPr>
      </w:pPr>
      <w:r>
        <w:rPr>
          <w:rFonts w:hint="eastAsia" w:hAnsi="宋体"/>
          <w:b/>
          <w:bCs/>
          <w:color w:val="auto"/>
          <w:sz w:val="28"/>
          <w:szCs w:val="28"/>
          <w:u w:val="single"/>
          <w:lang w:val="en-US" w:eastAsia="zh-CN"/>
        </w:rPr>
        <w:t xml:space="preserve">                </w:t>
      </w:r>
      <w:r>
        <w:rPr>
          <w:rFonts w:hint="eastAsia" w:hAnsi="宋体"/>
          <w:b/>
          <w:bCs/>
          <w:color w:val="auto"/>
          <w:sz w:val="28"/>
          <w:szCs w:val="28"/>
          <w:u w:val="single"/>
        </w:rPr>
        <w:t>生产线扩建项目</w:t>
      </w:r>
      <w:r>
        <w:rPr>
          <w:rFonts w:hint="eastAsia" w:hAnsi="宋体"/>
          <w:b/>
          <w:bCs/>
          <w:color w:val="auto"/>
          <w:sz w:val="28"/>
          <w:szCs w:val="28"/>
          <w:u w:val="single"/>
          <w:lang w:val="en-US" w:eastAsia="zh-CN"/>
        </w:rPr>
        <w:t xml:space="preserve">           </w:t>
      </w:r>
    </w:p>
    <w:p>
      <w:pPr>
        <w:ind w:firstLine="643" w:firstLineChars="200"/>
        <w:rPr>
          <w:rFonts w:hint="default"/>
          <w:b/>
          <w:bCs/>
          <w:color w:val="auto"/>
          <w:sz w:val="32"/>
          <w:szCs w:val="20"/>
          <w:u w:val="single"/>
          <w:lang w:val="en-US"/>
        </w:rPr>
      </w:pPr>
      <w:r>
        <w:rPr>
          <w:rFonts w:hint="eastAsia" w:ascii="宋体" w:hAnsi="宋体"/>
          <w:b/>
          <w:color w:val="auto"/>
          <w:sz w:val="32"/>
          <w:szCs w:val="32"/>
        </w:rPr>
        <w:t>建设单位（盖章）：</w:t>
      </w:r>
      <w:r>
        <w:rPr>
          <w:rFonts w:hint="eastAsia" w:ascii="宋体" w:hAnsi="宋体"/>
          <w:b/>
          <w:color w:val="auto"/>
          <w:sz w:val="32"/>
          <w:szCs w:val="32"/>
          <w:u w:val="single"/>
          <w:lang w:val="en-US" w:eastAsia="zh-CN"/>
        </w:rPr>
        <w:t xml:space="preserve">   </w:t>
      </w:r>
      <w:r>
        <w:rPr>
          <w:rFonts w:hint="eastAsia" w:ascii="Times New Roman" w:hAnsi="宋体" w:cs="Times New Roman"/>
          <w:b/>
          <w:bCs/>
          <w:color w:val="auto"/>
          <w:sz w:val="28"/>
          <w:szCs w:val="28"/>
          <w:u w:val="single"/>
          <w:lang w:val="en-US" w:eastAsia="zh-CN"/>
        </w:rPr>
        <w:t xml:space="preserve">怀化市洪江区欣隆竹胶板厂   </w:t>
      </w:r>
    </w:p>
    <w:p>
      <w:pPr>
        <w:tabs>
          <w:tab w:val="left" w:pos="14"/>
        </w:tabs>
        <w:suppressAutoHyphens/>
        <w:topLinePunct/>
        <w:spacing w:line="360" w:lineRule="auto"/>
        <w:rPr>
          <w:rFonts w:ascii="宋体"/>
          <w:color w:val="auto"/>
          <w:sz w:val="24"/>
          <w:szCs w:val="24"/>
        </w:rPr>
      </w:pPr>
    </w:p>
    <w:p>
      <w:pPr>
        <w:suppressAutoHyphens/>
        <w:topLinePunct/>
        <w:spacing w:line="360" w:lineRule="auto"/>
        <w:rPr>
          <w:rFonts w:hint="eastAsia"/>
          <w:color w:val="auto"/>
          <w:sz w:val="24"/>
          <w:szCs w:val="24"/>
        </w:rPr>
      </w:pPr>
    </w:p>
    <w:p>
      <w:pPr>
        <w:suppressAutoHyphens/>
        <w:topLinePunct/>
        <w:spacing w:line="360" w:lineRule="auto"/>
        <w:rPr>
          <w:rFonts w:hint="eastAsia"/>
          <w:color w:val="auto"/>
          <w:sz w:val="24"/>
          <w:szCs w:val="24"/>
        </w:rPr>
      </w:pPr>
    </w:p>
    <w:p>
      <w:pPr>
        <w:suppressAutoHyphens/>
        <w:topLinePunct/>
        <w:spacing w:line="360" w:lineRule="auto"/>
        <w:rPr>
          <w:rFonts w:hint="eastAsia"/>
          <w:color w:val="auto"/>
          <w:sz w:val="24"/>
          <w:szCs w:val="24"/>
        </w:rPr>
      </w:pPr>
    </w:p>
    <w:p>
      <w:pPr>
        <w:spacing w:line="360" w:lineRule="auto"/>
        <w:jc w:val="center"/>
        <w:rPr>
          <w:rFonts w:hint="eastAsia"/>
          <w:color w:val="auto"/>
          <w:sz w:val="24"/>
          <w:szCs w:val="24"/>
        </w:rPr>
      </w:pPr>
    </w:p>
    <w:p>
      <w:pPr>
        <w:spacing w:line="360" w:lineRule="auto"/>
        <w:jc w:val="center"/>
        <w:rPr>
          <w:rFonts w:hint="eastAsia"/>
          <w:color w:val="auto"/>
          <w:sz w:val="24"/>
          <w:szCs w:val="24"/>
        </w:rPr>
      </w:pPr>
    </w:p>
    <w:p>
      <w:pPr>
        <w:spacing w:line="480" w:lineRule="auto"/>
        <w:jc w:val="center"/>
        <w:rPr>
          <w:rFonts w:hint="eastAsia" w:hAnsi="宋体"/>
          <w:b/>
          <w:color w:val="auto"/>
          <w:sz w:val="30"/>
          <w:szCs w:val="30"/>
          <w:lang w:eastAsia="zh-CN"/>
        </w:rPr>
      </w:pPr>
      <w:r>
        <w:rPr>
          <w:rFonts w:hint="eastAsia" w:hAnsi="宋体"/>
          <w:b/>
          <w:color w:val="auto"/>
          <w:sz w:val="30"/>
          <w:szCs w:val="30"/>
          <w:lang w:eastAsia="zh-CN"/>
        </w:rPr>
        <w:t>怀化环诚环保科技有限公司</w:t>
      </w:r>
    </w:p>
    <w:p>
      <w:pPr>
        <w:spacing w:line="480" w:lineRule="auto"/>
        <w:jc w:val="center"/>
        <w:rPr>
          <w:rFonts w:hint="eastAsia" w:ascii="宋体" w:hAnsi="宋体"/>
          <w:b/>
          <w:color w:val="auto"/>
          <w:sz w:val="30"/>
          <w:szCs w:val="30"/>
        </w:rPr>
      </w:pPr>
      <w:r>
        <w:rPr>
          <w:rFonts w:hint="eastAsia" w:ascii="宋体" w:hAnsi="宋体"/>
          <w:b/>
          <w:color w:val="auto"/>
          <w:sz w:val="30"/>
          <w:szCs w:val="30"/>
        </w:rPr>
        <w:t>编制日期： 20</w:t>
      </w:r>
      <w:r>
        <w:rPr>
          <w:rFonts w:hint="eastAsia" w:ascii="宋体" w:hAnsi="宋体"/>
          <w:b/>
          <w:color w:val="auto"/>
          <w:sz w:val="30"/>
          <w:szCs w:val="30"/>
          <w:lang w:val="en-US" w:eastAsia="zh-CN"/>
        </w:rPr>
        <w:t>20</w:t>
      </w:r>
      <w:r>
        <w:rPr>
          <w:rFonts w:hint="eastAsia" w:ascii="宋体" w:hAnsi="宋体"/>
          <w:b/>
          <w:color w:val="auto"/>
          <w:sz w:val="30"/>
          <w:szCs w:val="30"/>
        </w:rPr>
        <w:t>年</w:t>
      </w:r>
      <w:r>
        <w:rPr>
          <w:rFonts w:hint="eastAsia" w:ascii="宋体" w:hAnsi="宋体"/>
          <w:b/>
          <w:color w:val="auto"/>
          <w:sz w:val="30"/>
          <w:szCs w:val="30"/>
          <w:lang w:val="en-US" w:eastAsia="zh-CN"/>
        </w:rPr>
        <w:t>9</w:t>
      </w:r>
      <w:r>
        <w:rPr>
          <w:rFonts w:hint="eastAsia" w:ascii="宋体" w:hAnsi="宋体"/>
          <w:b/>
          <w:color w:val="auto"/>
          <w:sz w:val="30"/>
          <w:szCs w:val="30"/>
        </w:rPr>
        <w:t>月</w:t>
      </w:r>
    </w:p>
    <w:p>
      <w:pPr>
        <w:widowControl/>
        <w:jc w:val="center"/>
        <w:rPr>
          <w:b/>
          <w:color w:val="auto"/>
          <w:sz w:val="24"/>
          <w:szCs w:val="24"/>
        </w:rPr>
      </w:pPr>
      <w:r>
        <w:rPr>
          <w:rFonts w:hint="eastAsia" w:ascii="宋体" w:hAnsi="宋体"/>
          <w:b/>
          <w:color w:val="auto"/>
          <w:sz w:val="30"/>
          <w:szCs w:val="30"/>
        </w:rPr>
        <w:br w:type="page"/>
      </w:r>
    </w:p>
    <w:p>
      <w:pPr>
        <w:tabs>
          <w:tab w:val="left" w:pos="14"/>
        </w:tabs>
        <w:suppressAutoHyphens/>
        <w:topLinePunct/>
        <w:spacing w:line="360" w:lineRule="auto"/>
        <w:jc w:val="center"/>
        <w:rPr>
          <w:b/>
          <w:color w:val="auto"/>
          <w:sz w:val="24"/>
          <w:szCs w:val="24"/>
        </w:rPr>
      </w:pPr>
      <w:r>
        <w:rPr>
          <w:rFonts w:hint="eastAsia"/>
          <w:b/>
          <w:color w:val="auto"/>
          <w:sz w:val="24"/>
          <w:szCs w:val="24"/>
        </w:rPr>
        <w:t>《建设项目环境影响报告表》编制说明</w:t>
      </w:r>
    </w:p>
    <w:p>
      <w:pPr>
        <w:suppressAutoHyphens/>
        <w:topLinePunct/>
        <w:spacing w:line="360" w:lineRule="auto"/>
        <w:rPr>
          <w:color w:val="auto"/>
          <w:sz w:val="24"/>
          <w:szCs w:val="24"/>
        </w:rPr>
      </w:pPr>
      <w:r>
        <w:rPr>
          <w:color w:val="auto"/>
          <w:sz w:val="24"/>
          <w:szCs w:val="24"/>
        </w:rPr>
        <w:t xml:space="preserve"> </w:t>
      </w:r>
    </w:p>
    <w:p>
      <w:pPr>
        <w:suppressAutoHyphens/>
        <w:topLinePunct/>
        <w:spacing w:line="480" w:lineRule="auto"/>
        <w:ind w:firstLine="679" w:firstLineChars="283"/>
        <w:rPr>
          <w:color w:val="auto"/>
          <w:sz w:val="24"/>
          <w:szCs w:val="24"/>
        </w:rPr>
      </w:pPr>
      <w:r>
        <w:rPr>
          <w:rFonts w:hint="eastAsia"/>
          <w:color w:val="auto"/>
          <w:sz w:val="24"/>
          <w:szCs w:val="24"/>
        </w:rPr>
        <w:t>《建设项目环境影响报告表》由具有从事环境影响评价工作资质的单位编制。</w:t>
      </w:r>
    </w:p>
    <w:p>
      <w:pPr>
        <w:suppressAutoHyphens/>
        <w:topLinePunct/>
        <w:spacing w:line="480" w:lineRule="auto"/>
        <w:ind w:firstLine="480" w:firstLineChars="200"/>
        <w:rPr>
          <w:color w:val="auto"/>
          <w:sz w:val="24"/>
          <w:szCs w:val="24"/>
        </w:rPr>
      </w:pPr>
      <w:r>
        <w:rPr>
          <w:rFonts w:hint="eastAsia"/>
          <w:color w:val="auto"/>
          <w:sz w:val="24"/>
          <w:szCs w:val="24"/>
        </w:rPr>
        <w:t>1.</w:t>
      </w:r>
      <w:r>
        <w:rPr>
          <w:rFonts w:hint="eastAsia"/>
          <w:color w:val="auto"/>
          <w:sz w:val="24"/>
          <w:szCs w:val="24"/>
        </w:rPr>
        <w:tab/>
      </w:r>
      <w:r>
        <w:rPr>
          <w:rFonts w:hint="eastAsia"/>
          <w:color w:val="auto"/>
          <w:sz w:val="24"/>
          <w:szCs w:val="24"/>
        </w:rPr>
        <w:t>项目名称——指项目批复时的名称，应不超过30个字（两个英文字段作一个汉字）。</w:t>
      </w:r>
    </w:p>
    <w:p>
      <w:pPr>
        <w:suppressAutoHyphens/>
        <w:topLinePunct/>
        <w:spacing w:line="480" w:lineRule="auto"/>
        <w:ind w:firstLine="480" w:firstLineChars="200"/>
        <w:rPr>
          <w:color w:val="auto"/>
          <w:sz w:val="24"/>
          <w:szCs w:val="24"/>
        </w:rPr>
      </w:pPr>
      <w:r>
        <w:rPr>
          <w:rFonts w:hint="eastAsia"/>
          <w:color w:val="auto"/>
          <w:sz w:val="24"/>
          <w:szCs w:val="24"/>
        </w:rPr>
        <w:t>2.</w:t>
      </w:r>
      <w:r>
        <w:rPr>
          <w:rFonts w:hint="eastAsia"/>
          <w:color w:val="auto"/>
          <w:sz w:val="24"/>
          <w:szCs w:val="24"/>
        </w:rPr>
        <w:tab/>
      </w:r>
      <w:r>
        <w:rPr>
          <w:rFonts w:hint="eastAsia"/>
          <w:color w:val="auto"/>
          <w:sz w:val="24"/>
          <w:szCs w:val="24"/>
        </w:rPr>
        <w:t>建设地点——指项目所在地详细地址，公路、铁路应填写起止地点。</w:t>
      </w:r>
    </w:p>
    <w:p>
      <w:pPr>
        <w:suppressAutoHyphens/>
        <w:topLinePunct/>
        <w:spacing w:line="480" w:lineRule="auto"/>
        <w:ind w:firstLine="480" w:firstLineChars="200"/>
        <w:rPr>
          <w:color w:val="auto"/>
          <w:sz w:val="24"/>
          <w:szCs w:val="24"/>
        </w:rPr>
      </w:pPr>
      <w:r>
        <w:rPr>
          <w:rFonts w:hint="eastAsia"/>
          <w:color w:val="auto"/>
          <w:sz w:val="24"/>
          <w:szCs w:val="24"/>
        </w:rPr>
        <w:t>3.</w:t>
      </w:r>
      <w:r>
        <w:rPr>
          <w:rFonts w:hint="eastAsia"/>
          <w:color w:val="auto"/>
          <w:sz w:val="24"/>
          <w:szCs w:val="24"/>
        </w:rPr>
        <w:tab/>
      </w:r>
      <w:r>
        <w:rPr>
          <w:rFonts w:hint="eastAsia"/>
          <w:color w:val="auto"/>
          <w:sz w:val="24"/>
          <w:szCs w:val="24"/>
        </w:rPr>
        <w:t>行业类别——按国标填写。</w:t>
      </w:r>
    </w:p>
    <w:p>
      <w:pPr>
        <w:suppressAutoHyphens/>
        <w:topLinePunct/>
        <w:spacing w:line="480" w:lineRule="auto"/>
        <w:ind w:firstLine="480" w:firstLineChars="200"/>
        <w:rPr>
          <w:color w:val="auto"/>
          <w:sz w:val="24"/>
          <w:szCs w:val="24"/>
        </w:rPr>
      </w:pPr>
      <w:r>
        <w:rPr>
          <w:rFonts w:hint="eastAsia"/>
          <w:color w:val="auto"/>
          <w:sz w:val="24"/>
          <w:szCs w:val="24"/>
        </w:rPr>
        <w:t>4.</w:t>
      </w:r>
      <w:r>
        <w:rPr>
          <w:rFonts w:hint="eastAsia"/>
          <w:color w:val="auto"/>
          <w:sz w:val="24"/>
          <w:szCs w:val="24"/>
        </w:rPr>
        <w:tab/>
      </w:r>
      <w:r>
        <w:rPr>
          <w:rFonts w:hint="eastAsia"/>
          <w:color w:val="auto"/>
          <w:sz w:val="24"/>
          <w:szCs w:val="24"/>
        </w:rPr>
        <w:t>总投资——指项目投资总额。</w:t>
      </w:r>
    </w:p>
    <w:p>
      <w:pPr>
        <w:suppressAutoHyphens/>
        <w:topLinePunct/>
        <w:spacing w:line="480" w:lineRule="auto"/>
        <w:ind w:firstLine="480" w:firstLineChars="200"/>
        <w:rPr>
          <w:color w:val="auto"/>
          <w:sz w:val="24"/>
          <w:szCs w:val="24"/>
        </w:rPr>
      </w:pPr>
      <w:r>
        <w:rPr>
          <w:rFonts w:hint="eastAsia"/>
          <w:color w:val="auto"/>
          <w:sz w:val="24"/>
          <w:szCs w:val="24"/>
        </w:rPr>
        <w:t>5.</w:t>
      </w:r>
      <w:r>
        <w:rPr>
          <w:rFonts w:hint="eastAsia"/>
          <w:color w:val="auto"/>
          <w:sz w:val="24"/>
          <w:szCs w:val="24"/>
        </w:rPr>
        <w:tab/>
      </w:r>
      <w:r>
        <w:rPr>
          <w:rFonts w:hint="eastAsia"/>
          <w:color w:val="auto"/>
          <w:sz w:val="24"/>
          <w:szCs w:val="24"/>
        </w:rPr>
        <w:t>主要环境保护目标——指项目区周围一定范围内集中居民住宅楼、学校、医院、保护文物、风景名胜区、水源地和生态敏感点等，应尽可能给出保护目标、性质、规模和距厂界距离等。</w:t>
      </w:r>
    </w:p>
    <w:p>
      <w:pPr>
        <w:suppressAutoHyphens/>
        <w:topLinePunct/>
        <w:spacing w:line="480" w:lineRule="auto"/>
        <w:ind w:firstLine="480" w:firstLineChars="200"/>
        <w:rPr>
          <w:color w:val="auto"/>
          <w:sz w:val="24"/>
          <w:szCs w:val="24"/>
        </w:rPr>
      </w:pPr>
      <w:r>
        <w:rPr>
          <w:rFonts w:hint="eastAsia"/>
          <w:color w:val="auto"/>
          <w:sz w:val="24"/>
          <w:szCs w:val="24"/>
        </w:rPr>
        <w:t>6.</w:t>
      </w:r>
      <w:r>
        <w:rPr>
          <w:rFonts w:hint="eastAsia"/>
          <w:color w:val="auto"/>
          <w:sz w:val="24"/>
          <w:szCs w:val="24"/>
        </w:rPr>
        <w:tab/>
      </w:r>
      <w:r>
        <w:rPr>
          <w:rFonts w:hint="eastAsia"/>
          <w:color w:val="auto"/>
          <w:sz w:val="24"/>
          <w:szCs w:val="24"/>
        </w:rPr>
        <w:t>结论与建议——给出本项目清洁生产、达标排放和总量控制的分析结论，确定污染防治措施的有效性，说明本项目对环境造成的影响，给出建设项目环境可行性的明确结论。同时提出减少环境影响的其它建议。</w:t>
      </w:r>
    </w:p>
    <w:p>
      <w:pPr>
        <w:suppressAutoHyphens/>
        <w:topLinePunct/>
        <w:spacing w:line="480" w:lineRule="auto"/>
        <w:ind w:firstLine="480" w:firstLineChars="200"/>
        <w:rPr>
          <w:color w:val="auto"/>
          <w:sz w:val="24"/>
          <w:szCs w:val="24"/>
        </w:rPr>
      </w:pPr>
      <w:r>
        <w:rPr>
          <w:rFonts w:hint="eastAsia"/>
          <w:color w:val="auto"/>
          <w:sz w:val="24"/>
          <w:szCs w:val="24"/>
        </w:rPr>
        <w:t>7.</w:t>
      </w:r>
      <w:r>
        <w:rPr>
          <w:rFonts w:hint="eastAsia"/>
          <w:color w:val="auto"/>
          <w:sz w:val="24"/>
          <w:szCs w:val="24"/>
        </w:rPr>
        <w:tab/>
      </w:r>
      <w:r>
        <w:rPr>
          <w:rFonts w:hint="eastAsia"/>
          <w:color w:val="auto"/>
          <w:sz w:val="24"/>
          <w:szCs w:val="24"/>
        </w:rPr>
        <w:t>预审意见——由行业主管部门填写答复意见，无主管部门项目，可不填。</w:t>
      </w:r>
    </w:p>
    <w:p>
      <w:pPr>
        <w:suppressAutoHyphens/>
        <w:topLinePunct/>
        <w:spacing w:line="480" w:lineRule="auto"/>
        <w:ind w:firstLine="480" w:firstLineChars="200"/>
        <w:rPr>
          <w:color w:val="auto"/>
          <w:sz w:val="24"/>
          <w:szCs w:val="24"/>
        </w:rPr>
      </w:pPr>
      <w:r>
        <w:rPr>
          <w:rFonts w:hint="eastAsia"/>
          <w:color w:val="auto"/>
          <w:sz w:val="24"/>
          <w:szCs w:val="24"/>
        </w:rPr>
        <w:t>8.</w:t>
      </w:r>
      <w:r>
        <w:rPr>
          <w:rFonts w:hint="eastAsia"/>
          <w:color w:val="auto"/>
          <w:sz w:val="24"/>
          <w:szCs w:val="24"/>
        </w:rPr>
        <w:tab/>
      </w:r>
      <w:r>
        <w:rPr>
          <w:rFonts w:hint="eastAsia"/>
          <w:color w:val="auto"/>
          <w:sz w:val="24"/>
          <w:szCs w:val="24"/>
        </w:rPr>
        <w:t>审批意见——由负责审批该项目的环境保护行政主管部门批复。</w:t>
      </w:r>
    </w:p>
    <w:p>
      <w:pPr>
        <w:suppressAutoHyphens/>
        <w:topLinePunct/>
        <w:spacing w:line="480" w:lineRule="auto"/>
        <w:ind w:firstLine="480" w:firstLineChars="200"/>
        <w:rPr>
          <w:color w:val="auto"/>
          <w:sz w:val="24"/>
          <w:szCs w:val="24"/>
        </w:rPr>
      </w:pPr>
    </w:p>
    <w:p>
      <w:pPr>
        <w:suppressAutoHyphens/>
        <w:topLinePunct/>
        <w:spacing w:line="480" w:lineRule="auto"/>
        <w:ind w:firstLine="480" w:firstLineChars="200"/>
        <w:rPr>
          <w:color w:val="auto"/>
          <w:sz w:val="24"/>
          <w:szCs w:val="24"/>
        </w:rPr>
        <w:sectPr>
          <w:headerReference r:id="rId3" w:type="default"/>
          <w:footerReference r:id="rId4" w:type="default"/>
          <w:pgSz w:w="11906" w:h="16838"/>
          <w:pgMar w:top="1418" w:right="1797" w:bottom="1418" w:left="1797" w:header="851" w:footer="992" w:gutter="0"/>
          <w:pgNumType w:start="1"/>
          <w:cols w:space="720" w:num="1"/>
          <w:docGrid w:type="lines" w:linePitch="312" w:charSpace="0"/>
        </w:sectPr>
      </w:pPr>
    </w:p>
    <w:p>
      <w:pPr>
        <w:pStyle w:val="2"/>
        <w:jc w:val="center"/>
        <w:rPr>
          <w:rFonts w:hint="eastAsia"/>
          <w:color w:val="auto"/>
          <w:lang w:eastAsia="zh-CN"/>
        </w:rPr>
      </w:pPr>
      <w:r>
        <w:rPr>
          <w:rFonts w:hint="eastAsia"/>
          <w:color w:val="auto"/>
          <w:lang w:eastAsia="zh-CN"/>
        </w:rPr>
        <w:t>修改说明</w:t>
      </w:r>
    </w:p>
    <w:tbl>
      <w:tblPr>
        <w:tblStyle w:val="23"/>
        <w:tblW w:w="8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4789"/>
        <w:gridCol w:w="3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87" w:type="dxa"/>
            <w:vAlign w:val="center"/>
          </w:tcPr>
          <w:p>
            <w:pPr>
              <w:jc w:val="center"/>
              <w:rPr>
                <w:rFonts w:hint="eastAsia"/>
                <w:color w:val="auto"/>
                <w:sz w:val="21"/>
                <w:szCs w:val="21"/>
                <w:vertAlign w:val="baseline"/>
                <w:lang w:eastAsia="zh-CN"/>
              </w:rPr>
            </w:pPr>
            <w:r>
              <w:rPr>
                <w:rFonts w:ascii="Times New Roman" w:hAnsi="Times New Roman" w:cs="Times New Roman"/>
                <w:color w:val="auto"/>
                <w:sz w:val="21"/>
                <w:szCs w:val="21"/>
              </w:rPr>
              <w:t>序号</w:t>
            </w:r>
          </w:p>
        </w:tc>
        <w:tc>
          <w:tcPr>
            <w:tcW w:w="4789" w:type="dxa"/>
            <w:vAlign w:val="center"/>
          </w:tcPr>
          <w:p>
            <w:pPr>
              <w:jc w:val="center"/>
              <w:rPr>
                <w:rFonts w:hint="eastAsia"/>
                <w:color w:val="auto"/>
                <w:sz w:val="21"/>
                <w:szCs w:val="21"/>
                <w:vertAlign w:val="baseline"/>
                <w:lang w:eastAsia="zh-CN"/>
              </w:rPr>
            </w:pPr>
            <w:r>
              <w:rPr>
                <w:rFonts w:ascii="Times New Roman" w:hAnsi="Times New Roman" w:cs="Times New Roman"/>
                <w:color w:val="auto"/>
                <w:sz w:val="21"/>
                <w:szCs w:val="21"/>
              </w:rPr>
              <w:t>专家意见</w:t>
            </w:r>
          </w:p>
        </w:tc>
        <w:tc>
          <w:tcPr>
            <w:tcW w:w="3163" w:type="dxa"/>
            <w:vAlign w:val="center"/>
          </w:tcPr>
          <w:p>
            <w:pPr>
              <w:jc w:val="center"/>
              <w:rPr>
                <w:rFonts w:hint="eastAsia"/>
                <w:color w:val="auto"/>
                <w:sz w:val="21"/>
                <w:szCs w:val="21"/>
                <w:vertAlign w:val="baseline"/>
                <w:lang w:eastAsia="zh-CN"/>
              </w:rPr>
            </w:pPr>
            <w:r>
              <w:rPr>
                <w:rFonts w:ascii="Times New Roman" w:hAnsi="Times New Roman" w:cs="Times New Roman"/>
                <w:color w:val="auto"/>
                <w:sz w:val="21"/>
                <w:szCs w:val="21"/>
              </w:rPr>
              <w:t>修改内容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87"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w:t>
            </w:r>
          </w:p>
        </w:tc>
        <w:tc>
          <w:tcPr>
            <w:tcW w:w="4789" w:type="dxa"/>
            <w:vAlign w:val="center"/>
          </w:tcPr>
          <w:p>
            <w:pPr>
              <w:pStyle w:val="2"/>
              <w:jc w:val="center"/>
              <w:rPr>
                <w:rFonts w:hint="eastAsia"/>
                <w:color w:val="auto"/>
                <w:kern w:val="0"/>
                <w:sz w:val="21"/>
                <w:szCs w:val="21"/>
                <w:vertAlign w:val="baseline"/>
                <w:lang w:eastAsia="zh-CN"/>
              </w:rPr>
            </w:pPr>
            <w:r>
              <w:rPr>
                <w:rFonts w:hint="eastAsia"/>
                <w:color w:val="auto"/>
                <w:kern w:val="0"/>
                <w:sz w:val="21"/>
                <w:szCs w:val="21"/>
                <w:vertAlign w:val="baseline"/>
                <w:lang w:eastAsia="zh-CN"/>
              </w:rPr>
              <w:t>补充危险废物贮存污染控制标准</w:t>
            </w:r>
          </w:p>
        </w:tc>
        <w:tc>
          <w:tcPr>
            <w:tcW w:w="3163"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eastAsia="zh-CN"/>
              </w:rPr>
              <w:t>已补充，详见</w:t>
            </w:r>
            <w:r>
              <w:rPr>
                <w:rFonts w:hint="eastAsia"/>
                <w:color w:val="auto"/>
                <w:kern w:val="0"/>
                <w:sz w:val="21"/>
                <w:szCs w:val="21"/>
                <w:vertAlign w:val="baseline"/>
                <w:lang w:val="en-US" w:eastAsia="zh-CN"/>
              </w:rPr>
              <w:t>P26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87"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w:t>
            </w:r>
          </w:p>
        </w:tc>
        <w:tc>
          <w:tcPr>
            <w:tcW w:w="4789" w:type="dxa"/>
            <w:vAlign w:val="center"/>
          </w:tcPr>
          <w:p>
            <w:pPr>
              <w:pStyle w:val="2"/>
              <w:jc w:val="center"/>
              <w:rPr>
                <w:rFonts w:hint="eastAsia"/>
                <w:color w:val="auto"/>
                <w:kern w:val="0"/>
                <w:sz w:val="21"/>
                <w:szCs w:val="21"/>
                <w:vertAlign w:val="baseline"/>
                <w:lang w:eastAsia="zh-CN"/>
              </w:rPr>
            </w:pPr>
            <w:r>
              <w:rPr>
                <w:rFonts w:hint="eastAsia"/>
                <w:color w:val="auto"/>
                <w:kern w:val="0"/>
                <w:sz w:val="21"/>
                <w:szCs w:val="21"/>
                <w:vertAlign w:val="baseline"/>
                <w:lang w:eastAsia="zh-CN"/>
              </w:rPr>
              <w:t>完善施工期工序分析 ，污染分析</w:t>
            </w:r>
          </w:p>
        </w:tc>
        <w:tc>
          <w:tcPr>
            <w:tcW w:w="3163"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eastAsia="zh-CN"/>
              </w:rPr>
              <w:t>已完善，详见</w:t>
            </w:r>
            <w:r>
              <w:rPr>
                <w:rFonts w:hint="eastAsia"/>
                <w:color w:val="auto"/>
                <w:kern w:val="0"/>
                <w:sz w:val="21"/>
                <w:szCs w:val="21"/>
                <w:vertAlign w:val="baseline"/>
                <w:lang w:val="en-US" w:eastAsia="zh-CN"/>
              </w:rPr>
              <w:t>P28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687"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w:t>
            </w:r>
          </w:p>
        </w:tc>
        <w:tc>
          <w:tcPr>
            <w:tcW w:w="4789" w:type="dxa"/>
            <w:vAlign w:val="center"/>
          </w:tcPr>
          <w:p>
            <w:pPr>
              <w:pStyle w:val="2"/>
              <w:jc w:val="center"/>
              <w:rPr>
                <w:rFonts w:hint="eastAsia"/>
                <w:color w:val="auto"/>
                <w:kern w:val="0"/>
                <w:sz w:val="21"/>
                <w:szCs w:val="21"/>
                <w:vertAlign w:val="baseline"/>
                <w:lang w:eastAsia="zh-CN"/>
              </w:rPr>
            </w:pPr>
            <w:r>
              <w:rPr>
                <w:rFonts w:hint="eastAsia"/>
                <w:color w:val="auto"/>
                <w:kern w:val="0"/>
                <w:sz w:val="21"/>
                <w:szCs w:val="21"/>
                <w:vertAlign w:val="baseline"/>
                <w:lang w:eastAsia="zh-CN"/>
              </w:rPr>
              <w:t>完善生产工艺流程及产污节点图、补充项目生产废气收集处理排放示意图</w:t>
            </w:r>
          </w:p>
        </w:tc>
        <w:tc>
          <w:tcPr>
            <w:tcW w:w="3163"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eastAsia="zh-CN"/>
              </w:rPr>
              <w:t>已完善，详见</w:t>
            </w:r>
            <w:r>
              <w:rPr>
                <w:rFonts w:hint="eastAsia"/>
                <w:color w:val="auto"/>
                <w:kern w:val="0"/>
                <w:sz w:val="21"/>
                <w:szCs w:val="21"/>
                <w:vertAlign w:val="baseline"/>
                <w:lang w:val="en-US" w:eastAsia="zh-CN"/>
              </w:rPr>
              <w:t>P29-30、P32-33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87"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w:t>
            </w:r>
          </w:p>
        </w:tc>
        <w:tc>
          <w:tcPr>
            <w:tcW w:w="4789" w:type="dxa"/>
            <w:vAlign w:val="center"/>
          </w:tcPr>
          <w:p>
            <w:pPr>
              <w:pStyle w:val="2"/>
              <w:jc w:val="center"/>
              <w:rPr>
                <w:rFonts w:hint="eastAsia"/>
                <w:color w:val="auto"/>
                <w:kern w:val="0"/>
                <w:sz w:val="21"/>
                <w:szCs w:val="21"/>
                <w:vertAlign w:val="baseline"/>
                <w:lang w:eastAsia="zh-CN"/>
              </w:rPr>
            </w:pPr>
            <w:r>
              <w:rPr>
                <w:rFonts w:hint="eastAsia"/>
                <w:color w:val="auto"/>
                <w:kern w:val="0"/>
                <w:sz w:val="21"/>
                <w:szCs w:val="21"/>
                <w:vertAlign w:val="baseline"/>
                <w:lang w:eastAsia="zh-CN"/>
              </w:rPr>
              <w:t>结合无组织废气的产排情况，完善卫生防护距离</w:t>
            </w:r>
          </w:p>
        </w:tc>
        <w:tc>
          <w:tcPr>
            <w:tcW w:w="3163"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eastAsia="zh-CN"/>
              </w:rPr>
              <w:t>已完善卫生防护距离，</w:t>
            </w:r>
            <w:r>
              <w:rPr>
                <w:rFonts w:hint="eastAsia"/>
                <w:color w:val="auto"/>
                <w:kern w:val="0"/>
                <w:sz w:val="21"/>
                <w:szCs w:val="21"/>
                <w:vertAlign w:val="baseline"/>
                <w:lang w:val="en-US" w:eastAsia="zh-CN"/>
              </w:rPr>
              <w:t>P58-59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87"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5</w:t>
            </w:r>
          </w:p>
        </w:tc>
        <w:tc>
          <w:tcPr>
            <w:tcW w:w="4789" w:type="dxa"/>
            <w:vAlign w:val="center"/>
          </w:tcPr>
          <w:p>
            <w:pPr>
              <w:pStyle w:val="2"/>
              <w:jc w:val="center"/>
              <w:rPr>
                <w:rFonts w:hint="eastAsia"/>
                <w:color w:val="auto"/>
                <w:kern w:val="0"/>
                <w:sz w:val="21"/>
                <w:szCs w:val="21"/>
                <w:vertAlign w:val="baseline"/>
                <w:lang w:eastAsia="zh-CN"/>
              </w:rPr>
            </w:pPr>
            <w:r>
              <w:rPr>
                <w:rFonts w:hint="eastAsia"/>
                <w:color w:val="auto"/>
                <w:kern w:val="0"/>
                <w:sz w:val="21"/>
                <w:szCs w:val="21"/>
                <w:vertAlign w:val="baseline"/>
                <w:lang w:eastAsia="zh-CN"/>
              </w:rPr>
              <w:t>完善风险分析</w:t>
            </w:r>
          </w:p>
        </w:tc>
        <w:tc>
          <w:tcPr>
            <w:tcW w:w="3163"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eastAsia="zh-CN"/>
              </w:rPr>
              <w:t>已完善风险分析，详见</w:t>
            </w:r>
            <w:r>
              <w:rPr>
                <w:rFonts w:hint="eastAsia"/>
                <w:color w:val="auto"/>
                <w:kern w:val="0"/>
                <w:sz w:val="21"/>
                <w:szCs w:val="21"/>
                <w:vertAlign w:val="baseline"/>
                <w:lang w:val="en-US" w:eastAsia="zh-CN"/>
              </w:rPr>
              <w:t>P68、P70、p73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687"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6</w:t>
            </w:r>
          </w:p>
        </w:tc>
        <w:tc>
          <w:tcPr>
            <w:tcW w:w="4789" w:type="dxa"/>
            <w:vAlign w:val="center"/>
          </w:tcPr>
          <w:p>
            <w:pPr>
              <w:pStyle w:val="2"/>
              <w:jc w:val="center"/>
              <w:rPr>
                <w:rFonts w:hint="eastAsia"/>
                <w:color w:val="auto"/>
                <w:kern w:val="0"/>
                <w:sz w:val="21"/>
                <w:szCs w:val="21"/>
                <w:vertAlign w:val="baseline"/>
                <w:lang w:eastAsia="zh-CN"/>
              </w:rPr>
            </w:pPr>
            <w:r>
              <w:rPr>
                <w:rFonts w:hint="eastAsia"/>
                <w:color w:val="auto"/>
                <w:kern w:val="0"/>
                <w:sz w:val="21"/>
                <w:szCs w:val="21"/>
                <w:vertAlign w:val="baseline"/>
                <w:lang w:eastAsia="zh-CN"/>
              </w:rPr>
              <w:t>建议企业需在环保审批表完成前购买污染物NOx总量控制指标</w:t>
            </w:r>
          </w:p>
        </w:tc>
        <w:tc>
          <w:tcPr>
            <w:tcW w:w="3163"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eastAsia="zh-CN"/>
              </w:rPr>
              <w:t>已在建议里补充建议，详见</w:t>
            </w:r>
            <w:r>
              <w:rPr>
                <w:rFonts w:hint="eastAsia"/>
                <w:color w:val="auto"/>
                <w:kern w:val="0"/>
                <w:sz w:val="21"/>
                <w:szCs w:val="21"/>
                <w:vertAlign w:val="baseline"/>
                <w:lang w:val="en-US" w:eastAsia="zh-CN"/>
              </w:rPr>
              <w:t>P84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87"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w:t>
            </w:r>
          </w:p>
        </w:tc>
        <w:tc>
          <w:tcPr>
            <w:tcW w:w="4789" w:type="dxa"/>
            <w:vAlign w:val="center"/>
          </w:tcPr>
          <w:p>
            <w:pPr>
              <w:pStyle w:val="2"/>
              <w:jc w:val="center"/>
              <w:rPr>
                <w:rFonts w:hint="eastAsia"/>
                <w:color w:val="auto"/>
                <w:kern w:val="0"/>
                <w:sz w:val="21"/>
                <w:szCs w:val="21"/>
                <w:vertAlign w:val="baseline"/>
                <w:lang w:eastAsia="zh-CN"/>
              </w:rPr>
            </w:pPr>
            <w:r>
              <w:rPr>
                <w:rFonts w:hint="eastAsia"/>
                <w:color w:val="auto"/>
                <w:kern w:val="0"/>
                <w:sz w:val="21"/>
                <w:szCs w:val="21"/>
                <w:vertAlign w:val="baseline"/>
                <w:lang w:eastAsia="zh-CN"/>
              </w:rPr>
              <w:t>增加公众参与调查内容</w:t>
            </w:r>
          </w:p>
        </w:tc>
        <w:tc>
          <w:tcPr>
            <w:tcW w:w="3163"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已增加，详见公众参与意见表详见公参说明书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87"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w:t>
            </w:r>
          </w:p>
        </w:tc>
        <w:tc>
          <w:tcPr>
            <w:tcW w:w="4789" w:type="dxa"/>
            <w:vAlign w:val="center"/>
          </w:tcPr>
          <w:p>
            <w:pPr>
              <w:pStyle w:val="2"/>
              <w:jc w:val="center"/>
              <w:rPr>
                <w:rFonts w:hint="eastAsia"/>
                <w:color w:val="auto"/>
                <w:kern w:val="0"/>
                <w:sz w:val="21"/>
                <w:szCs w:val="21"/>
                <w:vertAlign w:val="baseline"/>
                <w:lang w:eastAsia="zh-CN"/>
              </w:rPr>
            </w:pPr>
            <w:r>
              <w:rPr>
                <w:rFonts w:hint="eastAsia"/>
                <w:color w:val="auto"/>
                <w:kern w:val="0"/>
                <w:sz w:val="21"/>
                <w:szCs w:val="21"/>
                <w:vertAlign w:val="baseline"/>
                <w:lang w:eastAsia="zh-CN"/>
              </w:rPr>
              <w:t>补充原项目的废水、废气防治措施</w:t>
            </w:r>
          </w:p>
        </w:tc>
        <w:tc>
          <w:tcPr>
            <w:tcW w:w="3163"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eastAsia="zh-CN"/>
              </w:rPr>
              <w:t>已补充，详见</w:t>
            </w:r>
            <w:r>
              <w:rPr>
                <w:rFonts w:hint="eastAsia"/>
                <w:color w:val="auto"/>
                <w:kern w:val="0"/>
                <w:sz w:val="21"/>
                <w:szCs w:val="21"/>
                <w:vertAlign w:val="baseline"/>
                <w:lang w:val="en-US" w:eastAsia="zh-CN"/>
              </w:rPr>
              <w:t>P12-P13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87"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9</w:t>
            </w:r>
          </w:p>
        </w:tc>
        <w:tc>
          <w:tcPr>
            <w:tcW w:w="4789" w:type="dxa"/>
            <w:vAlign w:val="center"/>
          </w:tcPr>
          <w:p>
            <w:pPr>
              <w:pStyle w:val="2"/>
              <w:jc w:val="center"/>
              <w:rPr>
                <w:rFonts w:hint="eastAsia"/>
                <w:color w:val="auto"/>
                <w:kern w:val="0"/>
                <w:sz w:val="21"/>
                <w:szCs w:val="21"/>
                <w:vertAlign w:val="baseline"/>
                <w:lang w:eastAsia="zh-CN"/>
              </w:rPr>
            </w:pPr>
            <w:r>
              <w:rPr>
                <w:rFonts w:hint="eastAsia"/>
                <w:color w:val="auto"/>
                <w:kern w:val="0"/>
                <w:sz w:val="21"/>
                <w:szCs w:val="21"/>
                <w:vertAlign w:val="baseline"/>
                <w:lang w:eastAsia="zh-CN"/>
              </w:rPr>
              <w:t>静电除尘器增加避雷针</w:t>
            </w:r>
          </w:p>
        </w:tc>
        <w:tc>
          <w:tcPr>
            <w:tcW w:w="3163" w:type="dxa"/>
            <w:vAlign w:val="center"/>
          </w:tcPr>
          <w:p>
            <w:pPr>
              <w:pStyle w:val="2"/>
              <w:jc w:val="center"/>
              <w:rPr>
                <w:rFonts w:hint="default"/>
                <w:color w:val="auto"/>
                <w:kern w:val="0"/>
                <w:sz w:val="21"/>
                <w:szCs w:val="21"/>
                <w:vertAlign w:val="baseline"/>
                <w:lang w:val="en-US" w:eastAsia="zh-CN"/>
              </w:rPr>
            </w:pPr>
            <w:r>
              <w:rPr>
                <w:rFonts w:hint="eastAsia"/>
                <w:color w:val="auto"/>
                <w:kern w:val="0"/>
                <w:sz w:val="21"/>
                <w:szCs w:val="21"/>
                <w:vertAlign w:val="baseline"/>
                <w:lang w:eastAsia="zh-CN"/>
              </w:rPr>
              <w:t>已增加，详见</w:t>
            </w:r>
            <w:r>
              <w:rPr>
                <w:rFonts w:hint="eastAsia"/>
                <w:color w:val="auto"/>
                <w:kern w:val="0"/>
                <w:sz w:val="21"/>
                <w:szCs w:val="21"/>
                <w:vertAlign w:val="baseline"/>
                <w:lang w:val="en-US" w:eastAsia="zh-CN"/>
              </w:rPr>
              <w:t>P73</w:t>
            </w:r>
          </w:p>
        </w:tc>
      </w:tr>
    </w:tbl>
    <w:p>
      <w:pPr>
        <w:pStyle w:val="2"/>
        <w:jc w:val="center"/>
        <w:rPr>
          <w:rFonts w:hint="eastAsia"/>
          <w:color w:val="auto"/>
          <w:lang w:eastAsia="zh-CN"/>
        </w:rPr>
      </w:pPr>
    </w:p>
    <w:p>
      <w:pPr>
        <w:pStyle w:val="2"/>
        <w:rPr>
          <w:color w:val="auto"/>
          <w:sz w:val="24"/>
          <w:szCs w:val="24"/>
        </w:rPr>
      </w:pPr>
    </w:p>
    <w:p>
      <w:pPr>
        <w:pStyle w:val="2"/>
        <w:rPr>
          <w:color w:val="auto"/>
          <w:sz w:val="24"/>
          <w:szCs w:val="24"/>
        </w:rPr>
        <w:sectPr>
          <w:pgSz w:w="11906" w:h="16838"/>
          <w:pgMar w:top="1418" w:right="1797" w:bottom="1418" w:left="1797" w:header="851" w:footer="992" w:gutter="0"/>
          <w:pgNumType w:start="1"/>
          <w:cols w:space="720" w:num="1"/>
          <w:docGrid w:type="lines" w:linePitch="312" w:charSpace="0"/>
        </w:sectPr>
      </w:pPr>
    </w:p>
    <w:p>
      <w:pPr>
        <w:suppressAutoHyphens/>
        <w:topLinePunct/>
        <w:spacing w:line="360" w:lineRule="auto"/>
        <w:ind w:firstLine="482" w:firstLineChars="200"/>
        <w:jc w:val="center"/>
        <w:rPr>
          <w:b/>
          <w:color w:val="auto"/>
        </w:rPr>
      </w:pPr>
      <w:r>
        <w:rPr>
          <w:rFonts w:hint="eastAsia"/>
          <w:b/>
          <w:color w:val="auto"/>
          <w:sz w:val="24"/>
          <w:szCs w:val="24"/>
        </w:rPr>
        <w:t>目     录</w:t>
      </w:r>
      <w:r>
        <w:rPr>
          <w:color w:val="auto"/>
          <w:sz w:val="24"/>
          <w:szCs w:val="24"/>
        </w:rPr>
        <w:fldChar w:fldCharType="begin"/>
      </w:r>
      <w:r>
        <w:rPr>
          <w:color w:val="auto"/>
          <w:sz w:val="24"/>
          <w:szCs w:val="24"/>
        </w:rPr>
        <w:instrText xml:space="preserve"> TOC \o "1-1" \h \z \u </w:instrText>
      </w:r>
      <w:r>
        <w:rPr>
          <w:color w:val="auto"/>
          <w:sz w:val="24"/>
          <w:szCs w:val="24"/>
        </w:rPr>
        <w:fldChar w:fldCharType="separate"/>
      </w:r>
    </w:p>
    <w:p>
      <w:pPr>
        <w:pStyle w:val="16"/>
        <w:rPr>
          <w:b/>
          <w:color w:val="auto"/>
        </w:rPr>
      </w:pPr>
      <w:r>
        <w:rPr>
          <w:b/>
          <w:color w:val="auto"/>
        </w:rPr>
        <w:fldChar w:fldCharType="begin"/>
      </w:r>
      <w:r>
        <w:rPr>
          <w:rStyle w:val="25"/>
          <w:b/>
          <w:color w:val="auto"/>
        </w:rPr>
        <w:instrText xml:space="preserve"> </w:instrText>
      </w:r>
      <w:r>
        <w:rPr>
          <w:b/>
          <w:color w:val="auto"/>
        </w:rPr>
        <w:instrText xml:space="preserve">HYPERLINK \l "_Toc29308626"</w:instrText>
      </w:r>
      <w:r>
        <w:rPr>
          <w:rStyle w:val="25"/>
          <w:b/>
          <w:color w:val="auto"/>
        </w:rPr>
        <w:instrText xml:space="preserve"> </w:instrText>
      </w:r>
      <w:r>
        <w:rPr>
          <w:b/>
          <w:color w:val="auto"/>
        </w:rPr>
        <w:fldChar w:fldCharType="separate"/>
      </w:r>
      <w:r>
        <w:rPr>
          <w:rStyle w:val="25"/>
          <w:rFonts w:hint="eastAsia"/>
          <w:b/>
          <w:color w:val="auto"/>
          <w:kern w:val="0"/>
        </w:rPr>
        <w:t>一、建设项目基本情况</w:t>
      </w:r>
      <w:r>
        <w:rPr>
          <w:b/>
          <w:color w:val="auto"/>
        </w:rPr>
        <w:tab/>
      </w:r>
      <w:r>
        <w:rPr>
          <w:b/>
          <w:color w:val="auto"/>
        </w:rPr>
        <w:fldChar w:fldCharType="begin"/>
      </w:r>
      <w:r>
        <w:rPr>
          <w:b/>
          <w:color w:val="auto"/>
        </w:rPr>
        <w:instrText xml:space="preserve"> PAGEREF _Toc29308626 \h </w:instrText>
      </w:r>
      <w:r>
        <w:rPr>
          <w:b/>
          <w:color w:val="auto"/>
        </w:rPr>
        <w:fldChar w:fldCharType="separate"/>
      </w:r>
      <w:r>
        <w:rPr>
          <w:b/>
          <w:color w:val="auto"/>
        </w:rPr>
        <w:t>1</w:t>
      </w:r>
      <w:r>
        <w:rPr>
          <w:b/>
          <w:color w:val="auto"/>
        </w:rPr>
        <w:fldChar w:fldCharType="end"/>
      </w:r>
      <w:r>
        <w:rPr>
          <w:b/>
          <w:color w:val="auto"/>
        </w:rPr>
        <w:fldChar w:fldCharType="end"/>
      </w:r>
    </w:p>
    <w:p>
      <w:pPr>
        <w:pStyle w:val="16"/>
        <w:rPr>
          <w:b/>
          <w:color w:val="auto"/>
        </w:rPr>
      </w:pPr>
      <w:r>
        <w:rPr>
          <w:b/>
          <w:color w:val="auto"/>
        </w:rPr>
        <w:fldChar w:fldCharType="begin"/>
      </w:r>
      <w:r>
        <w:rPr>
          <w:rStyle w:val="25"/>
          <w:b/>
          <w:color w:val="auto"/>
        </w:rPr>
        <w:instrText xml:space="preserve"> </w:instrText>
      </w:r>
      <w:r>
        <w:rPr>
          <w:b/>
          <w:color w:val="auto"/>
        </w:rPr>
        <w:instrText xml:space="preserve">HYPERLINK \l "_Toc29308627"</w:instrText>
      </w:r>
      <w:r>
        <w:rPr>
          <w:rStyle w:val="25"/>
          <w:b/>
          <w:color w:val="auto"/>
        </w:rPr>
        <w:instrText xml:space="preserve"> </w:instrText>
      </w:r>
      <w:r>
        <w:rPr>
          <w:b/>
          <w:color w:val="auto"/>
        </w:rPr>
        <w:fldChar w:fldCharType="separate"/>
      </w:r>
      <w:r>
        <w:rPr>
          <w:rStyle w:val="25"/>
          <w:rFonts w:hint="eastAsia"/>
          <w:b/>
          <w:color w:val="auto"/>
          <w:kern w:val="0"/>
        </w:rPr>
        <w:t>二、项目所在地自然环境简况社会环境简况</w:t>
      </w:r>
      <w:r>
        <w:rPr>
          <w:b/>
          <w:color w:val="auto"/>
        </w:rPr>
        <w:tab/>
      </w:r>
      <w:r>
        <w:rPr>
          <w:b/>
          <w:color w:val="auto"/>
        </w:rPr>
        <w:fldChar w:fldCharType="begin"/>
      </w:r>
      <w:r>
        <w:rPr>
          <w:b/>
          <w:color w:val="auto"/>
        </w:rPr>
        <w:instrText xml:space="preserve"> PAGEREF _Toc29308627 \h </w:instrText>
      </w:r>
      <w:r>
        <w:rPr>
          <w:b/>
          <w:color w:val="auto"/>
        </w:rPr>
        <w:fldChar w:fldCharType="separate"/>
      </w:r>
      <w:r>
        <w:rPr>
          <w:b/>
          <w:color w:val="auto"/>
        </w:rPr>
        <w:t>15</w:t>
      </w:r>
      <w:r>
        <w:rPr>
          <w:b/>
          <w:color w:val="auto"/>
        </w:rPr>
        <w:fldChar w:fldCharType="end"/>
      </w:r>
      <w:r>
        <w:rPr>
          <w:b/>
          <w:color w:val="auto"/>
        </w:rPr>
        <w:fldChar w:fldCharType="end"/>
      </w:r>
    </w:p>
    <w:p>
      <w:pPr>
        <w:pStyle w:val="16"/>
        <w:rPr>
          <w:b/>
          <w:color w:val="auto"/>
        </w:rPr>
      </w:pPr>
      <w:r>
        <w:rPr>
          <w:b/>
          <w:color w:val="auto"/>
        </w:rPr>
        <w:fldChar w:fldCharType="begin"/>
      </w:r>
      <w:r>
        <w:rPr>
          <w:rStyle w:val="25"/>
          <w:b/>
          <w:color w:val="auto"/>
        </w:rPr>
        <w:instrText xml:space="preserve"> </w:instrText>
      </w:r>
      <w:r>
        <w:rPr>
          <w:b/>
          <w:color w:val="auto"/>
        </w:rPr>
        <w:instrText xml:space="preserve">HYPERLINK \l "_Toc29308628"</w:instrText>
      </w:r>
      <w:r>
        <w:rPr>
          <w:rStyle w:val="25"/>
          <w:b/>
          <w:color w:val="auto"/>
        </w:rPr>
        <w:instrText xml:space="preserve"> </w:instrText>
      </w:r>
      <w:r>
        <w:rPr>
          <w:b/>
          <w:color w:val="auto"/>
        </w:rPr>
        <w:fldChar w:fldCharType="separate"/>
      </w:r>
      <w:r>
        <w:rPr>
          <w:rStyle w:val="25"/>
          <w:rFonts w:hint="eastAsia"/>
          <w:b/>
          <w:color w:val="auto"/>
          <w:kern w:val="0"/>
        </w:rPr>
        <w:t>三、环境质量现状</w:t>
      </w:r>
      <w:r>
        <w:rPr>
          <w:b/>
          <w:color w:val="auto"/>
        </w:rPr>
        <w:tab/>
      </w:r>
      <w:r>
        <w:rPr>
          <w:b/>
          <w:color w:val="auto"/>
        </w:rPr>
        <w:fldChar w:fldCharType="begin"/>
      </w:r>
      <w:r>
        <w:rPr>
          <w:b/>
          <w:color w:val="auto"/>
        </w:rPr>
        <w:instrText xml:space="preserve"> PAGEREF _Toc29308628 \h </w:instrText>
      </w:r>
      <w:r>
        <w:rPr>
          <w:b/>
          <w:color w:val="auto"/>
        </w:rPr>
        <w:fldChar w:fldCharType="separate"/>
      </w:r>
      <w:r>
        <w:rPr>
          <w:b/>
          <w:color w:val="auto"/>
        </w:rPr>
        <w:t>19</w:t>
      </w:r>
      <w:r>
        <w:rPr>
          <w:b/>
          <w:color w:val="auto"/>
        </w:rPr>
        <w:fldChar w:fldCharType="end"/>
      </w:r>
      <w:r>
        <w:rPr>
          <w:b/>
          <w:color w:val="auto"/>
        </w:rPr>
        <w:fldChar w:fldCharType="end"/>
      </w:r>
    </w:p>
    <w:p>
      <w:pPr>
        <w:pStyle w:val="16"/>
        <w:rPr>
          <w:b/>
          <w:color w:val="auto"/>
        </w:rPr>
      </w:pPr>
      <w:r>
        <w:rPr>
          <w:b/>
          <w:color w:val="auto"/>
        </w:rPr>
        <w:fldChar w:fldCharType="begin"/>
      </w:r>
      <w:r>
        <w:rPr>
          <w:rStyle w:val="25"/>
          <w:b/>
          <w:color w:val="auto"/>
        </w:rPr>
        <w:instrText xml:space="preserve"> </w:instrText>
      </w:r>
      <w:r>
        <w:rPr>
          <w:b/>
          <w:color w:val="auto"/>
        </w:rPr>
        <w:instrText xml:space="preserve">HYPERLINK \l "_Toc29308629"</w:instrText>
      </w:r>
      <w:r>
        <w:rPr>
          <w:rStyle w:val="25"/>
          <w:b/>
          <w:color w:val="auto"/>
        </w:rPr>
        <w:instrText xml:space="preserve"> </w:instrText>
      </w:r>
      <w:r>
        <w:rPr>
          <w:b/>
          <w:color w:val="auto"/>
        </w:rPr>
        <w:fldChar w:fldCharType="separate"/>
      </w:r>
      <w:r>
        <w:rPr>
          <w:rStyle w:val="25"/>
          <w:rFonts w:hint="eastAsia"/>
          <w:b/>
          <w:color w:val="auto"/>
          <w:kern w:val="0"/>
        </w:rPr>
        <w:t>四、评价适用标准</w:t>
      </w:r>
      <w:r>
        <w:rPr>
          <w:b/>
          <w:color w:val="auto"/>
        </w:rPr>
        <w:tab/>
      </w:r>
      <w:r>
        <w:rPr>
          <w:b/>
          <w:color w:val="auto"/>
        </w:rPr>
        <w:fldChar w:fldCharType="begin"/>
      </w:r>
      <w:r>
        <w:rPr>
          <w:b/>
          <w:color w:val="auto"/>
        </w:rPr>
        <w:instrText xml:space="preserve"> PAGEREF _Toc29308629 \h </w:instrText>
      </w:r>
      <w:r>
        <w:rPr>
          <w:b/>
          <w:color w:val="auto"/>
        </w:rPr>
        <w:fldChar w:fldCharType="separate"/>
      </w:r>
      <w:r>
        <w:rPr>
          <w:b/>
          <w:color w:val="auto"/>
        </w:rPr>
        <w:t>24</w:t>
      </w:r>
      <w:r>
        <w:rPr>
          <w:b/>
          <w:color w:val="auto"/>
        </w:rPr>
        <w:fldChar w:fldCharType="end"/>
      </w:r>
      <w:r>
        <w:rPr>
          <w:b/>
          <w:color w:val="auto"/>
        </w:rPr>
        <w:fldChar w:fldCharType="end"/>
      </w:r>
    </w:p>
    <w:p>
      <w:pPr>
        <w:pStyle w:val="16"/>
        <w:rPr>
          <w:b/>
          <w:color w:val="auto"/>
        </w:rPr>
      </w:pPr>
      <w:r>
        <w:rPr>
          <w:b/>
          <w:color w:val="auto"/>
        </w:rPr>
        <w:fldChar w:fldCharType="begin"/>
      </w:r>
      <w:r>
        <w:rPr>
          <w:rStyle w:val="25"/>
          <w:b/>
          <w:color w:val="auto"/>
        </w:rPr>
        <w:instrText xml:space="preserve"> </w:instrText>
      </w:r>
      <w:r>
        <w:rPr>
          <w:b/>
          <w:color w:val="auto"/>
        </w:rPr>
        <w:instrText xml:space="preserve">HYPERLINK \l "_Toc29308630"</w:instrText>
      </w:r>
      <w:r>
        <w:rPr>
          <w:rStyle w:val="25"/>
          <w:b/>
          <w:color w:val="auto"/>
        </w:rPr>
        <w:instrText xml:space="preserve"> </w:instrText>
      </w:r>
      <w:r>
        <w:rPr>
          <w:b/>
          <w:color w:val="auto"/>
        </w:rPr>
        <w:fldChar w:fldCharType="separate"/>
      </w:r>
      <w:r>
        <w:rPr>
          <w:rStyle w:val="25"/>
          <w:rFonts w:hint="eastAsia"/>
          <w:b/>
          <w:color w:val="auto"/>
          <w:kern w:val="0"/>
        </w:rPr>
        <w:t>五、建设项目工程分析</w:t>
      </w:r>
      <w:r>
        <w:rPr>
          <w:b/>
          <w:color w:val="auto"/>
        </w:rPr>
        <w:tab/>
      </w:r>
      <w:r>
        <w:rPr>
          <w:b/>
          <w:color w:val="auto"/>
        </w:rPr>
        <w:fldChar w:fldCharType="begin"/>
      </w:r>
      <w:r>
        <w:rPr>
          <w:b/>
          <w:color w:val="auto"/>
        </w:rPr>
        <w:instrText xml:space="preserve"> PAGEREF _Toc29308630 \h </w:instrText>
      </w:r>
      <w:r>
        <w:rPr>
          <w:b/>
          <w:color w:val="auto"/>
        </w:rPr>
        <w:fldChar w:fldCharType="separate"/>
      </w:r>
      <w:r>
        <w:rPr>
          <w:b/>
          <w:color w:val="auto"/>
        </w:rPr>
        <w:t>28</w:t>
      </w:r>
      <w:r>
        <w:rPr>
          <w:b/>
          <w:color w:val="auto"/>
        </w:rPr>
        <w:fldChar w:fldCharType="end"/>
      </w:r>
      <w:r>
        <w:rPr>
          <w:b/>
          <w:color w:val="auto"/>
        </w:rPr>
        <w:fldChar w:fldCharType="end"/>
      </w:r>
    </w:p>
    <w:p>
      <w:pPr>
        <w:pStyle w:val="16"/>
        <w:rPr>
          <w:b/>
          <w:color w:val="auto"/>
        </w:rPr>
      </w:pPr>
      <w:r>
        <w:rPr>
          <w:b/>
          <w:color w:val="auto"/>
        </w:rPr>
        <w:fldChar w:fldCharType="begin"/>
      </w:r>
      <w:r>
        <w:rPr>
          <w:rStyle w:val="25"/>
          <w:b/>
          <w:color w:val="auto"/>
        </w:rPr>
        <w:instrText xml:space="preserve"> </w:instrText>
      </w:r>
      <w:r>
        <w:rPr>
          <w:b/>
          <w:color w:val="auto"/>
        </w:rPr>
        <w:instrText xml:space="preserve">HYPERLINK \l "_Toc29308631"</w:instrText>
      </w:r>
      <w:r>
        <w:rPr>
          <w:rStyle w:val="25"/>
          <w:b/>
          <w:color w:val="auto"/>
        </w:rPr>
        <w:instrText xml:space="preserve"> </w:instrText>
      </w:r>
      <w:r>
        <w:rPr>
          <w:b/>
          <w:color w:val="auto"/>
        </w:rPr>
        <w:fldChar w:fldCharType="separate"/>
      </w:r>
      <w:r>
        <w:rPr>
          <w:rStyle w:val="25"/>
          <w:rFonts w:hint="eastAsia"/>
          <w:b/>
          <w:color w:val="auto"/>
          <w:kern w:val="0"/>
        </w:rPr>
        <w:t>六、项目主要污染物产生及预计排放情况</w:t>
      </w:r>
      <w:r>
        <w:rPr>
          <w:b/>
          <w:color w:val="auto"/>
        </w:rPr>
        <w:tab/>
      </w:r>
      <w:r>
        <w:rPr>
          <w:b/>
          <w:color w:val="auto"/>
        </w:rPr>
        <w:fldChar w:fldCharType="begin"/>
      </w:r>
      <w:r>
        <w:rPr>
          <w:b/>
          <w:color w:val="auto"/>
        </w:rPr>
        <w:instrText xml:space="preserve"> PAGEREF _Toc29308631 \h </w:instrText>
      </w:r>
      <w:r>
        <w:rPr>
          <w:b/>
          <w:color w:val="auto"/>
        </w:rPr>
        <w:fldChar w:fldCharType="separate"/>
      </w:r>
      <w:r>
        <w:rPr>
          <w:b/>
          <w:color w:val="auto"/>
        </w:rPr>
        <w:t>46</w:t>
      </w:r>
      <w:r>
        <w:rPr>
          <w:b/>
          <w:color w:val="auto"/>
        </w:rPr>
        <w:fldChar w:fldCharType="end"/>
      </w:r>
      <w:r>
        <w:rPr>
          <w:b/>
          <w:color w:val="auto"/>
        </w:rPr>
        <w:fldChar w:fldCharType="end"/>
      </w:r>
    </w:p>
    <w:p>
      <w:pPr>
        <w:pStyle w:val="16"/>
        <w:rPr>
          <w:b/>
          <w:color w:val="auto"/>
        </w:rPr>
      </w:pPr>
      <w:r>
        <w:rPr>
          <w:b/>
          <w:color w:val="auto"/>
        </w:rPr>
        <w:fldChar w:fldCharType="begin"/>
      </w:r>
      <w:r>
        <w:rPr>
          <w:rStyle w:val="25"/>
          <w:b/>
          <w:color w:val="auto"/>
        </w:rPr>
        <w:instrText xml:space="preserve"> </w:instrText>
      </w:r>
      <w:r>
        <w:rPr>
          <w:b/>
          <w:color w:val="auto"/>
        </w:rPr>
        <w:instrText xml:space="preserve">HYPERLINK \l "_Toc29308632"</w:instrText>
      </w:r>
      <w:r>
        <w:rPr>
          <w:rStyle w:val="25"/>
          <w:b/>
          <w:color w:val="auto"/>
        </w:rPr>
        <w:instrText xml:space="preserve"> </w:instrText>
      </w:r>
      <w:r>
        <w:rPr>
          <w:b/>
          <w:color w:val="auto"/>
        </w:rPr>
        <w:fldChar w:fldCharType="separate"/>
      </w:r>
      <w:r>
        <w:rPr>
          <w:rStyle w:val="25"/>
          <w:rFonts w:hint="eastAsia"/>
          <w:b/>
          <w:color w:val="auto"/>
          <w:kern w:val="0"/>
        </w:rPr>
        <w:t>七、环境影响分析</w:t>
      </w:r>
      <w:r>
        <w:rPr>
          <w:b/>
          <w:color w:val="auto"/>
        </w:rPr>
        <w:tab/>
      </w:r>
      <w:r>
        <w:rPr>
          <w:b/>
          <w:color w:val="auto"/>
        </w:rPr>
        <w:fldChar w:fldCharType="begin"/>
      </w:r>
      <w:r>
        <w:rPr>
          <w:b/>
          <w:color w:val="auto"/>
        </w:rPr>
        <w:instrText xml:space="preserve"> PAGEREF _Toc29308632 \h </w:instrText>
      </w:r>
      <w:r>
        <w:rPr>
          <w:b/>
          <w:color w:val="auto"/>
        </w:rPr>
        <w:fldChar w:fldCharType="separate"/>
      </w:r>
      <w:r>
        <w:rPr>
          <w:b/>
          <w:color w:val="auto"/>
        </w:rPr>
        <w:t>48</w:t>
      </w:r>
      <w:r>
        <w:rPr>
          <w:b/>
          <w:color w:val="auto"/>
        </w:rPr>
        <w:fldChar w:fldCharType="end"/>
      </w:r>
      <w:r>
        <w:rPr>
          <w:b/>
          <w:color w:val="auto"/>
        </w:rPr>
        <w:fldChar w:fldCharType="end"/>
      </w:r>
    </w:p>
    <w:p>
      <w:pPr>
        <w:pStyle w:val="16"/>
        <w:rPr>
          <w:b/>
          <w:color w:val="auto"/>
        </w:rPr>
      </w:pPr>
      <w:r>
        <w:rPr>
          <w:b/>
          <w:color w:val="auto"/>
        </w:rPr>
        <w:fldChar w:fldCharType="begin"/>
      </w:r>
      <w:r>
        <w:rPr>
          <w:rStyle w:val="25"/>
          <w:b/>
          <w:color w:val="auto"/>
        </w:rPr>
        <w:instrText xml:space="preserve"> </w:instrText>
      </w:r>
      <w:r>
        <w:rPr>
          <w:b/>
          <w:color w:val="auto"/>
        </w:rPr>
        <w:instrText xml:space="preserve">HYPERLINK \l "_Toc29308633"</w:instrText>
      </w:r>
      <w:r>
        <w:rPr>
          <w:rStyle w:val="25"/>
          <w:b/>
          <w:color w:val="auto"/>
        </w:rPr>
        <w:instrText xml:space="preserve"> </w:instrText>
      </w:r>
      <w:r>
        <w:rPr>
          <w:b/>
          <w:color w:val="auto"/>
        </w:rPr>
        <w:fldChar w:fldCharType="separate"/>
      </w:r>
      <w:r>
        <w:rPr>
          <w:rStyle w:val="25"/>
          <w:rFonts w:hint="eastAsia"/>
          <w:b/>
          <w:color w:val="auto"/>
          <w:kern w:val="0"/>
        </w:rPr>
        <w:t>八、建设项目采取的防治措施及预期治理效果</w:t>
      </w:r>
      <w:r>
        <w:rPr>
          <w:b/>
          <w:color w:val="auto"/>
        </w:rPr>
        <w:tab/>
      </w:r>
      <w:r>
        <w:rPr>
          <w:b/>
          <w:color w:val="auto"/>
        </w:rPr>
        <w:fldChar w:fldCharType="begin"/>
      </w:r>
      <w:r>
        <w:rPr>
          <w:b/>
          <w:color w:val="auto"/>
        </w:rPr>
        <w:instrText xml:space="preserve"> PAGEREF _Toc29308633 \h </w:instrText>
      </w:r>
      <w:r>
        <w:rPr>
          <w:b/>
          <w:color w:val="auto"/>
        </w:rPr>
        <w:fldChar w:fldCharType="separate"/>
      </w:r>
      <w:r>
        <w:rPr>
          <w:b/>
          <w:color w:val="auto"/>
        </w:rPr>
        <w:t>80</w:t>
      </w:r>
      <w:r>
        <w:rPr>
          <w:b/>
          <w:color w:val="auto"/>
        </w:rPr>
        <w:fldChar w:fldCharType="end"/>
      </w:r>
      <w:r>
        <w:rPr>
          <w:b/>
          <w:color w:val="auto"/>
        </w:rPr>
        <w:fldChar w:fldCharType="end"/>
      </w:r>
    </w:p>
    <w:p>
      <w:pPr>
        <w:pStyle w:val="16"/>
        <w:rPr>
          <w:color w:val="auto"/>
        </w:rPr>
      </w:pPr>
      <w:r>
        <w:rPr>
          <w:b/>
          <w:color w:val="auto"/>
        </w:rPr>
        <w:fldChar w:fldCharType="begin"/>
      </w:r>
      <w:r>
        <w:rPr>
          <w:rStyle w:val="25"/>
          <w:b/>
          <w:color w:val="auto"/>
        </w:rPr>
        <w:instrText xml:space="preserve"> </w:instrText>
      </w:r>
      <w:r>
        <w:rPr>
          <w:b/>
          <w:color w:val="auto"/>
        </w:rPr>
        <w:instrText xml:space="preserve">HYPERLINK \l "_Toc29308634"</w:instrText>
      </w:r>
      <w:r>
        <w:rPr>
          <w:rStyle w:val="25"/>
          <w:b/>
          <w:color w:val="auto"/>
        </w:rPr>
        <w:instrText xml:space="preserve"> </w:instrText>
      </w:r>
      <w:r>
        <w:rPr>
          <w:b/>
          <w:color w:val="auto"/>
        </w:rPr>
        <w:fldChar w:fldCharType="separate"/>
      </w:r>
      <w:r>
        <w:rPr>
          <w:rStyle w:val="25"/>
          <w:rFonts w:hint="eastAsia"/>
          <w:b/>
          <w:color w:val="auto"/>
          <w:kern w:val="0"/>
        </w:rPr>
        <w:t>九、结论与建议</w:t>
      </w:r>
      <w:r>
        <w:rPr>
          <w:b/>
          <w:color w:val="auto"/>
        </w:rPr>
        <w:tab/>
      </w:r>
      <w:r>
        <w:rPr>
          <w:b/>
          <w:color w:val="auto"/>
        </w:rPr>
        <w:fldChar w:fldCharType="begin"/>
      </w:r>
      <w:r>
        <w:rPr>
          <w:b/>
          <w:color w:val="auto"/>
        </w:rPr>
        <w:instrText xml:space="preserve"> PAGEREF _Toc29308634 \h </w:instrText>
      </w:r>
      <w:r>
        <w:rPr>
          <w:b/>
          <w:color w:val="auto"/>
        </w:rPr>
        <w:fldChar w:fldCharType="separate"/>
      </w:r>
      <w:r>
        <w:rPr>
          <w:b/>
          <w:color w:val="auto"/>
        </w:rPr>
        <w:t>82</w:t>
      </w:r>
      <w:r>
        <w:rPr>
          <w:b/>
          <w:color w:val="auto"/>
        </w:rPr>
        <w:fldChar w:fldCharType="end"/>
      </w:r>
      <w:r>
        <w:rPr>
          <w:b/>
          <w:color w:val="auto"/>
        </w:rPr>
        <w:fldChar w:fldCharType="end"/>
      </w:r>
    </w:p>
    <w:p>
      <w:pPr>
        <w:spacing w:line="240" w:lineRule="auto"/>
        <w:jc w:val="left"/>
        <w:rPr>
          <w:rFonts w:hint="eastAsia" w:asciiTheme="minorEastAsia" w:hAnsiTheme="minorEastAsia" w:eastAsiaTheme="minorEastAsia" w:cstheme="minorEastAsia"/>
          <w:b w:val="0"/>
          <w:bCs w:val="0"/>
          <w:color w:val="auto"/>
          <w:sz w:val="24"/>
        </w:rPr>
      </w:pPr>
      <w:r>
        <w:rPr>
          <w:color w:val="auto"/>
          <w:sz w:val="24"/>
          <w:szCs w:val="24"/>
        </w:rPr>
        <w:fldChar w:fldCharType="end"/>
      </w:r>
      <w:r>
        <w:rPr>
          <w:rFonts w:hint="eastAsia" w:asciiTheme="minorEastAsia" w:hAnsiTheme="minorEastAsia" w:eastAsiaTheme="minorEastAsia" w:cstheme="minorEastAsia"/>
          <w:b w:val="0"/>
          <w:bCs w:val="0"/>
          <w:color w:val="auto"/>
          <w:sz w:val="24"/>
        </w:rPr>
        <w:t>附件：</w:t>
      </w:r>
    </w:p>
    <w:p>
      <w:pPr>
        <w:spacing w:line="360" w:lineRule="auto"/>
        <w:ind w:firstLine="480" w:firstLineChars="200"/>
        <w:jc w:val="left"/>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附件1</w:t>
      </w:r>
      <w:r>
        <w:rPr>
          <w:rFonts w:hint="default" w:ascii="Times New Roman" w:hAnsi="Times New Roman" w:eastAsia="宋体" w:cs="Times New Roman"/>
          <w:b w:val="0"/>
          <w:bCs w:val="0"/>
          <w:color w:val="auto"/>
          <w:sz w:val="24"/>
          <w:lang w:val="en-US" w:eastAsia="zh-CN"/>
        </w:rPr>
        <w:t xml:space="preserve"> 环评委托书</w:t>
      </w:r>
    </w:p>
    <w:p>
      <w:pPr>
        <w:spacing w:line="360" w:lineRule="auto"/>
        <w:ind w:firstLine="480" w:firstLineChars="200"/>
        <w:jc w:val="left"/>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附件2 企业营业执照</w:t>
      </w:r>
    </w:p>
    <w:p>
      <w:pPr>
        <w:pStyle w:val="2"/>
        <w:spacing w:line="360" w:lineRule="auto"/>
        <w:ind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附件3 租赁合同</w:t>
      </w:r>
    </w:p>
    <w:p>
      <w:pPr>
        <w:pStyle w:val="2"/>
        <w:spacing w:line="360" w:lineRule="auto"/>
        <w:ind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附件4</w:t>
      </w:r>
      <w:r>
        <w:rPr>
          <w:rFonts w:hint="eastAsia"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国土证及红线图</w:t>
      </w:r>
    </w:p>
    <w:p>
      <w:pPr>
        <w:pStyle w:val="2"/>
        <w:spacing w:line="360" w:lineRule="auto"/>
        <w:ind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32"/>
          <w:lang w:val="en-US" w:eastAsia="zh-CN"/>
        </w:rPr>
        <w:t>附件</w:t>
      </w:r>
      <w:r>
        <w:rPr>
          <w:rFonts w:hint="eastAsia" w:cs="Times New Roman"/>
          <w:color w:val="auto"/>
          <w:sz w:val="24"/>
          <w:szCs w:val="32"/>
          <w:lang w:val="en-US" w:eastAsia="zh-CN"/>
        </w:rPr>
        <w:t>5</w:t>
      </w:r>
      <w:r>
        <w:rPr>
          <w:rFonts w:hint="default" w:ascii="Times New Roman" w:hAnsi="Times New Roman" w:eastAsia="宋体" w:cs="Times New Roman"/>
          <w:color w:val="auto"/>
          <w:sz w:val="24"/>
          <w:szCs w:val="32"/>
          <w:lang w:val="en-US" w:eastAsia="zh-CN"/>
        </w:rPr>
        <w:t xml:space="preserve"> 建设项目环境影响登记表</w:t>
      </w:r>
    </w:p>
    <w:p>
      <w:pPr>
        <w:pStyle w:val="2"/>
        <w:spacing w:line="360" w:lineRule="auto"/>
        <w:ind w:firstLine="480"/>
        <w:jc w:val="left"/>
        <w:rPr>
          <w:rFonts w:hint="eastAsia" w:asciiTheme="minorEastAsia" w:hAnsiTheme="minorEastAsia" w:eastAsiaTheme="minorEastAsia" w:cstheme="minorEastAsia"/>
          <w:b w:val="0"/>
          <w:bCs w:val="0"/>
          <w:color w:val="auto"/>
          <w:sz w:val="24"/>
          <w:szCs w:val="24"/>
          <w:lang w:val="en-US" w:eastAsia="zh-CN"/>
        </w:rPr>
      </w:pPr>
      <w:r>
        <w:rPr>
          <w:rFonts w:hint="default" w:ascii="Times New Roman" w:hAnsi="Times New Roman" w:eastAsia="宋体" w:cs="Times New Roman"/>
          <w:b w:val="0"/>
          <w:bCs w:val="0"/>
          <w:color w:val="auto"/>
          <w:sz w:val="24"/>
          <w:szCs w:val="24"/>
          <w:vertAlign w:val="baseline"/>
          <w:lang w:val="en-US" w:eastAsia="zh-CN"/>
        </w:rPr>
        <w:t>附件</w:t>
      </w:r>
      <w:r>
        <w:rPr>
          <w:rFonts w:hint="eastAsia"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 xml:space="preserve"> </w:t>
      </w:r>
      <w:r>
        <w:rPr>
          <w:rFonts w:hint="eastAsia" w:cs="Times New Roman"/>
          <w:b w:val="0"/>
          <w:bCs w:val="0"/>
          <w:color w:val="auto"/>
          <w:sz w:val="24"/>
          <w:szCs w:val="24"/>
          <w:lang w:val="en-US" w:eastAsia="zh-CN"/>
        </w:rPr>
        <w:t>厂界噪声</w:t>
      </w:r>
      <w:r>
        <w:rPr>
          <w:rFonts w:hint="default" w:ascii="Times New Roman" w:hAnsi="Times New Roman" w:eastAsia="宋体" w:cs="Times New Roman"/>
          <w:b w:val="0"/>
          <w:bCs w:val="0"/>
          <w:color w:val="auto"/>
          <w:sz w:val="24"/>
          <w:szCs w:val="24"/>
          <w:lang w:val="en-US" w:eastAsia="zh-CN"/>
        </w:rPr>
        <w:t>环境</w:t>
      </w:r>
      <w:r>
        <w:rPr>
          <w:rFonts w:hint="eastAsia" w:asciiTheme="minorEastAsia" w:hAnsiTheme="minorEastAsia" w:eastAsiaTheme="minorEastAsia" w:cstheme="minorEastAsia"/>
          <w:b w:val="0"/>
          <w:bCs w:val="0"/>
          <w:color w:val="auto"/>
          <w:sz w:val="24"/>
          <w:szCs w:val="24"/>
          <w:lang w:val="en-US" w:eastAsia="zh-CN"/>
        </w:rPr>
        <w:t>质量现状监测报告</w:t>
      </w:r>
    </w:p>
    <w:p>
      <w:pPr>
        <w:pStyle w:val="2"/>
        <w:spacing w:line="360" w:lineRule="auto"/>
        <w:ind w:firstLine="480"/>
        <w:jc w:val="left"/>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vertAlign w:val="baseline"/>
          <w:lang w:val="en-US" w:eastAsia="zh-CN"/>
        </w:rPr>
        <w:t>附件</w:t>
      </w:r>
      <w:r>
        <w:rPr>
          <w:rFonts w:hint="eastAsia" w:cs="Times New Roman"/>
          <w:b w:val="0"/>
          <w:bCs w:val="0"/>
          <w:color w:val="auto"/>
          <w:sz w:val="24"/>
          <w:szCs w:val="24"/>
          <w:vertAlign w:val="baseline"/>
          <w:lang w:val="en-US" w:eastAsia="zh-CN"/>
        </w:rPr>
        <w:t>7</w:t>
      </w:r>
      <w:r>
        <w:rPr>
          <w:rFonts w:hint="default" w:ascii="Times New Roman" w:hAnsi="Times New Roman" w:eastAsia="宋体" w:cs="Times New Roman"/>
          <w:b w:val="0"/>
          <w:bCs w:val="0"/>
          <w:color w:val="auto"/>
          <w:sz w:val="24"/>
          <w:szCs w:val="24"/>
          <w:vertAlign w:val="baseline"/>
          <w:lang w:val="en-US" w:eastAsia="zh-CN"/>
        </w:rPr>
        <w:t xml:space="preserve"> </w:t>
      </w:r>
      <w:r>
        <w:rPr>
          <w:rFonts w:hint="eastAsia" w:cs="Times New Roman"/>
          <w:b w:val="0"/>
          <w:bCs w:val="0"/>
          <w:color w:val="auto"/>
          <w:sz w:val="24"/>
          <w:szCs w:val="24"/>
          <w:lang w:val="en-US" w:eastAsia="zh-CN"/>
        </w:rPr>
        <w:t>排污权证</w:t>
      </w:r>
    </w:p>
    <w:p>
      <w:pPr>
        <w:pStyle w:val="2"/>
        <w:spacing w:line="360" w:lineRule="auto"/>
        <w:ind w:firstLine="480"/>
        <w:jc w:val="left"/>
        <w:rPr>
          <w:rFonts w:hint="default" w:ascii="Times New Roman" w:hAnsi="Times New Roman" w:eastAsia="宋体" w:cs="Times New Roman"/>
          <w:b w:val="0"/>
          <w:bCs w:val="0"/>
          <w:color w:val="auto"/>
          <w:sz w:val="24"/>
          <w:szCs w:val="24"/>
          <w:u w:val="single"/>
          <w:vertAlign w:val="baseline"/>
          <w:lang w:val="en-US" w:eastAsia="zh-CN"/>
        </w:rPr>
      </w:pPr>
      <w:r>
        <w:rPr>
          <w:rFonts w:hint="default" w:ascii="Times New Roman" w:hAnsi="Times New Roman" w:eastAsia="宋体" w:cs="Times New Roman"/>
          <w:b w:val="0"/>
          <w:bCs w:val="0"/>
          <w:color w:val="auto"/>
          <w:sz w:val="24"/>
          <w:szCs w:val="24"/>
          <w:u w:val="single"/>
          <w:vertAlign w:val="baseline"/>
          <w:lang w:val="en-US" w:eastAsia="zh-CN"/>
        </w:rPr>
        <w:t>附件</w:t>
      </w:r>
      <w:r>
        <w:rPr>
          <w:rFonts w:hint="eastAsia" w:cs="Times New Roman"/>
          <w:b w:val="0"/>
          <w:bCs w:val="0"/>
          <w:color w:val="auto"/>
          <w:sz w:val="24"/>
          <w:szCs w:val="24"/>
          <w:u w:val="single"/>
          <w:vertAlign w:val="baseline"/>
          <w:lang w:val="en-US" w:eastAsia="zh-CN"/>
        </w:rPr>
        <w:t>8</w:t>
      </w:r>
      <w:r>
        <w:rPr>
          <w:rFonts w:hint="default" w:ascii="Times New Roman" w:hAnsi="Times New Roman" w:eastAsia="宋体" w:cs="Times New Roman"/>
          <w:b w:val="0"/>
          <w:bCs w:val="0"/>
          <w:color w:val="auto"/>
          <w:sz w:val="24"/>
          <w:szCs w:val="24"/>
          <w:u w:val="single"/>
          <w:vertAlign w:val="baseline"/>
          <w:lang w:val="en-US" w:eastAsia="zh-CN"/>
        </w:rPr>
        <w:t xml:space="preserve"> 废树脂胶桶回收证明</w:t>
      </w:r>
    </w:p>
    <w:p>
      <w:pPr>
        <w:pStyle w:val="2"/>
        <w:spacing w:line="360" w:lineRule="auto"/>
        <w:ind w:firstLine="480"/>
        <w:jc w:val="left"/>
        <w:rPr>
          <w:rFonts w:hint="default" w:ascii="Times New Roman" w:hAnsi="Times New Roman" w:eastAsia="宋体" w:cs="Times New Roman"/>
          <w:b w:val="0"/>
          <w:bCs w:val="0"/>
          <w:color w:val="auto"/>
          <w:sz w:val="24"/>
          <w:szCs w:val="24"/>
          <w:u w:val="single"/>
          <w:vertAlign w:val="baseline"/>
          <w:lang w:val="en-US" w:eastAsia="zh-CN"/>
        </w:rPr>
      </w:pPr>
      <w:r>
        <w:rPr>
          <w:rFonts w:hint="default" w:ascii="Times New Roman" w:hAnsi="Times New Roman" w:eastAsia="宋体" w:cs="Times New Roman"/>
          <w:b w:val="0"/>
          <w:bCs w:val="0"/>
          <w:color w:val="auto"/>
          <w:sz w:val="24"/>
          <w:szCs w:val="24"/>
          <w:u w:val="single"/>
          <w:vertAlign w:val="baseline"/>
          <w:lang w:val="en-US" w:eastAsia="zh-CN"/>
        </w:rPr>
        <w:t>附件</w:t>
      </w:r>
      <w:r>
        <w:rPr>
          <w:rFonts w:hint="eastAsia" w:cs="Times New Roman"/>
          <w:b w:val="0"/>
          <w:bCs w:val="0"/>
          <w:color w:val="auto"/>
          <w:sz w:val="24"/>
          <w:szCs w:val="24"/>
          <w:u w:val="single"/>
          <w:vertAlign w:val="baseline"/>
          <w:lang w:val="en-US" w:eastAsia="zh-CN"/>
        </w:rPr>
        <w:t>9</w:t>
      </w:r>
      <w:r>
        <w:rPr>
          <w:rFonts w:hint="default" w:ascii="Times New Roman" w:hAnsi="Times New Roman" w:eastAsia="宋体" w:cs="Times New Roman"/>
          <w:b w:val="0"/>
          <w:bCs w:val="0"/>
          <w:color w:val="auto"/>
          <w:sz w:val="24"/>
          <w:szCs w:val="24"/>
          <w:u w:val="single"/>
          <w:vertAlign w:val="baseline"/>
          <w:lang w:val="en-US" w:eastAsia="zh-CN"/>
        </w:rPr>
        <w:t xml:space="preserve"> 备案证明</w:t>
      </w:r>
    </w:p>
    <w:p>
      <w:pPr>
        <w:pStyle w:val="2"/>
        <w:spacing w:line="360" w:lineRule="auto"/>
        <w:ind w:firstLine="480"/>
        <w:jc w:val="left"/>
        <w:rPr>
          <w:rFonts w:hint="eastAsia" w:cs="Times New Roman"/>
          <w:b w:val="0"/>
          <w:bCs w:val="0"/>
          <w:color w:val="auto"/>
          <w:sz w:val="24"/>
          <w:szCs w:val="24"/>
          <w:u w:val="single"/>
          <w:vertAlign w:val="baseline"/>
          <w:lang w:val="en-US" w:eastAsia="zh-CN"/>
        </w:rPr>
      </w:pPr>
      <w:r>
        <w:rPr>
          <w:rFonts w:hint="eastAsia" w:cs="Times New Roman"/>
          <w:b w:val="0"/>
          <w:bCs w:val="0"/>
          <w:color w:val="auto"/>
          <w:sz w:val="24"/>
          <w:szCs w:val="24"/>
          <w:u w:val="single"/>
          <w:vertAlign w:val="baseline"/>
          <w:lang w:val="en-US" w:eastAsia="zh-CN"/>
        </w:rPr>
        <w:t>附件10 酚醛树脂胶检测报告</w:t>
      </w:r>
    </w:p>
    <w:p>
      <w:pPr>
        <w:pStyle w:val="2"/>
        <w:spacing w:line="360" w:lineRule="auto"/>
        <w:ind w:firstLine="480"/>
        <w:jc w:val="left"/>
        <w:rPr>
          <w:rFonts w:hint="eastAsia" w:cs="Times New Roman"/>
          <w:b w:val="0"/>
          <w:bCs w:val="0"/>
          <w:color w:val="auto"/>
          <w:sz w:val="24"/>
          <w:szCs w:val="24"/>
          <w:u w:val="single"/>
          <w:vertAlign w:val="baseline"/>
          <w:lang w:val="en-US" w:eastAsia="zh-CN"/>
        </w:rPr>
      </w:pPr>
      <w:r>
        <w:rPr>
          <w:rFonts w:hint="eastAsia" w:cs="Times New Roman"/>
          <w:b w:val="0"/>
          <w:bCs w:val="0"/>
          <w:color w:val="auto"/>
          <w:sz w:val="24"/>
          <w:szCs w:val="24"/>
          <w:u w:val="single"/>
          <w:vertAlign w:val="baseline"/>
          <w:lang w:val="en-US" w:eastAsia="zh-CN"/>
        </w:rPr>
        <w:t>附件11 建设项目竣工环境保护验收申请登记卡</w:t>
      </w:r>
    </w:p>
    <w:p>
      <w:pPr>
        <w:pStyle w:val="2"/>
        <w:spacing w:line="360" w:lineRule="auto"/>
        <w:ind w:firstLine="480"/>
        <w:jc w:val="left"/>
        <w:rPr>
          <w:rFonts w:hint="default" w:cs="Times New Roman"/>
          <w:b w:val="0"/>
          <w:bCs w:val="0"/>
          <w:color w:val="auto"/>
          <w:sz w:val="24"/>
          <w:szCs w:val="24"/>
          <w:u w:val="single"/>
          <w:vertAlign w:val="baseline"/>
          <w:lang w:val="en-US" w:eastAsia="zh-CN"/>
        </w:rPr>
      </w:pPr>
      <w:r>
        <w:rPr>
          <w:rFonts w:hint="eastAsia" w:cs="Times New Roman"/>
          <w:b w:val="0"/>
          <w:bCs w:val="0"/>
          <w:color w:val="auto"/>
          <w:sz w:val="24"/>
          <w:szCs w:val="24"/>
          <w:u w:val="single"/>
          <w:vertAlign w:val="baseline"/>
          <w:lang w:val="en-US" w:eastAsia="zh-CN"/>
        </w:rPr>
        <w:t>附件12 生物质燃料台账</w:t>
      </w:r>
    </w:p>
    <w:p>
      <w:pPr>
        <w:pStyle w:val="2"/>
        <w:spacing w:line="360" w:lineRule="auto"/>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附图：</w:t>
      </w:r>
    </w:p>
    <w:p>
      <w:pPr>
        <w:pStyle w:val="2"/>
        <w:spacing w:line="360" w:lineRule="auto"/>
        <w:ind w:firstLine="480" w:firstLineChars="200"/>
        <w:jc w:val="left"/>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附图1  地理位置图</w:t>
      </w:r>
    </w:p>
    <w:p>
      <w:pPr>
        <w:pStyle w:val="2"/>
        <w:spacing w:line="360" w:lineRule="auto"/>
        <w:ind w:firstLine="480" w:firstLineChars="200"/>
        <w:jc w:val="left"/>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lang w:val="en-US" w:eastAsia="zh-CN"/>
        </w:rPr>
        <w:t>附图2 总平面布置示意图</w:t>
      </w:r>
    </w:p>
    <w:p>
      <w:pPr>
        <w:pStyle w:val="2"/>
        <w:spacing w:line="360" w:lineRule="auto"/>
        <w:ind w:firstLine="480" w:firstLineChars="2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附图3  敏感目标分布图</w:t>
      </w:r>
    </w:p>
    <w:p>
      <w:pPr>
        <w:pStyle w:val="2"/>
        <w:spacing w:line="360" w:lineRule="auto"/>
        <w:ind w:firstLine="48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附图4  监测点位图</w:t>
      </w:r>
    </w:p>
    <w:p>
      <w:pPr>
        <w:pStyle w:val="2"/>
        <w:spacing w:line="360" w:lineRule="auto"/>
        <w:ind w:firstLine="480" w:firstLineChars="200"/>
        <w:jc w:val="left"/>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附图5  环境现状图</w:t>
      </w:r>
    </w:p>
    <w:p>
      <w:pPr>
        <w:pStyle w:val="2"/>
        <w:spacing w:line="360" w:lineRule="auto"/>
        <w:jc w:val="left"/>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附表：</w:t>
      </w:r>
    </w:p>
    <w:p>
      <w:pPr>
        <w:pStyle w:val="2"/>
        <w:spacing w:line="360" w:lineRule="auto"/>
        <w:ind w:firstLine="480" w:firstLineChars="200"/>
        <w:jc w:val="left"/>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附表1 建设项目环评审批基础信息表</w:t>
      </w:r>
    </w:p>
    <w:p>
      <w:pPr>
        <w:pStyle w:val="2"/>
        <w:spacing w:line="360" w:lineRule="auto"/>
        <w:ind w:firstLine="480" w:firstLineChars="200"/>
        <w:jc w:val="left"/>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附表2  大气环境影响评价自查表</w:t>
      </w:r>
    </w:p>
    <w:p>
      <w:pPr>
        <w:pStyle w:val="2"/>
        <w:spacing w:line="360" w:lineRule="auto"/>
        <w:ind w:firstLine="480" w:firstLineChars="200"/>
        <w:jc w:val="left"/>
        <w:rPr>
          <w:rFonts w:hint="eastAsia"/>
          <w:color w:val="auto"/>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b w:val="0"/>
          <w:bCs w:val="0"/>
          <w:color w:val="auto"/>
          <w:sz w:val="24"/>
          <w:szCs w:val="24"/>
          <w:vertAlign w:val="baseline"/>
          <w:lang w:val="en-US" w:eastAsia="zh-CN"/>
        </w:rPr>
        <w:t>附表3  地表水环境影响评价自查表</w:t>
      </w:r>
      <w:bookmarkStart w:id="0" w:name="_Toc29308626"/>
    </w:p>
    <w:p>
      <w:pPr>
        <w:pStyle w:val="3"/>
        <w:keepNext w:val="0"/>
        <w:keepLines w:val="0"/>
        <w:suppressAutoHyphens/>
        <w:topLinePunct/>
        <w:spacing w:before="0" w:after="0" w:line="240" w:lineRule="auto"/>
        <w:rPr>
          <w:rFonts w:hint="eastAsia"/>
          <w:bCs w:val="0"/>
          <w:color w:val="auto"/>
          <w:kern w:val="0"/>
          <w:sz w:val="28"/>
          <w:szCs w:val="28"/>
        </w:rPr>
      </w:pPr>
      <w:r>
        <w:rPr>
          <w:rFonts w:hint="eastAsia"/>
          <w:bCs w:val="0"/>
          <w:color w:val="auto"/>
          <w:kern w:val="0"/>
          <w:sz w:val="28"/>
          <w:szCs w:val="28"/>
        </w:rPr>
        <w:t>一、建设项目基本情况</w:t>
      </w:r>
      <w:bookmarkEnd w:id="0"/>
    </w:p>
    <w:tbl>
      <w:tblPr>
        <w:tblStyle w:val="22"/>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134"/>
        <w:gridCol w:w="567"/>
        <w:gridCol w:w="992"/>
        <w:gridCol w:w="283"/>
        <w:gridCol w:w="709"/>
        <w:gridCol w:w="327"/>
        <w:gridCol w:w="240"/>
        <w:gridCol w:w="425"/>
        <w:gridCol w:w="426"/>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项目名称</w:t>
            </w:r>
          </w:p>
        </w:tc>
        <w:tc>
          <w:tcPr>
            <w:tcW w:w="7229" w:type="dxa"/>
            <w:gridSpan w:val="11"/>
            <w:noWrap w:val="0"/>
            <w:vAlign w:val="center"/>
          </w:tcPr>
          <w:p>
            <w:pPr>
              <w:keepNext w:val="0"/>
              <w:keepLines w:val="0"/>
              <w:suppressLineNumbers w:val="0"/>
              <w:spacing w:before="0" w:beforeAutospacing="0" w:after="0" w:afterAutospacing="0"/>
              <w:ind w:left="0" w:leftChars="0" w:right="0" w:rightChars="0"/>
              <w:jc w:val="center"/>
              <w:rPr>
                <w:rFonts w:ascii="Times New Roman" w:hAnsi="宋体"/>
                <w:b/>
                <w:bCs/>
                <w:color w:val="auto"/>
                <w:sz w:val="32"/>
                <w:szCs w:val="32"/>
                <w:u w:val="none"/>
              </w:rPr>
            </w:pPr>
            <w:r>
              <w:rPr>
                <w:rFonts w:hint="eastAsia" w:ascii="Times New Roman" w:hAnsi="Times New Roman"/>
                <w:color w:val="auto"/>
                <w:sz w:val="24"/>
                <w:szCs w:val="20"/>
                <w:u w:val="none"/>
                <w:lang w:eastAsia="zh-CN"/>
              </w:rPr>
              <w:t>怀化市洪江区欣隆竹胶板厂年产3000t机制木炭生产线扩建项目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建设单位</w:t>
            </w:r>
          </w:p>
        </w:tc>
        <w:tc>
          <w:tcPr>
            <w:tcW w:w="7229" w:type="dxa"/>
            <w:gridSpan w:val="11"/>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olor w:val="auto"/>
                <w:sz w:val="24"/>
                <w:szCs w:val="24"/>
                <w:u w:val="none"/>
                <w:lang w:eastAsia="zh-CN"/>
              </w:rPr>
            </w:pPr>
            <w:r>
              <w:rPr>
                <w:rFonts w:hint="eastAsia" w:asciiTheme="minorEastAsia" w:hAnsiTheme="minorEastAsia" w:eastAsiaTheme="minorEastAsia" w:cstheme="minorEastAsia"/>
                <w:b w:val="0"/>
                <w:bCs/>
                <w:color w:val="auto"/>
                <w:sz w:val="24"/>
                <w:szCs w:val="24"/>
                <w:u w:val="none"/>
                <w:lang w:eastAsia="zh-CN"/>
              </w:rPr>
              <w:t>怀化市洪江区欣隆竹胶板厂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法人代表</w:t>
            </w:r>
          </w:p>
        </w:tc>
        <w:tc>
          <w:tcPr>
            <w:tcW w:w="2693" w:type="dxa"/>
            <w:gridSpan w:val="3"/>
            <w:noWrap w:val="0"/>
            <w:vAlign w:val="center"/>
          </w:tcPr>
          <w:p>
            <w:pPr>
              <w:spacing w:line="360" w:lineRule="auto"/>
              <w:jc w:val="center"/>
              <w:rPr>
                <w:rFonts w:hint="eastAsia" w:ascii="宋体" w:hAnsi="宋体"/>
                <w:color w:val="auto"/>
                <w:sz w:val="24"/>
                <w:szCs w:val="24"/>
                <w:u w:val="none"/>
              </w:rPr>
            </w:pPr>
            <w:r>
              <w:rPr>
                <w:rFonts w:hint="eastAsia" w:ascii="宋体" w:hAnsi="宋体"/>
                <w:color w:val="auto"/>
                <w:sz w:val="24"/>
                <w:szCs w:val="24"/>
                <w:u w:val="none"/>
              </w:rPr>
              <w:t>周开梅</w:t>
            </w:r>
          </w:p>
        </w:tc>
        <w:tc>
          <w:tcPr>
            <w:tcW w:w="1319" w:type="dxa"/>
            <w:gridSpan w:val="3"/>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联系人</w:t>
            </w:r>
          </w:p>
        </w:tc>
        <w:tc>
          <w:tcPr>
            <w:tcW w:w="3217" w:type="dxa"/>
            <w:gridSpan w:val="5"/>
            <w:noWrap w:val="0"/>
            <w:vAlign w:val="center"/>
          </w:tcPr>
          <w:p>
            <w:pPr>
              <w:spacing w:line="360" w:lineRule="auto"/>
              <w:jc w:val="center"/>
              <w:rPr>
                <w:rFonts w:hint="eastAsia" w:ascii="宋体" w:hAnsi="宋体"/>
                <w:color w:val="auto"/>
                <w:sz w:val="24"/>
                <w:szCs w:val="24"/>
                <w:u w:val="none"/>
              </w:rPr>
            </w:pPr>
            <w:r>
              <w:rPr>
                <w:rFonts w:hint="eastAsia" w:ascii="宋体" w:hAnsi="宋体"/>
                <w:color w:val="auto"/>
                <w:sz w:val="24"/>
                <w:szCs w:val="24"/>
                <w:u w:val="none"/>
              </w:rPr>
              <w:t>周开梅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6" w:type="dxa"/>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通讯地址</w:t>
            </w:r>
          </w:p>
        </w:tc>
        <w:tc>
          <w:tcPr>
            <w:tcW w:w="7229" w:type="dxa"/>
            <w:gridSpan w:val="11"/>
            <w:noWrap w:val="0"/>
            <w:vAlign w:val="center"/>
          </w:tcPr>
          <w:p>
            <w:pPr>
              <w:spacing w:line="360" w:lineRule="auto"/>
              <w:jc w:val="center"/>
              <w:rPr>
                <w:rFonts w:ascii="Times New Roman" w:hAnsi="Times New Roman" w:cs="Times New Roman"/>
                <w:color w:val="auto"/>
                <w:sz w:val="24"/>
                <w:szCs w:val="24"/>
                <w:u w:val="none"/>
              </w:rPr>
            </w:pPr>
            <w:r>
              <w:rPr>
                <w:rFonts w:hint="eastAsia" w:asciiTheme="minorEastAsia" w:hAnsiTheme="minorEastAsia" w:eastAsiaTheme="minorEastAsia" w:cstheme="minorEastAsia"/>
                <w:b w:val="0"/>
                <w:bCs/>
                <w:color w:val="auto"/>
                <w:sz w:val="24"/>
                <w:szCs w:val="24"/>
                <w:u w:val="none"/>
              </w:rPr>
              <w:t>湖南省</w:t>
            </w:r>
            <w:r>
              <w:rPr>
                <w:rFonts w:hint="eastAsia" w:asciiTheme="minorEastAsia" w:hAnsiTheme="minorEastAsia" w:eastAsiaTheme="minorEastAsia" w:cstheme="minorEastAsia"/>
                <w:b w:val="0"/>
                <w:bCs/>
                <w:color w:val="auto"/>
                <w:sz w:val="24"/>
                <w:szCs w:val="24"/>
                <w:u w:val="none"/>
                <w:lang w:val="en-US" w:eastAsia="zh-CN"/>
              </w:rPr>
              <w:t>怀化市</w:t>
            </w:r>
            <w:r>
              <w:rPr>
                <w:rFonts w:hint="eastAsia" w:asciiTheme="minorEastAsia" w:hAnsiTheme="minorEastAsia" w:eastAsiaTheme="minorEastAsia" w:cstheme="minorEastAsia"/>
                <w:b w:val="0"/>
                <w:bCs/>
                <w:color w:val="auto"/>
                <w:sz w:val="24"/>
                <w:szCs w:val="24"/>
                <w:u w:val="none"/>
              </w:rPr>
              <w:t>洪江区长寨英明山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联系电话</w:t>
            </w:r>
          </w:p>
        </w:tc>
        <w:tc>
          <w:tcPr>
            <w:tcW w:w="1701" w:type="dxa"/>
            <w:gridSpan w:val="2"/>
            <w:noWrap w:val="0"/>
            <w:vAlign w:val="center"/>
          </w:tcPr>
          <w:p>
            <w:pPr>
              <w:spacing w:line="360" w:lineRule="auto"/>
              <w:jc w:val="center"/>
              <w:rPr>
                <w:rFonts w:ascii="Times New Roman" w:hAnsi="Times New Roman"/>
                <w:color w:val="auto"/>
                <w:sz w:val="24"/>
                <w:szCs w:val="24"/>
                <w:u w:val="none"/>
              </w:rPr>
            </w:pPr>
            <w:r>
              <w:rPr>
                <w:rFonts w:hint="default" w:ascii="Times New Roman" w:hAnsi="Times New Roman" w:cs="Times New Roman" w:eastAsiaTheme="minorEastAsia"/>
                <w:b w:val="0"/>
                <w:bCs/>
                <w:color w:val="auto"/>
                <w:sz w:val="24"/>
                <w:szCs w:val="24"/>
                <w:highlight w:val="none"/>
                <w:u w:val="none"/>
                <w:lang w:val="en-US" w:eastAsia="zh-CN"/>
              </w:rPr>
              <w:t>15526161471</w:t>
            </w:r>
            <w:r>
              <w:rPr>
                <w:rFonts w:hint="eastAsia" w:asciiTheme="minorEastAsia" w:hAnsiTheme="minorEastAsia" w:eastAsiaTheme="minorEastAsia" w:cstheme="minorEastAsia"/>
                <w:b w:val="0"/>
                <w:bCs/>
                <w:color w:val="auto"/>
                <w:sz w:val="24"/>
                <w:szCs w:val="24"/>
                <w:highlight w:val="none"/>
                <w:u w:val="none"/>
                <w:lang w:val="en-US" w:eastAsia="zh-CN"/>
              </w:rPr>
              <w:t xml:space="preserve"> </w:t>
            </w:r>
          </w:p>
        </w:tc>
        <w:tc>
          <w:tcPr>
            <w:tcW w:w="992" w:type="dxa"/>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传真</w:t>
            </w:r>
          </w:p>
        </w:tc>
        <w:tc>
          <w:tcPr>
            <w:tcW w:w="992" w:type="dxa"/>
            <w:gridSpan w:val="2"/>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w:t>
            </w:r>
          </w:p>
        </w:tc>
        <w:tc>
          <w:tcPr>
            <w:tcW w:w="1418" w:type="dxa"/>
            <w:gridSpan w:val="4"/>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邮政编码</w:t>
            </w:r>
          </w:p>
        </w:tc>
        <w:tc>
          <w:tcPr>
            <w:tcW w:w="2126" w:type="dxa"/>
            <w:gridSpan w:val="2"/>
            <w:noWrap w:val="0"/>
            <w:vAlign w:val="center"/>
          </w:tcPr>
          <w:p>
            <w:pPr>
              <w:spacing w:line="360" w:lineRule="auto"/>
              <w:jc w:val="center"/>
              <w:rPr>
                <w:rFonts w:ascii="Times New Roman" w:hAnsi="Times New Roman"/>
                <w:color w:val="auto"/>
                <w:sz w:val="24"/>
                <w:szCs w:val="24"/>
                <w:u w:val="none"/>
              </w:rPr>
            </w:pPr>
            <w:r>
              <w:rPr>
                <w:rFonts w:hint="eastAsia" w:ascii="Times New Roman" w:hAnsi="Times New Roman"/>
                <w:color w:val="auto"/>
                <w:sz w:val="24"/>
                <w:szCs w:val="24"/>
                <w:u w:val="none"/>
              </w:rPr>
              <w:t>418200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建设地点</w:t>
            </w:r>
          </w:p>
        </w:tc>
        <w:tc>
          <w:tcPr>
            <w:tcW w:w="7229" w:type="dxa"/>
            <w:gridSpan w:val="11"/>
            <w:noWrap w:val="0"/>
            <w:vAlign w:val="center"/>
          </w:tcPr>
          <w:p>
            <w:pPr>
              <w:spacing w:line="360" w:lineRule="auto"/>
              <w:jc w:val="center"/>
              <w:rPr>
                <w:rFonts w:ascii="宋体" w:hAnsi="宋体"/>
                <w:color w:val="auto"/>
                <w:sz w:val="24"/>
                <w:szCs w:val="24"/>
                <w:u w:val="none"/>
              </w:rPr>
            </w:pPr>
            <w:r>
              <w:rPr>
                <w:rFonts w:hint="eastAsia" w:asciiTheme="minorEastAsia" w:hAnsiTheme="minorEastAsia" w:eastAsiaTheme="minorEastAsia" w:cstheme="minorEastAsia"/>
                <w:b w:val="0"/>
                <w:bCs/>
                <w:color w:val="auto"/>
                <w:sz w:val="24"/>
                <w:szCs w:val="24"/>
                <w:u w:val="none"/>
              </w:rPr>
              <w:t>湖南省</w:t>
            </w:r>
            <w:r>
              <w:rPr>
                <w:rFonts w:hint="eastAsia" w:asciiTheme="minorEastAsia" w:hAnsiTheme="minorEastAsia" w:eastAsiaTheme="minorEastAsia" w:cstheme="minorEastAsia"/>
                <w:b w:val="0"/>
                <w:bCs/>
                <w:color w:val="auto"/>
                <w:sz w:val="24"/>
                <w:szCs w:val="24"/>
                <w:u w:val="none"/>
                <w:lang w:val="en-US" w:eastAsia="zh-CN"/>
              </w:rPr>
              <w:t>怀化市</w:t>
            </w:r>
            <w:r>
              <w:rPr>
                <w:rFonts w:hint="eastAsia" w:asciiTheme="minorEastAsia" w:hAnsiTheme="minorEastAsia" w:eastAsiaTheme="minorEastAsia" w:cstheme="minorEastAsia"/>
                <w:b w:val="0"/>
                <w:bCs/>
                <w:color w:val="auto"/>
                <w:sz w:val="24"/>
                <w:szCs w:val="24"/>
                <w:u w:val="none"/>
              </w:rPr>
              <w:t>洪江区长寨英明山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spacing w:line="288" w:lineRule="auto"/>
              <w:jc w:val="center"/>
              <w:rPr>
                <w:rFonts w:ascii="宋体" w:hAnsi="宋体"/>
                <w:color w:val="auto"/>
                <w:sz w:val="24"/>
                <w:szCs w:val="24"/>
                <w:u w:val="none"/>
              </w:rPr>
            </w:pPr>
            <w:r>
              <w:rPr>
                <w:rFonts w:hint="eastAsia" w:ascii="宋体" w:hAnsi="宋体"/>
                <w:color w:val="auto"/>
                <w:sz w:val="24"/>
                <w:szCs w:val="24"/>
                <w:u w:val="none"/>
              </w:rPr>
              <w:t>立项审批部门</w:t>
            </w:r>
          </w:p>
        </w:tc>
        <w:tc>
          <w:tcPr>
            <w:tcW w:w="2976" w:type="dxa"/>
            <w:gridSpan w:val="4"/>
            <w:noWrap w:val="0"/>
            <w:vAlign w:val="center"/>
          </w:tcPr>
          <w:p>
            <w:pPr>
              <w:spacing w:line="288" w:lineRule="auto"/>
              <w:jc w:val="center"/>
              <w:rPr>
                <w:rFonts w:hint="default" w:ascii="宋体" w:hAnsi="宋体" w:eastAsia="宋体"/>
                <w:color w:val="auto"/>
                <w:sz w:val="24"/>
                <w:szCs w:val="24"/>
                <w:u w:val="none"/>
                <w:lang w:val="en-US" w:eastAsia="zh-CN"/>
              </w:rPr>
            </w:pPr>
            <w:r>
              <w:rPr>
                <w:rFonts w:hint="eastAsia" w:ascii="宋体" w:cs="宋体"/>
                <w:color w:val="auto"/>
                <w:kern w:val="0"/>
                <w:sz w:val="24"/>
                <w:szCs w:val="24"/>
                <w:u w:val="none"/>
                <w:lang w:val="en-US" w:eastAsia="zh-CN"/>
              </w:rPr>
              <w:t xml:space="preserve"> /</w:t>
            </w:r>
          </w:p>
        </w:tc>
        <w:tc>
          <w:tcPr>
            <w:tcW w:w="1701" w:type="dxa"/>
            <w:gridSpan w:val="4"/>
            <w:noWrap w:val="0"/>
            <w:vAlign w:val="center"/>
          </w:tcPr>
          <w:p>
            <w:pPr>
              <w:spacing w:line="288" w:lineRule="auto"/>
              <w:jc w:val="center"/>
              <w:rPr>
                <w:rFonts w:ascii="宋体" w:hAnsi="宋体"/>
                <w:color w:val="auto"/>
                <w:sz w:val="24"/>
                <w:szCs w:val="24"/>
                <w:u w:val="none"/>
              </w:rPr>
            </w:pPr>
            <w:r>
              <w:rPr>
                <w:rFonts w:hint="eastAsia" w:ascii="宋体" w:hAnsi="宋体"/>
                <w:color w:val="auto"/>
                <w:sz w:val="24"/>
                <w:szCs w:val="24"/>
                <w:u w:val="none"/>
              </w:rPr>
              <w:t>批文编号</w:t>
            </w:r>
          </w:p>
        </w:tc>
        <w:tc>
          <w:tcPr>
            <w:tcW w:w="2552" w:type="dxa"/>
            <w:gridSpan w:val="3"/>
            <w:noWrap w:val="0"/>
            <w:vAlign w:val="center"/>
          </w:tcPr>
          <w:p>
            <w:pPr>
              <w:spacing w:line="288" w:lineRule="auto"/>
              <w:jc w:val="center"/>
              <w:rPr>
                <w:rFonts w:ascii="Times New Roman" w:hAnsi="Times New Roman"/>
                <w:color w:val="auto"/>
                <w:sz w:val="24"/>
                <w:szCs w:val="24"/>
                <w:u w:val="none"/>
              </w:rPr>
            </w:pPr>
            <w:r>
              <w:rPr>
                <w:rFonts w:hint="eastAsia" w:ascii="Times New Roman" w:hAnsi="Times New Roman"/>
                <w:color w:val="auto"/>
                <w:sz w:val="24"/>
                <w:szCs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spacing w:line="288" w:lineRule="auto"/>
              <w:jc w:val="center"/>
              <w:rPr>
                <w:rFonts w:ascii="宋体" w:hAnsi="宋体"/>
                <w:color w:val="auto"/>
                <w:sz w:val="24"/>
                <w:szCs w:val="24"/>
                <w:u w:val="none"/>
              </w:rPr>
            </w:pPr>
            <w:r>
              <w:rPr>
                <w:rFonts w:hint="eastAsia" w:ascii="宋体" w:hAnsi="宋体"/>
                <w:color w:val="auto"/>
                <w:sz w:val="24"/>
                <w:szCs w:val="24"/>
                <w:u w:val="none"/>
              </w:rPr>
              <w:t>建设性质</w:t>
            </w:r>
          </w:p>
        </w:tc>
        <w:tc>
          <w:tcPr>
            <w:tcW w:w="2976" w:type="dxa"/>
            <w:gridSpan w:val="4"/>
            <w:noWrap w:val="0"/>
            <w:vAlign w:val="center"/>
          </w:tcPr>
          <w:p>
            <w:pPr>
              <w:spacing w:line="288" w:lineRule="auto"/>
              <w:jc w:val="left"/>
              <w:rPr>
                <w:rFonts w:ascii="宋体" w:hAnsi="宋体"/>
                <w:color w:val="auto"/>
                <w:sz w:val="24"/>
                <w:szCs w:val="24"/>
                <w:u w:val="none"/>
              </w:rPr>
            </w:pPr>
            <w:r>
              <w:rPr>
                <w:color w:val="auto"/>
                <w:sz w:val="24"/>
                <w:szCs w:val="24"/>
                <w:u w:val="none"/>
              </w:rPr>
              <w:t>新建</w:t>
            </w:r>
            <w:r>
              <w:rPr>
                <w:color w:val="auto"/>
                <w:sz w:val="24"/>
                <w:szCs w:val="24"/>
                <w:u w:val="none"/>
                <w:bdr w:val="single" w:color="auto" w:sz="4" w:space="0"/>
              </w:rPr>
              <w:t xml:space="preserve">  </w:t>
            </w:r>
            <w:r>
              <w:rPr>
                <w:color w:val="auto"/>
                <w:sz w:val="24"/>
                <w:szCs w:val="24"/>
                <w:u w:val="none"/>
              </w:rPr>
              <w:t> </w:t>
            </w:r>
            <w:r>
              <w:rPr>
                <w:rFonts w:hint="eastAsia"/>
                <w:color w:val="auto"/>
                <w:sz w:val="24"/>
                <w:szCs w:val="24"/>
                <w:u w:val="none"/>
              </w:rPr>
              <w:t xml:space="preserve"> </w:t>
            </w:r>
            <w:r>
              <w:rPr>
                <w:rFonts w:hint="eastAsia"/>
                <w:color w:val="auto"/>
                <w:sz w:val="24"/>
                <w:szCs w:val="24"/>
                <w:u w:val="none"/>
                <w:lang w:eastAsia="zh-CN"/>
              </w:rPr>
              <w:t>改</w:t>
            </w:r>
            <w:r>
              <w:rPr>
                <w:color w:val="auto"/>
                <w:sz w:val="24"/>
                <w:szCs w:val="24"/>
                <w:u w:val="none"/>
              </w:rPr>
              <w:t>扩建</w:t>
            </w:r>
            <w:r>
              <w:rPr>
                <w:rFonts w:hint="eastAsia"/>
                <w:color w:val="auto"/>
                <w:sz w:val="24"/>
                <w:szCs w:val="24"/>
                <w:u w:val="none"/>
                <w:bdr w:val="single" w:color="auto" w:sz="4" w:space="0"/>
              </w:rPr>
              <w:t>√</w:t>
            </w:r>
            <w:r>
              <w:rPr>
                <w:color w:val="auto"/>
                <w:sz w:val="24"/>
                <w:szCs w:val="24"/>
                <w:u w:val="none"/>
              </w:rPr>
              <w:t> 技改</w:t>
            </w:r>
            <w:r>
              <w:rPr>
                <w:color w:val="auto"/>
                <w:sz w:val="24"/>
                <w:szCs w:val="24"/>
                <w:u w:val="none"/>
                <w:bdr w:val="single" w:color="auto" w:sz="4" w:space="0"/>
              </w:rPr>
              <w:t xml:space="preserve">  </w:t>
            </w:r>
            <w:r>
              <w:rPr>
                <w:color w:val="auto"/>
                <w:sz w:val="24"/>
                <w:szCs w:val="24"/>
                <w:u w:val="none"/>
              </w:rPr>
              <w:t> </w:t>
            </w:r>
          </w:p>
        </w:tc>
        <w:tc>
          <w:tcPr>
            <w:tcW w:w="1701" w:type="dxa"/>
            <w:gridSpan w:val="4"/>
            <w:noWrap w:val="0"/>
            <w:vAlign w:val="center"/>
          </w:tcPr>
          <w:p>
            <w:pPr>
              <w:spacing w:line="288" w:lineRule="auto"/>
              <w:jc w:val="center"/>
              <w:rPr>
                <w:rFonts w:hint="eastAsia" w:ascii="宋体" w:hAnsi="宋体"/>
                <w:color w:val="auto"/>
                <w:sz w:val="24"/>
                <w:szCs w:val="24"/>
                <w:u w:val="none"/>
              </w:rPr>
            </w:pPr>
            <w:r>
              <w:rPr>
                <w:rFonts w:hint="eastAsia" w:ascii="宋体" w:hAnsi="宋体"/>
                <w:color w:val="auto"/>
                <w:sz w:val="24"/>
                <w:szCs w:val="24"/>
                <w:u w:val="none"/>
              </w:rPr>
              <w:t>行业类别</w:t>
            </w:r>
          </w:p>
          <w:p>
            <w:pPr>
              <w:spacing w:line="288" w:lineRule="auto"/>
              <w:jc w:val="center"/>
              <w:rPr>
                <w:rFonts w:ascii="宋体" w:hAnsi="宋体"/>
                <w:color w:val="auto"/>
                <w:sz w:val="24"/>
                <w:szCs w:val="24"/>
                <w:u w:val="none"/>
              </w:rPr>
            </w:pPr>
            <w:r>
              <w:rPr>
                <w:rFonts w:hint="eastAsia" w:ascii="宋体" w:hAnsi="宋体"/>
                <w:color w:val="auto"/>
                <w:sz w:val="24"/>
                <w:szCs w:val="24"/>
                <w:u w:val="none"/>
              </w:rPr>
              <w:t>及代码</w:t>
            </w:r>
          </w:p>
        </w:tc>
        <w:tc>
          <w:tcPr>
            <w:tcW w:w="2552" w:type="dxa"/>
            <w:gridSpan w:val="3"/>
            <w:noWrap w:val="0"/>
            <w:vAlign w:val="center"/>
          </w:tcPr>
          <w:p>
            <w:pPr>
              <w:spacing w:line="288" w:lineRule="auto"/>
              <w:jc w:val="center"/>
              <w:rPr>
                <w:rFonts w:hint="eastAsia" w:ascii="Times New Roman" w:hAnsi="Times New Roman"/>
                <w:color w:val="auto"/>
                <w:sz w:val="24"/>
                <w:szCs w:val="24"/>
                <w:u w:val="none"/>
              </w:rPr>
            </w:pPr>
            <w:r>
              <w:rPr>
                <w:rFonts w:hint="eastAsia" w:ascii="Times New Roman" w:hAnsi="Times New Roman"/>
                <w:color w:val="auto"/>
                <w:sz w:val="24"/>
                <w:szCs w:val="24"/>
                <w:u w:val="none"/>
              </w:rPr>
              <w:t>C4220</w:t>
            </w:r>
          </w:p>
          <w:p>
            <w:pPr>
              <w:spacing w:line="288" w:lineRule="auto"/>
              <w:jc w:val="center"/>
              <w:rPr>
                <w:rFonts w:ascii="Times New Roman" w:hAnsi="Times New Roman"/>
                <w:color w:val="auto"/>
                <w:sz w:val="24"/>
                <w:szCs w:val="24"/>
                <w:u w:val="none"/>
              </w:rPr>
            </w:pPr>
            <w:r>
              <w:rPr>
                <w:rFonts w:hint="eastAsia" w:ascii="Times New Roman" w:hAnsi="Times New Roman"/>
                <w:color w:val="auto"/>
                <w:sz w:val="24"/>
                <w:szCs w:val="24"/>
                <w:u w:val="none"/>
              </w:rPr>
              <w:t>非金属废料和碎屑的加工处理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986" w:type="dxa"/>
            <w:noWrap w:val="0"/>
            <w:vAlign w:val="center"/>
          </w:tcPr>
          <w:p>
            <w:pPr>
              <w:spacing w:line="360" w:lineRule="auto"/>
              <w:jc w:val="center"/>
              <w:rPr>
                <w:rFonts w:ascii="宋体" w:hAnsi="宋体"/>
                <w:color w:val="auto"/>
                <w:sz w:val="24"/>
                <w:szCs w:val="24"/>
                <w:u w:val="none"/>
              </w:rPr>
            </w:pPr>
            <w:r>
              <w:rPr>
                <w:rFonts w:hint="eastAsia" w:ascii="宋体" w:hAnsi="宋体"/>
                <w:color w:val="auto"/>
                <w:sz w:val="24"/>
                <w:szCs w:val="24"/>
                <w:u w:val="none"/>
              </w:rPr>
              <w:t>占地面积</w:t>
            </w:r>
            <w:r>
              <w:rPr>
                <w:rFonts w:ascii="Times New Roman" w:hAnsi="Times New Roman"/>
                <w:color w:val="auto"/>
                <w:sz w:val="24"/>
                <w:szCs w:val="24"/>
                <w:u w:val="none"/>
              </w:rPr>
              <w:t>（m</w:t>
            </w:r>
            <w:r>
              <w:rPr>
                <w:rFonts w:ascii="Times New Roman" w:hAnsi="Times New Roman"/>
                <w:color w:val="auto"/>
                <w:sz w:val="24"/>
                <w:szCs w:val="24"/>
                <w:u w:val="none"/>
                <w:vertAlign w:val="superscript"/>
              </w:rPr>
              <w:t>2</w:t>
            </w:r>
            <w:r>
              <w:rPr>
                <w:rFonts w:ascii="Times New Roman" w:hAnsi="Times New Roman"/>
                <w:color w:val="auto"/>
                <w:sz w:val="24"/>
                <w:szCs w:val="24"/>
                <w:u w:val="none"/>
              </w:rPr>
              <w:t>）</w:t>
            </w:r>
          </w:p>
        </w:tc>
        <w:tc>
          <w:tcPr>
            <w:tcW w:w="2976" w:type="dxa"/>
            <w:gridSpan w:val="4"/>
            <w:noWrap w:val="0"/>
            <w:vAlign w:val="center"/>
          </w:tcPr>
          <w:p>
            <w:pPr>
              <w:spacing w:line="360" w:lineRule="auto"/>
              <w:jc w:val="center"/>
              <w:rPr>
                <w:rFonts w:ascii="Times New Roman" w:hAnsi="Times New Roman"/>
                <w:color w:val="auto"/>
                <w:sz w:val="24"/>
                <w:szCs w:val="24"/>
                <w:u w:val="none"/>
              </w:rPr>
            </w:pPr>
            <w:r>
              <w:rPr>
                <w:rFonts w:hint="default" w:ascii="Times New Roman" w:hAnsi="Times New Roman" w:cs="Times New Roman" w:eastAsiaTheme="minorEastAsia"/>
                <w:b w:val="0"/>
                <w:bCs/>
                <w:color w:val="auto"/>
                <w:sz w:val="24"/>
                <w:szCs w:val="24"/>
                <w:u w:val="none"/>
              </w:rPr>
              <w:t>3170</w:t>
            </w:r>
          </w:p>
        </w:tc>
        <w:tc>
          <w:tcPr>
            <w:tcW w:w="1701" w:type="dxa"/>
            <w:gridSpan w:val="4"/>
            <w:noWrap w:val="0"/>
            <w:vAlign w:val="center"/>
          </w:tcPr>
          <w:p>
            <w:pPr>
              <w:spacing w:line="360" w:lineRule="auto"/>
              <w:jc w:val="center"/>
              <w:rPr>
                <w:rFonts w:ascii="Times New Roman" w:hAnsi="Times New Roman"/>
                <w:color w:val="auto"/>
                <w:sz w:val="24"/>
                <w:szCs w:val="24"/>
                <w:u w:val="none"/>
              </w:rPr>
            </w:pPr>
            <w:r>
              <w:rPr>
                <w:rFonts w:hint="eastAsia" w:ascii="Times New Roman" w:hAnsi="Times New Roman"/>
                <w:color w:val="auto"/>
                <w:sz w:val="24"/>
                <w:szCs w:val="24"/>
                <w:u w:val="none"/>
              </w:rPr>
              <w:t>绿地面积（m</w:t>
            </w:r>
            <w:r>
              <w:rPr>
                <w:rFonts w:hint="eastAsia" w:ascii="Times New Roman" w:hAnsi="Times New Roman"/>
                <w:color w:val="auto"/>
                <w:sz w:val="24"/>
                <w:szCs w:val="24"/>
                <w:u w:val="none"/>
                <w:vertAlign w:val="superscript"/>
              </w:rPr>
              <w:t>2</w:t>
            </w:r>
            <w:r>
              <w:rPr>
                <w:rFonts w:hint="eastAsia" w:ascii="Times New Roman" w:hAnsi="Times New Roman"/>
                <w:color w:val="auto"/>
                <w:sz w:val="24"/>
                <w:szCs w:val="24"/>
                <w:u w:val="none"/>
              </w:rPr>
              <w:t>）</w:t>
            </w:r>
          </w:p>
        </w:tc>
        <w:tc>
          <w:tcPr>
            <w:tcW w:w="2552" w:type="dxa"/>
            <w:gridSpan w:val="3"/>
            <w:noWrap w:val="0"/>
            <w:vAlign w:val="center"/>
          </w:tcPr>
          <w:p>
            <w:pPr>
              <w:spacing w:line="360" w:lineRule="auto"/>
              <w:jc w:val="center"/>
              <w:rPr>
                <w:rFonts w:hint="eastAsia" w:ascii="Times New Roman" w:hAnsi="Times New Roman" w:eastAsia="宋体"/>
                <w:color w:val="auto"/>
                <w:sz w:val="24"/>
                <w:szCs w:val="24"/>
                <w:u w:val="none"/>
                <w:lang w:eastAsia="zh-CN"/>
              </w:rPr>
            </w:pPr>
            <w:r>
              <w:rPr>
                <w:rFonts w:hint="eastAsia"/>
                <w:color w:val="auto"/>
                <w:sz w:val="24"/>
                <w:szCs w:val="24"/>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spacing w:line="288" w:lineRule="auto"/>
              <w:jc w:val="center"/>
              <w:rPr>
                <w:rFonts w:hint="eastAsia" w:ascii="宋体" w:hAnsi="宋体"/>
                <w:color w:val="auto"/>
                <w:sz w:val="24"/>
                <w:szCs w:val="24"/>
                <w:u w:val="none"/>
              </w:rPr>
            </w:pPr>
            <w:r>
              <w:rPr>
                <w:rFonts w:hint="eastAsia" w:ascii="宋体" w:hAnsi="宋体"/>
                <w:color w:val="auto"/>
                <w:sz w:val="24"/>
                <w:szCs w:val="24"/>
                <w:u w:val="none"/>
              </w:rPr>
              <w:t>投资总额</w:t>
            </w:r>
          </w:p>
          <w:p>
            <w:pPr>
              <w:spacing w:line="288" w:lineRule="auto"/>
              <w:jc w:val="center"/>
              <w:rPr>
                <w:rFonts w:ascii="宋体" w:hAnsi="宋体"/>
                <w:color w:val="auto"/>
                <w:sz w:val="24"/>
                <w:szCs w:val="24"/>
                <w:u w:val="none"/>
              </w:rPr>
            </w:pPr>
            <w:r>
              <w:rPr>
                <w:rFonts w:hint="eastAsia" w:ascii="宋体" w:hAnsi="宋体"/>
                <w:color w:val="auto"/>
                <w:sz w:val="24"/>
                <w:szCs w:val="24"/>
                <w:u w:val="none"/>
              </w:rPr>
              <w:t>（万元）</w:t>
            </w:r>
          </w:p>
        </w:tc>
        <w:tc>
          <w:tcPr>
            <w:tcW w:w="1134" w:type="dxa"/>
            <w:noWrap w:val="0"/>
            <w:vAlign w:val="center"/>
          </w:tcPr>
          <w:p>
            <w:pPr>
              <w:spacing w:line="288" w:lineRule="auto"/>
              <w:jc w:val="center"/>
              <w:rPr>
                <w:rFonts w:ascii="Times New Roman" w:hAnsi="Times New Roman"/>
                <w:color w:val="auto"/>
                <w:sz w:val="24"/>
                <w:szCs w:val="24"/>
                <w:u w:val="none"/>
              </w:rPr>
            </w:pPr>
            <w:r>
              <w:rPr>
                <w:rFonts w:hint="eastAsia" w:ascii="Times New Roman" w:hAnsi="Times New Roman"/>
                <w:color w:val="auto"/>
                <w:sz w:val="24"/>
                <w:szCs w:val="24"/>
                <w:u w:val="none"/>
              </w:rPr>
              <w:t>500</w:t>
            </w:r>
          </w:p>
        </w:tc>
        <w:tc>
          <w:tcPr>
            <w:tcW w:w="1842" w:type="dxa"/>
            <w:gridSpan w:val="3"/>
            <w:noWrap w:val="0"/>
            <w:vAlign w:val="center"/>
          </w:tcPr>
          <w:p>
            <w:pPr>
              <w:spacing w:line="288" w:lineRule="auto"/>
              <w:jc w:val="center"/>
              <w:rPr>
                <w:rFonts w:hint="eastAsia" w:ascii="宋体" w:hAnsi="宋体"/>
                <w:color w:val="auto"/>
                <w:sz w:val="24"/>
                <w:szCs w:val="24"/>
                <w:u w:val="none"/>
              </w:rPr>
            </w:pPr>
            <w:r>
              <w:rPr>
                <w:rFonts w:hint="eastAsia" w:ascii="宋体" w:hAnsi="宋体"/>
                <w:color w:val="auto"/>
                <w:sz w:val="24"/>
                <w:szCs w:val="24"/>
                <w:u w:val="none"/>
              </w:rPr>
              <w:t>其中：环保投资</w:t>
            </w:r>
          </w:p>
          <w:p>
            <w:pPr>
              <w:spacing w:line="288" w:lineRule="auto"/>
              <w:jc w:val="center"/>
              <w:rPr>
                <w:rFonts w:ascii="宋体" w:hAnsi="宋体"/>
                <w:color w:val="auto"/>
                <w:sz w:val="24"/>
                <w:szCs w:val="24"/>
                <w:u w:val="none"/>
              </w:rPr>
            </w:pPr>
            <w:r>
              <w:rPr>
                <w:rFonts w:hint="eastAsia" w:ascii="宋体" w:hAnsi="宋体"/>
                <w:color w:val="auto"/>
                <w:sz w:val="24"/>
                <w:szCs w:val="24"/>
                <w:u w:val="none"/>
              </w:rPr>
              <w:t>（万元）</w:t>
            </w:r>
          </w:p>
        </w:tc>
        <w:tc>
          <w:tcPr>
            <w:tcW w:w="1276" w:type="dxa"/>
            <w:gridSpan w:val="3"/>
            <w:noWrap w:val="0"/>
            <w:vAlign w:val="center"/>
          </w:tcPr>
          <w:p>
            <w:pPr>
              <w:spacing w:line="288" w:lineRule="auto"/>
              <w:jc w:val="center"/>
              <w:rPr>
                <w:rFonts w:hint="default" w:ascii="Times New Roman" w:hAnsi="Times New Roman" w:eastAsia="宋体"/>
                <w:color w:val="auto"/>
                <w:sz w:val="24"/>
                <w:szCs w:val="24"/>
                <w:u w:val="none"/>
                <w:lang w:val="en-US" w:eastAsia="zh-CN"/>
              </w:rPr>
            </w:pPr>
            <w:r>
              <w:rPr>
                <w:rFonts w:hint="eastAsia"/>
                <w:color w:val="auto"/>
                <w:sz w:val="24"/>
                <w:szCs w:val="24"/>
                <w:u w:val="none"/>
                <w:lang w:val="en-US" w:eastAsia="zh-CN"/>
              </w:rPr>
              <w:t>53</w:t>
            </w:r>
          </w:p>
        </w:tc>
        <w:tc>
          <w:tcPr>
            <w:tcW w:w="1843" w:type="dxa"/>
            <w:gridSpan w:val="3"/>
            <w:noWrap w:val="0"/>
            <w:vAlign w:val="center"/>
          </w:tcPr>
          <w:p>
            <w:pPr>
              <w:spacing w:line="288" w:lineRule="auto"/>
              <w:jc w:val="center"/>
              <w:rPr>
                <w:rFonts w:ascii="Times New Roman" w:hAnsi="Times New Roman"/>
                <w:color w:val="auto"/>
                <w:sz w:val="24"/>
                <w:szCs w:val="24"/>
                <w:u w:val="none"/>
              </w:rPr>
            </w:pPr>
            <w:r>
              <w:rPr>
                <w:rFonts w:ascii="Times New Roman" w:hAnsi="Times New Roman"/>
                <w:color w:val="auto"/>
                <w:sz w:val="24"/>
                <w:szCs w:val="24"/>
                <w:u w:val="none"/>
              </w:rPr>
              <w:t>环保投资占总投资比例(%)</w:t>
            </w:r>
          </w:p>
        </w:tc>
        <w:tc>
          <w:tcPr>
            <w:tcW w:w="1134" w:type="dxa"/>
            <w:noWrap w:val="0"/>
            <w:vAlign w:val="center"/>
          </w:tcPr>
          <w:p>
            <w:pPr>
              <w:spacing w:line="60" w:lineRule="auto"/>
              <w:jc w:val="center"/>
              <w:rPr>
                <w:rFonts w:ascii="Times New Roman" w:hAnsi="Times New Roman"/>
                <w:color w:val="auto"/>
                <w:sz w:val="24"/>
                <w:szCs w:val="24"/>
                <w:u w:val="none"/>
              </w:rPr>
            </w:pPr>
            <w:r>
              <w:rPr>
                <w:rFonts w:hint="eastAsia"/>
                <w:color w:val="auto"/>
                <w:sz w:val="24"/>
                <w:szCs w:val="24"/>
                <w:u w:val="none"/>
                <w:lang w:val="en-US" w:eastAsia="zh-CN"/>
              </w:rPr>
              <w:t>10.6</w:t>
            </w:r>
            <w:r>
              <w:rPr>
                <w:rFonts w:ascii="Times New Roman" w:hAnsi="Times New Roman"/>
                <w:color w:val="auto"/>
                <w:sz w:val="24"/>
                <w:szCs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986" w:type="dxa"/>
            <w:noWrap w:val="0"/>
            <w:vAlign w:val="center"/>
          </w:tcPr>
          <w:p>
            <w:pPr>
              <w:spacing w:line="288" w:lineRule="auto"/>
              <w:jc w:val="center"/>
              <w:rPr>
                <w:rFonts w:hint="eastAsia" w:ascii="宋体" w:hAnsi="宋体"/>
                <w:color w:val="auto"/>
                <w:sz w:val="24"/>
                <w:szCs w:val="24"/>
                <w:u w:val="none"/>
              </w:rPr>
            </w:pPr>
            <w:r>
              <w:rPr>
                <w:rFonts w:hint="eastAsia" w:ascii="宋体" w:hAnsi="宋体"/>
                <w:color w:val="auto"/>
                <w:sz w:val="24"/>
                <w:szCs w:val="24"/>
                <w:u w:val="none"/>
              </w:rPr>
              <w:t>评价经费</w:t>
            </w:r>
          </w:p>
          <w:p>
            <w:pPr>
              <w:spacing w:line="288" w:lineRule="auto"/>
              <w:jc w:val="center"/>
              <w:rPr>
                <w:rFonts w:hint="eastAsia" w:ascii="宋体" w:hAnsi="宋体"/>
                <w:color w:val="auto"/>
                <w:sz w:val="24"/>
                <w:szCs w:val="24"/>
                <w:u w:val="none"/>
              </w:rPr>
            </w:pPr>
            <w:r>
              <w:rPr>
                <w:rFonts w:hint="eastAsia" w:ascii="宋体" w:hAnsi="宋体"/>
                <w:color w:val="auto"/>
                <w:sz w:val="24"/>
                <w:szCs w:val="24"/>
                <w:u w:val="none"/>
              </w:rPr>
              <w:t>（万元）</w:t>
            </w:r>
          </w:p>
        </w:tc>
        <w:tc>
          <w:tcPr>
            <w:tcW w:w="1134" w:type="dxa"/>
            <w:noWrap w:val="0"/>
            <w:vAlign w:val="center"/>
          </w:tcPr>
          <w:p>
            <w:pPr>
              <w:spacing w:line="288" w:lineRule="auto"/>
              <w:jc w:val="center"/>
              <w:rPr>
                <w:rFonts w:hint="eastAsia" w:ascii="Times New Roman" w:hAnsi="Times New Roman"/>
                <w:color w:val="auto"/>
                <w:sz w:val="24"/>
                <w:szCs w:val="24"/>
                <w:u w:val="none"/>
              </w:rPr>
            </w:pPr>
            <w:r>
              <w:rPr>
                <w:rFonts w:hint="eastAsia" w:ascii="Times New Roman" w:hAnsi="Times New Roman"/>
                <w:color w:val="auto"/>
                <w:sz w:val="24"/>
                <w:szCs w:val="24"/>
                <w:u w:val="none"/>
              </w:rPr>
              <w:t>/</w:t>
            </w:r>
          </w:p>
        </w:tc>
        <w:tc>
          <w:tcPr>
            <w:tcW w:w="3118" w:type="dxa"/>
            <w:gridSpan w:val="6"/>
            <w:noWrap w:val="0"/>
            <w:vAlign w:val="center"/>
          </w:tcPr>
          <w:p>
            <w:pPr>
              <w:spacing w:line="288" w:lineRule="auto"/>
              <w:jc w:val="center"/>
              <w:rPr>
                <w:rFonts w:hint="eastAsia" w:ascii="Times New Roman" w:hAnsi="Times New Roman"/>
                <w:color w:val="auto"/>
                <w:sz w:val="24"/>
                <w:szCs w:val="24"/>
                <w:u w:val="none"/>
              </w:rPr>
            </w:pPr>
            <w:r>
              <w:rPr>
                <w:rFonts w:hint="eastAsia" w:ascii="宋体" w:hAnsi="宋体"/>
                <w:color w:val="auto"/>
                <w:sz w:val="24"/>
                <w:szCs w:val="24"/>
                <w:u w:val="none"/>
              </w:rPr>
              <w:t>预期运营日期</w:t>
            </w:r>
          </w:p>
        </w:tc>
        <w:tc>
          <w:tcPr>
            <w:tcW w:w="2977" w:type="dxa"/>
            <w:gridSpan w:val="4"/>
            <w:noWrap w:val="0"/>
            <w:vAlign w:val="center"/>
          </w:tcPr>
          <w:p>
            <w:pPr>
              <w:spacing w:line="60" w:lineRule="auto"/>
              <w:jc w:val="center"/>
              <w:rPr>
                <w:rFonts w:hint="default" w:ascii="Times New Roman" w:hAnsi="Times New Roman" w:eastAsia="宋体"/>
                <w:color w:val="auto"/>
                <w:sz w:val="24"/>
                <w:szCs w:val="24"/>
                <w:u w:val="none"/>
                <w:lang w:val="en-US" w:eastAsia="zh-CN"/>
              </w:rPr>
            </w:pPr>
            <w:r>
              <w:rPr>
                <w:rFonts w:hint="eastAsia" w:ascii="Times New Roman" w:hAnsi="Times New Roman"/>
                <w:color w:val="auto"/>
                <w:sz w:val="24"/>
                <w:szCs w:val="24"/>
                <w:u w:val="none"/>
              </w:rPr>
              <w:t>2020.</w:t>
            </w:r>
            <w:r>
              <w:rPr>
                <w:rFonts w:hint="eastAsia"/>
                <w:color w:val="auto"/>
                <w:sz w:val="24"/>
                <w:szCs w:val="24"/>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15" w:type="dxa"/>
            <w:gridSpan w:val="12"/>
            <w:noWrap w:val="0"/>
            <w:vAlign w:val="center"/>
          </w:tcPr>
          <w:p>
            <w:pPr>
              <w:spacing w:line="360" w:lineRule="auto"/>
              <w:jc w:val="left"/>
              <w:rPr>
                <w:rStyle w:val="27"/>
                <w:rFonts w:hint="eastAsia" w:eastAsia="宋体"/>
                <w:color w:val="auto"/>
                <w:sz w:val="24"/>
                <w:szCs w:val="24"/>
                <w:u w:val="none"/>
              </w:rPr>
            </w:pPr>
            <w:r>
              <w:rPr>
                <w:rStyle w:val="27"/>
                <w:rFonts w:hint="eastAsia" w:eastAsia="宋体"/>
                <w:color w:val="auto"/>
                <w:sz w:val="24"/>
                <w:szCs w:val="24"/>
                <w:u w:val="none"/>
              </w:rPr>
              <w:t>工程内容及规模：</w:t>
            </w:r>
          </w:p>
          <w:p>
            <w:pPr>
              <w:spacing w:line="360" w:lineRule="auto"/>
              <w:jc w:val="left"/>
              <w:rPr>
                <w:rStyle w:val="27"/>
                <w:rFonts w:hint="eastAsia" w:eastAsia="宋体"/>
                <w:color w:val="auto"/>
                <w:sz w:val="24"/>
                <w:szCs w:val="24"/>
                <w:u w:val="none"/>
              </w:rPr>
            </w:pPr>
            <w:r>
              <w:rPr>
                <w:rStyle w:val="27"/>
                <w:rFonts w:hint="eastAsia" w:eastAsia="宋体"/>
                <w:color w:val="auto"/>
                <w:sz w:val="24"/>
                <w:szCs w:val="24"/>
                <w:u w:val="none"/>
              </w:rPr>
              <w:t>1.1 项目由来</w:t>
            </w:r>
          </w:p>
          <w:p>
            <w:pPr>
              <w:spacing w:line="360" w:lineRule="auto"/>
              <w:ind w:firstLine="480" w:firstLineChars="200"/>
              <w:rPr>
                <w:rFonts w:hint="eastAsia" w:ascii="Times New Roman" w:hAnsi="Times New Roman" w:cs="Times New Roman"/>
                <w:b w:val="0"/>
                <w:bCs w:val="0"/>
                <w:color w:val="auto"/>
                <w:sz w:val="24"/>
                <w:szCs w:val="24"/>
                <w:u w:val="none"/>
                <w:lang w:val="en-US" w:eastAsia="zh-CN"/>
              </w:rPr>
            </w:pPr>
            <w:r>
              <w:rPr>
                <w:rFonts w:hint="eastAsia" w:asciiTheme="minorEastAsia" w:hAnsiTheme="minorEastAsia" w:eastAsiaTheme="minorEastAsia" w:cstheme="minorEastAsia"/>
                <w:b w:val="0"/>
                <w:bCs/>
                <w:color w:val="auto"/>
                <w:sz w:val="24"/>
                <w:szCs w:val="24"/>
                <w:u w:val="single"/>
                <w:lang w:eastAsia="zh-CN"/>
              </w:rPr>
              <w:t>怀化市洪江区欣隆竹胶板厂成立于</w:t>
            </w:r>
            <w:r>
              <w:rPr>
                <w:rFonts w:hint="eastAsia" w:asciiTheme="minorEastAsia" w:hAnsiTheme="minorEastAsia" w:eastAsiaTheme="minorEastAsia" w:cstheme="minorEastAsia"/>
                <w:b w:val="0"/>
                <w:bCs/>
                <w:color w:val="auto"/>
                <w:sz w:val="24"/>
                <w:szCs w:val="24"/>
                <w:u w:val="single"/>
                <w:lang w:val="en-US" w:eastAsia="zh-CN"/>
              </w:rPr>
              <w:t>2015年3月，厂址位于</w:t>
            </w:r>
            <w:r>
              <w:rPr>
                <w:rFonts w:hint="eastAsia" w:cs="Times New Roman"/>
                <w:b w:val="0"/>
                <w:bCs w:val="0"/>
                <w:color w:val="auto"/>
                <w:sz w:val="24"/>
                <w:szCs w:val="24"/>
                <w:u w:val="single"/>
                <w:lang w:val="en-US" w:eastAsia="zh-CN"/>
              </w:rPr>
              <w:t>怀化市洪江区长寨路62号，企业经营范围为竹胶合板加工及销售等。</w:t>
            </w:r>
            <w:r>
              <w:rPr>
                <w:rFonts w:hint="eastAsia" w:ascii="Times New Roman" w:hAnsi="Times New Roman" w:cs="Times New Roman"/>
                <w:b w:val="0"/>
                <w:bCs w:val="0"/>
                <w:color w:val="auto"/>
                <w:sz w:val="24"/>
                <w:szCs w:val="24"/>
                <w:u w:val="single"/>
                <w:lang w:val="en-US" w:eastAsia="zh-CN"/>
              </w:rPr>
              <w:t>怀化市</w:t>
            </w:r>
            <w:r>
              <w:rPr>
                <w:rFonts w:hint="eastAsia" w:asciiTheme="minorEastAsia" w:hAnsiTheme="minorEastAsia" w:eastAsiaTheme="minorEastAsia" w:cstheme="minorEastAsia"/>
                <w:b w:val="0"/>
                <w:bCs/>
                <w:color w:val="auto"/>
                <w:sz w:val="24"/>
                <w:szCs w:val="24"/>
                <w:u w:val="single"/>
                <w:lang w:eastAsia="zh-CN"/>
              </w:rPr>
              <w:t>洪江区欣隆竹胶板厂</w:t>
            </w:r>
            <w:r>
              <w:rPr>
                <w:rFonts w:hint="eastAsia" w:ascii="Times New Roman" w:hAnsi="Times New Roman" w:cs="Times New Roman"/>
                <w:b w:val="0"/>
                <w:bCs w:val="0"/>
                <w:color w:val="auto"/>
                <w:sz w:val="24"/>
                <w:szCs w:val="24"/>
                <w:u w:val="single"/>
                <w:lang w:val="en-US" w:eastAsia="zh-CN"/>
              </w:rPr>
              <w:t>于2011年8月5日获得《怀化市</w:t>
            </w:r>
            <w:r>
              <w:rPr>
                <w:rFonts w:hint="eastAsia" w:asciiTheme="minorEastAsia" w:hAnsiTheme="minorEastAsia" w:eastAsiaTheme="minorEastAsia" w:cstheme="minorEastAsia"/>
                <w:b w:val="0"/>
                <w:bCs/>
                <w:color w:val="auto"/>
                <w:sz w:val="24"/>
                <w:szCs w:val="24"/>
                <w:u w:val="single"/>
                <w:lang w:eastAsia="zh-CN"/>
              </w:rPr>
              <w:t>洪江区欣隆竹</w:t>
            </w:r>
            <w:r>
              <w:rPr>
                <w:rFonts w:hint="eastAsia" w:asciiTheme="minorEastAsia" w:hAnsiTheme="minorEastAsia" w:eastAsiaTheme="minorEastAsia" w:cstheme="minorEastAsia"/>
                <w:b w:val="0"/>
                <w:bCs/>
                <w:color w:val="auto"/>
                <w:sz w:val="24"/>
                <w:szCs w:val="24"/>
                <w:u w:val="single"/>
                <w:lang w:eastAsia="zh-CN"/>
              </w:rPr>
              <w:t>胶板厂年产</w:t>
            </w:r>
            <w:r>
              <w:rPr>
                <w:rFonts w:hint="eastAsia" w:asciiTheme="minorEastAsia" w:hAnsiTheme="minorEastAsia" w:eastAsiaTheme="minorEastAsia" w:cstheme="minorEastAsia"/>
                <w:b w:val="0"/>
                <w:bCs/>
                <w:color w:val="auto"/>
                <w:sz w:val="24"/>
                <w:szCs w:val="24"/>
                <w:u w:val="single"/>
                <w:lang w:val="en-US" w:eastAsia="zh-CN"/>
              </w:rPr>
              <w:t>2000立方米竹胶合板生产线</w:t>
            </w:r>
            <w:r>
              <w:rPr>
                <w:rFonts w:hint="eastAsia" w:ascii="Times New Roman" w:hAnsi="Times New Roman" w:cs="Times New Roman"/>
                <w:b w:val="0"/>
                <w:bCs w:val="0"/>
                <w:color w:val="auto"/>
                <w:sz w:val="24"/>
                <w:szCs w:val="24"/>
                <w:u w:val="single"/>
                <w:lang w:val="en-US" w:eastAsia="zh-CN"/>
              </w:rPr>
              <w:t>》的建设项目环境影响登记表（见附件</w:t>
            </w:r>
            <w:r>
              <w:rPr>
                <w:rFonts w:hint="eastAsia" w:cs="Times New Roman"/>
                <w:b w:val="0"/>
                <w:bCs w:val="0"/>
                <w:color w:val="auto"/>
                <w:sz w:val="24"/>
                <w:szCs w:val="24"/>
                <w:u w:val="single"/>
                <w:lang w:val="en-US" w:eastAsia="zh-CN"/>
              </w:rPr>
              <w:t>5</w:t>
            </w:r>
            <w:r>
              <w:rPr>
                <w:rFonts w:hint="eastAsia" w:ascii="Times New Roman" w:hAnsi="Times New Roman" w:cs="Times New Roman"/>
                <w:b w:val="0"/>
                <w:bCs w:val="0"/>
                <w:color w:val="auto"/>
                <w:sz w:val="24"/>
                <w:szCs w:val="24"/>
                <w:u w:val="single"/>
                <w:lang w:val="en-US" w:eastAsia="zh-CN"/>
              </w:rPr>
              <w:t>）</w:t>
            </w:r>
            <w:r>
              <w:rPr>
                <w:rFonts w:hint="eastAsia" w:cs="Times New Roman"/>
                <w:b w:val="0"/>
                <w:bCs w:val="0"/>
                <w:color w:val="auto"/>
                <w:sz w:val="24"/>
                <w:szCs w:val="24"/>
                <w:u w:val="single"/>
                <w:lang w:val="en-US" w:eastAsia="zh-CN"/>
              </w:rPr>
              <w:t>，形成年产</w:t>
            </w:r>
            <w:r>
              <w:rPr>
                <w:rFonts w:hint="eastAsia" w:asciiTheme="minorEastAsia" w:hAnsiTheme="minorEastAsia" w:eastAsiaTheme="minorEastAsia" w:cstheme="minorEastAsia"/>
                <w:b w:val="0"/>
                <w:bCs/>
                <w:color w:val="auto"/>
                <w:sz w:val="24"/>
                <w:szCs w:val="24"/>
                <w:u w:val="single"/>
                <w:lang w:val="en-US" w:eastAsia="zh-CN"/>
              </w:rPr>
              <w:t>2000立方米竹胶合板生产线</w:t>
            </w:r>
            <w:r>
              <w:rPr>
                <w:rFonts w:hint="eastAsia" w:ascii="Times New Roman" w:hAnsi="Times New Roman" w:cs="Times New Roman"/>
                <w:b w:val="0"/>
                <w:bCs w:val="0"/>
                <w:color w:val="auto"/>
                <w:sz w:val="24"/>
                <w:szCs w:val="24"/>
                <w:u w:val="single"/>
                <w:lang w:val="en-US" w:eastAsia="zh-CN"/>
              </w:rPr>
              <w:t>。</w:t>
            </w:r>
          </w:p>
          <w:p>
            <w:pPr>
              <w:spacing w:line="360" w:lineRule="auto"/>
              <w:ind w:firstLine="480" w:firstLineChars="200"/>
              <w:rPr>
                <w:rFonts w:hint="eastAsia"/>
                <w:b w:val="0"/>
                <w:bCs w:val="0"/>
                <w:color w:val="auto"/>
                <w:sz w:val="24"/>
                <w:szCs w:val="24"/>
                <w:u w:val="single"/>
                <w:lang w:val="en-US" w:eastAsia="zh-CN"/>
              </w:rPr>
            </w:pPr>
            <w:r>
              <w:rPr>
                <w:rFonts w:hint="eastAsia"/>
                <w:b w:val="0"/>
                <w:bCs w:val="0"/>
                <w:color w:val="auto"/>
                <w:sz w:val="24"/>
                <w:szCs w:val="24"/>
                <w:u w:val="single"/>
                <w:lang w:val="en-US" w:eastAsia="zh-CN"/>
              </w:rPr>
              <w:t>近年来，各省市当地政府根据《中华人民共和国森林法》的相关法规，开始全面整顿木炭市场，陆续颁发“禁止砍伐木材烧炭”的禁令。传统的以树木烧炭的木炭厂纷纷停产。机制炭生产项目从节能和新能源应用技术以及废物利用、变废为宝的角度出发，来满足我国工业、农业、畜牧业、冶金等行业不可缺少的木炭原料和添加剂，以及人类生活不可缺少的燃料需求。原材料以锯末、树枝、稻壳、花生壳、以及农作物秸秆等废弃物为原料，经过烘干脱烟，高温高压制成优质、环保高效机制木炭。</w:t>
            </w:r>
          </w:p>
          <w:p>
            <w:pPr>
              <w:spacing w:line="360" w:lineRule="auto"/>
              <w:ind w:firstLine="480" w:firstLineChars="200"/>
              <w:rPr>
                <w:rFonts w:hint="eastAsia"/>
                <w:b w:val="0"/>
                <w:bCs w:val="0"/>
                <w:color w:val="auto"/>
                <w:sz w:val="24"/>
                <w:szCs w:val="24"/>
                <w:u w:val="none"/>
                <w:lang w:eastAsia="zh-CN"/>
              </w:rPr>
            </w:pPr>
            <w:r>
              <w:rPr>
                <w:rFonts w:hint="eastAsia"/>
                <w:b w:val="0"/>
                <w:bCs w:val="0"/>
                <w:color w:val="auto"/>
                <w:sz w:val="24"/>
                <w:szCs w:val="24"/>
                <w:u w:val="single"/>
                <w:lang w:val="en-US" w:eastAsia="zh-CN"/>
              </w:rPr>
              <w:t>鉴于机制炭广阔的市场前景， 本项目业主拟在厂区闲置</w:t>
            </w:r>
            <w:r>
              <w:rPr>
                <w:rFonts w:hint="eastAsia" w:asciiTheme="minorEastAsia" w:hAnsiTheme="minorEastAsia" w:eastAsiaTheme="minorEastAsia" w:cstheme="minorEastAsia"/>
                <w:b w:val="0"/>
                <w:bCs w:val="0"/>
                <w:color w:val="auto"/>
                <w:sz w:val="24"/>
                <w:szCs w:val="24"/>
                <w:u w:val="single"/>
                <w:lang w:eastAsia="zh-CN"/>
              </w:rPr>
              <w:t>场地内</w:t>
            </w:r>
            <w:r>
              <w:rPr>
                <w:rFonts w:hint="eastAsia" w:asciiTheme="minorEastAsia" w:hAnsiTheme="minorEastAsia" w:eastAsiaTheme="minorEastAsia" w:cstheme="minorEastAsia"/>
                <w:b w:val="0"/>
                <w:bCs w:val="0"/>
                <w:color w:val="auto"/>
                <w:sz w:val="24"/>
                <w:szCs w:val="24"/>
                <w:u w:val="single"/>
                <w:lang w:val="en-US" w:eastAsia="zh-CN"/>
              </w:rPr>
              <w:t>扩建一条</w:t>
            </w:r>
            <w:r>
              <w:rPr>
                <w:rFonts w:hint="eastAsia" w:ascii="Times New Roman" w:hAnsi="Times New Roman"/>
                <w:color w:val="auto"/>
                <w:sz w:val="24"/>
                <w:szCs w:val="20"/>
                <w:u w:val="single"/>
                <w:lang w:eastAsia="zh-CN"/>
              </w:rPr>
              <w:t>年产3000t机制木炭生产线</w:t>
            </w:r>
            <w:r>
              <w:rPr>
                <w:rFonts w:hint="eastAsia" w:asciiTheme="minorEastAsia" w:hAnsiTheme="minorEastAsia" w:eastAsiaTheme="minorEastAsia" w:cstheme="minorEastAsia"/>
                <w:b w:val="0"/>
                <w:bCs w:val="0"/>
                <w:color w:val="auto"/>
                <w:sz w:val="24"/>
                <w:szCs w:val="24"/>
                <w:lang w:val="en-US" w:eastAsia="zh-CN"/>
              </w:rPr>
              <w:t>，利用现有</w:t>
            </w:r>
            <w:r>
              <w:rPr>
                <w:rFonts w:hint="eastAsia" w:asciiTheme="minorEastAsia" w:hAnsiTheme="minorEastAsia" w:eastAsiaTheme="minorEastAsia" w:cstheme="minorEastAsia"/>
                <w:b w:val="0"/>
                <w:bCs/>
                <w:color w:val="auto"/>
                <w:sz w:val="24"/>
                <w:szCs w:val="24"/>
                <w:u w:val="none"/>
                <w:lang w:val="en-US" w:eastAsia="zh-CN"/>
              </w:rPr>
              <w:t>竹胶合板生产线产生的木屑及</w:t>
            </w:r>
            <w:r>
              <w:rPr>
                <w:rFonts w:hint="eastAsia" w:asciiTheme="minorEastAsia" w:hAnsiTheme="minorEastAsia" w:eastAsiaTheme="minorEastAsia" w:cstheme="minorEastAsia"/>
                <w:b w:val="0"/>
                <w:bCs w:val="0"/>
                <w:color w:val="auto"/>
                <w:sz w:val="24"/>
                <w:szCs w:val="24"/>
                <w:lang w:val="en-US" w:eastAsia="zh-CN"/>
              </w:rPr>
              <w:t>当地的竹木材加工废物为原料生产</w:t>
            </w:r>
            <w:r>
              <w:rPr>
                <w:rFonts w:hint="eastAsia"/>
                <w:b w:val="0"/>
                <w:bCs w:val="0"/>
                <w:color w:val="auto"/>
                <w:sz w:val="24"/>
                <w:szCs w:val="24"/>
                <w:lang w:eastAsia="zh-CN"/>
              </w:rPr>
              <w:t>机制木炭</w:t>
            </w:r>
            <w:r>
              <w:rPr>
                <w:rFonts w:hint="eastAsia"/>
                <w:b w:val="0"/>
                <w:bCs w:val="0"/>
                <w:color w:val="auto"/>
                <w:sz w:val="24"/>
                <w:szCs w:val="24"/>
                <w:u w:val="none"/>
                <w:lang w:eastAsia="zh-CN"/>
              </w:rPr>
              <w:t>。</w:t>
            </w:r>
          </w:p>
          <w:p>
            <w:pPr>
              <w:spacing w:line="360" w:lineRule="auto"/>
              <w:ind w:firstLine="480" w:firstLineChars="200"/>
              <w:rPr>
                <w:rFonts w:hint="eastAsia" w:ascii="Times New Roman" w:hAnsi="Times New Roman"/>
                <w:color w:val="auto"/>
                <w:sz w:val="24"/>
                <w:szCs w:val="24"/>
                <w:u w:val="none"/>
              </w:rPr>
            </w:pPr>
            <w:r>
              <w:rPr>
                <w:rFonts w:ascii="Times New Roman" w:hAnsi="Times New Roman"/>
                <w:bCs/>
                <w:color w:val="auto"/>
                <w:sz w:val="24"/>
                <w:u w:val="none"/>
              </w:rPr>
              <w:t>依据《中华人民共和国环境保护法》、《中华人民共和国环境影响评价法》</w:t>
            </w:r>
            <w:r>
              <w:rPr>
                <w:rFonts w:hint="eastAsia" w:ascii="Times New Roman" w:hAnsi="Times New Roman"/>
                <w:bCs/>
                <w:color w:val="auto"/>
                <w:sz w:val="24"/>
                <w:u w:val="none"/>
              </w:rPr>
              <w:t>、</w:t>
            </w:r>
            <w:r>
              <w:rPr>
                <w:rFonts w:ascii="Times New Roman" w:hAnsi="Times New Roman"/>
                <w:bCs/>
                <w:color w:val="auto"/>
                <w:sz w:val="24"/>
                <w:u w:val="none"/>
              </w:rPr>
              <w:t>国务院令</w:t>
            </w:r>
            <w:r>
              <w:rPr>
                <w:rFonts w:hint="eastAsia" w:ascii="Times New Roman" w:hAnsi="Times New Roman"/>
                <w:bCs/>
                <w:color w:val="auto"/>
                <w:sz w:val="24"/>
                <w:u w:val="none"/>
              </w:rPr>
              <w:t>682</w:t>
            </w:r>
            <w:r>
              <w:rPr>
                <w:rFonts w:ascii="Times New Roman" w:hAnsi="Times New Roman"/>
                <w:bCs/>
                <w:color w:val="auto"/>
                <w:sz w:val="24"/>
                <w:u w:val="none"/>
              </w:rPr>
              <w:t>号《建设项目环境保护管理条例》的有关规定</w:t>
            </w:r>
            <w:r>
              <w:rPr>
                <w:rFonts w:hint="eastAsia" w:ascii="Times New Roman" w:hAnsi="Times New Roman"/>
                <w:bCs/>
                <w:color w:val="auto"/>
                <w:sz w:val="24"/>
                <w:u w:val="none"/>
              </w:rPr>
              <w:t>以及</w:t>
            </w:r>
            <w:r>
              <w:rPr>
                <w:rFonts w:ascii="Times New Roman" w:hAnsi="Times New Roman"/>
                <w:bCs/>
                <w:color w:val="auto"/>
                <w:sz w:val="24"/>
                <w:u w:val="none"/>
              </w:rPr>
              <w:t>根据《建设项目环境影响分类管理名录》</w:t>
            </w:r>
            <w:r>
              <w:rPr>
                <w:rFonts w:hint="eastAsia" w:ascii="Times New Roman" w:hAnsi="Times New Roman"/>
                <w:bCs/>
                <w:color w:val="auto"/>
                <w:sz w:val="24"/>
                <w:u w:val="none"/>
              </w:rPr>
              <w:t>，</w:t>
            </w:r>
            <w:r>
              <w:rPr>
                <w:rFonts w:hint="eastAsia"/>
                <w:color w:val="auto"/>
                <w:kern w:val="0"/>
                <w:sz w:val="24"/>
                <w:szCs w:val="24"/>
                <w:lang w:val="en-US" w:eastAsia="zh-CN"/>
              </w:rPr>
              <w:t>本项目属于 “三十 废弃资源综合利用业”“86废旧资源（含生物质）加工再生利用”中的“其他”类别，项目回收竹材木材加工的锯末和边角废料加工成木炭，应编制环境影响报告表</w:t>
            </w:r>
            <w:r>
              <w:rPr>
                <w:rFonts w:ascii="Times New Roman" w:hAnsi="Times New Roman"/>
                <w:bCs/>
                <w:color w:val="auto"/>
                <w:sz w:val="24"/>
                <w:u w:val="none"/>
              </w:rPr>
              <w:t>。</w:t>
            </w:r>
            <w:r>
              <w:rPr>
                <w:rFonts w:hint="eastAsia" w:ascii="Times New Roman" w:hAnsi="Times New Roman"/>
                <w:color w:val="auto"/>
                <w:sz w:val="24"/>
                <w:szCs w:val="24"/>
                <w:u w:val="none"/>
              </w:rPr>
              <w:t>因此</w:t>
            </w:r>
            <w:r>
              <w:rPr>
                <w:rFonts w:hint="eastAsia" w:asciiTheme="minorEastAsia" w:hAnsiTheme="minorEastAsia" w:eastAsiaTheme="minorEastAsia" w:cstheme="minorEastAsia"/>
                <w:b w:val="0"/>
                <w:bCs/>
                <w:color w:val="auto"/>
                <w:sz w:val="24"/>
                <w:szCs w:val="24"/>
                <w:u w:val="none"/>
                <w:lang w:eastAsia="zh-CN"/>
              </w:rPr>
              <w:t>怀化市洪江区欣隆竹胶板厂</w:t>
            </w:r>
            <w:r>
              <w:rPr>
                <w:rFonts w:hint="eastAsia" w:ascii="Times New Roman" w:hAnsi="Times New Roman"/>
                <w:color w:val="auto"/>
                <w:sz w:val="24"/>
                <w:szCs w:val="24"/>
                <w:u w:val="none"/>
              </w:rPr>
              <w:t>委托</w:t>
            </w:r>
            <w:r>
              <w:rPr>
                <w:rFonts w:hint="eastAsia"/>
                <w:color w:val="auto"/>
                <w:sz w:val="24"/>
                <w:szCs w:val="24"/>
                <w:u w:val="none"/>
                <w:lang w:eastAsia="zh-CN"/>
              </w:rPr>
              <w:t>怀化环诚环保科技有限公司</w:t>
            </w:r>
            <w:r>
              <w:rPr>
                <w:rFonts w:hint="eastAsia" w:ascii="Times New Roman" w:hAnsi="Times New Roman"/>
                <w:color w:val="auto"/>
                <w:sz w:val="24"/>
                <w:szCs w:val="24"/>
                <w:u w:val="none"/>
              </w:rPr>
              <w:t>（以下简称“我单位”）承担</w:t>
            </w:r>
            <w:r>
              <w:rPr>
                <w:rFonts w:hint="eastAsia" w:ascii="Times New Roman" w:hAnsi="Times New Roman"/>
                <w:color w:val="auto"/>
                <w:sz w:val="24"/>
                <w:szCs w:val="20"/>
                <w:u w:val="none"/>
                <w:lang w:eastAsia="zh-CN"/>
              </w:rPr>
              <w:t>怀化市洪江区欣隆竹胶板厂年产3000t机制木炭生产线扩建项目</w:t>
            </w:r>
            <w:r>
              <w:rPr>
                <w:rFonts w:hint="eastAsia" w:ascii="Times New Roman" w:hAnsi="Times New Roman"/>
                <w:color w:val="auto"/>
                <w:sz w:val="24"/>
                <w:szCs w:val="24"/>
                <w:u w:val="none"/>
              </w:rPr>
              <w:t>的环境影响评价工作。接受委托后我单位环评技术员在对现场进行踏勘调查和收集相关资料的基础上，编制完成了《</w:t>
            </w:r>
            <w:r>
              <w:rPr>
                <w:rFonts w:hint="eastAsia" w:ascii="Times New Roman" w:hAnsi="Times New Roman"/>
                <w:color w:val="auto"/>
                <w:sz w:val="24"/>
                <w:szCs w:val="20"/>
                <w:u w:val="none"/>
                <w:lang w:eastAsia="zh-CN"/>
              </w:rPr>
              <w:t>怀化市洪江区欣隆竹胶板厂年产3000t机制木炭生产线扩建项目</w:t>
            </w:r>
            <w:r>
              <w:rPr>
                <w:rFonts w:hint="eastAsia" w:ascii="Times New Roman" w:hAnsi="Times New Roman"/>
                <w:color w:val="auto"/>
                <w:sz w:val="24"/>
                <w:szCs w:val="24"/>
                <w:u w:val="none"/>
              </w:rPr>
              <w:t>环境影响评价报告表》。</w:t>
            </w:r>
          </w:p>
          <w:p>
            <w:pPr>
              <w:spacing w:line="360" w:lineRule="auto"/>
              <w:rPr>
                <w:rStyle w:val="27"/>
                <w:rFonts w:hint="eastAsia" w:eastAsia="宋体"/>
                <w:b w:val="0"/>
                <w:bCs w:val="0"/>
                <w:color w:val="auto"/>
                <w:sz w:val="24"/>
                <w:szCs w:val="24"/>
                <w:u w:val="none"/>
              </w:rPr>
            </w:pPr>
            <w:r>
              <w:rPr>
                <w:rStyle w:val="27"/>
                <w:rFonts w:hint="eastAsia" w:eastAsia="宋体"/>
                <w:color w:val="auto"/>
                <w:sz w:val="24"/>
                <w:szCs w:val="24"/>
                <w:u w:val="none"/>
              </w:rPr>
              <w:t xml:space="preserve">1.2 </w:t>
            </w:r>
            <w:r>
              <w:rPr>
                <w:rFonts w:hint="eastAsia" w:ascii="宋体" w:hAnsi="宋体"/>
                <w:b/>
                <w:color w:val="auto"/>
                <w:sz w:val="24"/>
                <w:szCs w:val="24"/>
                <w:u w:val="none"/>
              </w:rPr>
              <w:t>建设项目基本情况</w:t>
            </w:r>
          </w:p>
          <w:p>
            <w:pPr>
              <w:spacing w:line="360" w:lineRule="auto"/>
              <w:ind w:firstLine="480" w:firstLineChars="200"/>
              <w:rPr>
                <w:rFonts w:hint="eastAsia" w:ascii="Times New Roman" w:hAnsi="Times New Roman"/>
                <w:color w:val="auto"/>
                <w:sz w:val="24"/>
                <w:szCs w:val="24"/>
                <w:u w:val="none"/>
              </w:rPr>
            </w:pPr>
            <w:r>
              <w:rPr>
                <w:color w:val="auto"/>
                <w:sz w:val="24"/>
                <w:u w:val="none"/>
              </w:rPr>
              <w:t>项目名称：</w:t>
            </w:r>
            <w:r>
              <w:rPr>
                <w:rFonts w:hint="eastAsia" w:ascii="Times New Roman" w:hAnsi="Times New Roman"/>
                <w:color w:val="auto"/>
                <w:sz w:val="24"/>
                <w:szCs w:val="20"/>
                <w:u w:val="none"/>
                <w:lang w:eastAsia="zh-CN"/>
              </w:rPr>
              <w:t>怀化市洪江区欣隆竹胶板厂年产3000t机制木炭生产线扩建项目</w:t>
            </w:r>
          </w:p>
          <w:p>
            <w:pPr>
              <w:spacing w:line="360" w:lineRule="auto"/>
              <w:ind w:firstLine="480" w:firstLineChars="200"/>
              <w:rPr>
                <w:rFonts w:hint="eastAsia" w:ascii="Times New Roman" w:hAnsi="Times New Roman"/>
                <w:color w:val="auto"/>
                <w:sz w:val="24"/>
                <w:szCs w:val="24"/>
                <w:u w:val="none"/>
              </w:rPr>
            </w:pPr>
            <w:r>
              <w:rPr>
                <w:color w:val="auto"/>
                <w:sz w:val="24"/>
                <w:u w:val="none"/>
              </w:rPr>
              <w:t>建设单位：</w:t>
            </w:r>
            <w:r>
              <w:rPr>
                <w:rFonts w:hint="eastAsia" w:ascii="Times New Roman" w:hAnsi="Times New Roman"/>
                <w:color w:val="auto"/>
                <w:sz w:val="24"/>
                <w:szCs w:val="20"/>
                <w:u w:val="none"/>
                <w:lang w:eastAsia="zh-CN"/>
              </w:rPr>
              <w:t>怀化市洪江区欣隆竹胶板厂</w:t>
            </w:r>
          </w:p>
          <w:p>
            <w:pPr>
              <w:spacing w:line="360" w:lineRule="auto"/>
              <w:ind w:firstLine="480" w:firstLineChars="200"/>
              <w:rPr>
                <w:rFonts w:hint="eastAsia"/>
                <w:color w:val="auto"/>
                <w:sz w:val="24"/>
                <w:u w:val="none"/>
              </w:rPr>
            </w:pPr>
            <w:r>
              <w:rPr>
                <w:color w:val="auto"/>
                <w:sz w:val="24"/>
                <w:u w:val="none"/>
              </w:rPr>
              <w:t>建设性质：</w:t>
            </w:r>
            <w:r>
              <w:rPr>
                <w:rFonts w:hint="eastAsia"/>
                <w:color w:val="auto"/>
                <w:sz w:val="24"/>
                <w:u w:val="none"/>
                <w:lang w:eastAsia="zh-CN"/>
              </w:rPr>
              <w:t>改扩</w:t>
            </w:r>
            <w:r>
              <w:rPr>
                <w:rFonts w:hint="eastAsia"/>
                <w:color w:val="auto"/>
                <w:sz w:val="24"/>
                <w:u w:val="none"/>
              </w:rPr>
              <w:t>建</w:t>
            </w:r>
          </w:p>
          <w:p>
            <w:pPr>
              <w:spacing w:line="360" w:lineRule="auto"/>
              <w:ind w:firstLine="470" w:firstLineChars="196"/>
              <w:textAlignment w:val="center"/>
              <w:rPr>
                <w:rFonts w:hint="eastAsia" w:ascii="宋体" w:hAnsi="宋体"/>
                <w:color w:val="auto"/>
                <w:sz w:val="24"/>
                <w:szCs w:val="24"/>
                <w:u w:val="none"/>
              </w:rPr>
            </w:pPr>
            <w:r>
              <w:rPr>
                <w:color w:val="auto"/>
                <w:sz w:val="24"/>
                <w:u w:val="none"/>
              </w:rPr>
              <w:t>建设地点：</w:t>
            </w:r>
            <w:r>
              <w:rPr>
                <w:rFonts w:hint="eastAsia" w:asciiTheme="minorEastAsia" w:hAnsiTheme="minorEastAsia" w:eastAsiaTheme="minorEastAsia" w:cstheme="minorEastAsia"/>
                <w:b w:val="0"/>
                <w:bCs/>
                <w:color w:val="auto"/>
                <w:sz w:val="24"/>
                <w:szCs w:val="24"/>
                <w:u w:val="single"/>
              </w:rPr>
              <w:t>湖南省</w:t>
            </w:r>
            <w:r>
              <w:rPr>
                <w:rFonts w:hint="eastAsia" w:asciiTheme="minorEastAsia" w:hAnsiTheme="minorEastAsia" w:eastAsiaTheme="minorEastAsia" w:cstheme="minorEastAsia"/>
                <w:b w:val="0"/>
                <w:bCs/>
                <w:color w:val="auto"/>
                <w:sz w:val="24"/>
                <w:szCs w:val="24"/>
                <w:u w:val="single"/>
                <w:lang w:val="en-US" w:eastAsia="zh-CN"/>
              </w:rPr>
              <w:t>怀化市</w:t>
            </w:r>
            <w:r>
              <w:rPr>
                <w:rFonts w:hint="eastAsia" w:asciiTheme="minorEastAsia" w:hAnsiTheme="minorEastAsia" w:eastAsiaTheme="minorEastAsia" w:cstheme="minorEastAsia"/>
                <w:b w:val="0"/>
                <w:bCs/>
                <w:color w:val="auto"/>
                <w:sz w:val="24"/>
                <w:szCs w:val="24"/>
                <w:u w:val="single"/>
              </w:rPr>
              <w:t xml:space="preserve">洪江区长寨英明山 </w:t>
            </w:r>
          </w:p>
          <w:p>
            <w:pPr>
              <w:spacing w:line="360" w:lineRule="auto"/>
              <w:ind w:firstLine="470" w:firstLineChars="196"/>
              <w:textAlignment w:val="center"/>
              <w:rPr>
                <w:rFonts w:ascii="Times New Roman" w:hAnsi="Times New Roman" w:cs="Times New Roman"/>
                <w:color w:val="auto"/>
                <w:sz w:val="24"/>
                <w:szCs w:val="24"/>
                <w:u w:val="none"/>
              </w:rPr>
            </w:pPr>
            <w:r>
              <w:rPr>
                <w:rFonts w:hint="eastAsia" w:ascii="宋体" w:hAnsi="宋体"/>
                <w:color w:val="auto"/>
                <w:sz w:val="24"/>
                <w:szCs w:val="24"/>
                <w:u w:val="none"/>
              </w:rPr>
              <w:t>总投资额：</w:t>
            </w:r>
            <w:r>
              <w:rPr>
                <w:rFonts w:hint="eastAsia"/>
                <w:color w:val="auto"/>
                <w:sz w:val="24"/>
                <w:szCs w:val="24"/>
                <w:u w:val="none"/>
                <w:lang w:val="en-US" w:eastAsia="zh-CN"/>
              </w:rPr>
              <w:t>5</w:t>
            </w:r>
            <w:r>
              <w:rPr>
                <w:rFonts w:hint="eastAsia" w:ascii="Times New Roman" w:hAnsi="Times New Roman"/>
                <w:color w:val="auto"/>
                <w:sz w:val="24"/>
                <w:szCs w:val="24"/>
                <w:u w:val="none"/>
              </w:rPr>
              <w:t>00</w:t>
            </w:r>
            <w:r>
              <w:rPr>
                <w:rFonts w:hint="eastAsia" w:ascii="宋体" w:hAnsi="宋体"/>
                <w:color w:val="auto"/>
                <w:sz w:val="24"/>
                <w:szCs w:val="24"/>
                <w:u w:val="none"/>
              </w:rPr>
              <w:t>万元（企业</w:t>
            </w:r>
            <w:r>
              <w:rPr>
                <w:rFonts w:ascii="宋体" w:hAnsi="宋体"/>
                <w:color w:val="auto"/>
                <w:sz w:val="24"/>
                <w:szCs w:val="24"/>
                <w:u w:val="none"/>
              </w:rPr>
              <w:t>自筹</w:t>
            </w:r>
            <w:r>
              <w:rPr>
                <w:rFonts w:hint="eastAsia" w:ascii="宋体" w:hAnsi="宋体"/>
                <w:color w:val="auto"/>
                <w:sz w:val="24"/>
                <w:szCs w:val="24"/>
                <w:u w:val="none"/>
              </w:rPr>
              <w:t>），其中环保</w:t>
            </w:r>
            <w:r>
              <w:rPr>
                <w:rFonts w:ascii="Times New Roman" w:hAnsi="Times New Roman" w:cs="Times New Roman"/>
                <w:color w:val="auto"/>
                <w:sz w:val="24"/>
                <w:szCs w:val="24"/>
                <w:u w:val="none"/>
              </w:rPr>
              <w:t>投资</w:t>
            </w:r>
            <w:r>
              <w:rPr>
                <w:rFonts w:hint="eastAsia" w:cs="Times New Roman"/>
                <w:color w:val="auto"/>
                <w:sz w:val="24"/>
                <w:szCs w:val="24"/>
                <w:u w:val="none"/>
                <w:lang w:val="en-US" w:eastAsia="zh-CN"/>
              </w:rPr>
              <w:t>53</w:t>
            </w:r>
            <w:r>
              <w:rPr>
                <w:rFonts w:ascii="Times New Roman" w:hAnsi="Times New Roman" w:cs="Times New Roman"/>
                <w:color w:val="auto"/>
                <w:sz w:val="24"/>
                <w:szCs w:val="24"/>
                <w:u w:val="none"/>
              </w:rPr>
              <w:t>万元，占总投资的</w:t>
            </w:r>
            <w:r>
              <w:rPr>
                <w:rFonts w:hint="eastAsia" w:cs="Times New Roman"/>
                <w:color w:val="auto"/>
                <w:sz w:val="24"/>
                <w:szCs w:val="24"/>
                <w:u w:val="none"/>
                <w:lang w:val="en-US" w:eastAsia="zh-CN"/>
              </w:rPr>
              <w:t>10.6</w:t>
            </w:r>
            <w:r>
              <w:rPr>
                <w:rFonts w:ascii="Times New Roman" w:hAnsi="Times New Roman" w:cs="Times New Roman"/>
                <w:color w:val="auto"/>
                <w:sz w:val="24"/>
                <w:szCs w:val="24"/>
                <w:u w:val="none"/>
              </w:rPr>
              <w:t>%。</w:t>
            </w:r>
          </w:p>
          <w:p>
            <w:pPr>
              <w:spacing w:line="360" w:lineRule="auto"/>
              <w:ind w:firstLine="470" w:firstLineChars="196"/>
              <w:textAlignment w:val="center"/>
              <w:rPr>
                <w:rFonts w:hint="eastAsia" w:ascii="宋体" w:hAnsi="宋体"/>
                <w:color w:val="auto"/>
                <w:sz w:val="24"/>
                <w:szCs w:val="24"/>
                <w:u w:val="none"/>
              </w:rPr>
            </w:pPr>
            <w:r>
              <w:rPr>
                <w:rFonts w:hint="eastAsia" w:ascii="宋体" w:hAnsi="宋体"/>
                <w:color w:val="auto"/>
                <w:sz w:val="24"/>
                <w:szCs w:val="24"/>
                <w:u w:val="none"/>
              </w:rPr>
              <w:t>建设计划：</w:t>
            </w:r>
            <w:r>
              <w:rPr>
                <w:rFonts w:hint="eastAsia" w:ascii="Times New Roman" w:hAnsi="Times New Roman"/>
                <w:color w:val="auto"/>
                <w:sz w:val="24"/>
                <w:szCs w:val="24"/>
                <w:u w:val="none"/>
              </w:rPr>
              <w:t>20</w:t>
            </w:r>
            <w:r>
              <w:rPr>
                <w:rFonts w:hint="eastAsia"/>
                <w:color w:val="auto"/>
                <w:sz w:val="24"/>
                <w:szCs w:val="24"/>
                <w:u w:val="none"/>
                <w:lang w:val="en-US" w:eastAsia="zh-CN"/>
              </w:rPr>
              <w:t>20</w:t>
            </w:r>
            <w:r>
              <w:rPr>
                <w:rFonts w:hint="eastAsia" w:ascii="Times New Roman" w:hAnsi="Times New Roman"/>
                <w:color w:val="auto"/>
                <w:sz w:val="24"/>
                <w:szCs w:val="24"/>
                <w:u w:val="none"/>
              </w:rPr>
              <w:t>年</w:t>
            </w:r>
            <w:r>
              <w:rPr>
                <w:rFonts w:hint="eastAsia"/>
                <w:color w:val="auto"/>
                <w:sz w:val="24"/>
                <w:szCs w:val="24"/>
                <w:u w:val="none"/>
                <w:lang w:val="en-US" w:eastAsia="zh-CN"/>
              </w:rPr>
              <w:t>9</w:t>
            </w:r>
            <w:r>
              <w:rPr>
                <w:rFonts w:hint="eastAsia" w:ascii="Times New Roman" w:hAnsi="Times New Roman"/>
                <w:color w:val="auto"/>
                <w:sz w:val="24"/>
                <w:szCs w:val="24"/>
                <w:u w:val="none"/>
              </w:rPr>
              <w:t>月至 2020 年</w:t>
            </w:r>
            <w:r>
              <w:rPr>
                <w:rFonts w:hint="eastAsia"/>
                <w:color w:val="auto"/>
                <w:sz w:val="24"/>
                <w:szCs w:val="24"/>
                <w:u w:val="none"/>
                <w:lang w:val="en-US" w:eastAsia="zh-CN"/>
              </w:rPr>
              <w:t>10</w:t>
            </w:r>
            <w:r>
              <w:rPr>
                <w:rFonts w:hint="eastAsia" w:ascii="Times New Roman" w:hAnsi="Times New Roman"/>
                <w:color w:val="auto"/>
                <w:sz w:val="24"/>
                <w:szCs w:val="24"/>
                <w:u w:val="none"/>
              </w:rPr>
              <w:t>月，总工期</w:t>
            </w:r>
            <w:r>
              <w:rPr>
                <w:rFonts w:hint="eastAsia"/>
                <w:color w:val="auto"/>
                <w:sz w:val="24"/>
                <w:szCs w:val="24"/>
                <w:u w:val="none"/>
                <w:lang w:val="en-US" w:eastAsia="zh-CN"/>
              </w:rPr>
              <w:t>2</w:t>
            </w:r>
            <w:r>
              <w:rPr>
                <w:rFonts w:hint="eastAsia" w:ascii="Times New Roman" w:hAnsi="Times New Roman"/>
                <w:color w:val="auto"/>
                <w:sz w:val="24"/>
                <w:szCs w:val="24"/>
                <w:u w:val="none"/>
              </w:rPr>
              <w:t>个月。</w:t>
            </w:r>
          </w:p>
          <w:p>
            <w:pPr>
              <w:spacing w:line="360" w:lineRule="auto"/>
              <w:textAlignment w:val="center"/>
              <w:rPr>
                <w:rFonts w:hint="eastAsia" w:ascii="宋体" w:hAnsi="宋体"/>
                <w:b/>
                <w:color w:val="auto"/>
                <w:sz w:val="24"/>
                <w:szCs w:val="24"/>
                <w:u w:val="none"/>
              </w:rPr>
            </w:pPr>
            <w:r>
              <w:rPr>
                <w:rFonts w:ascii="Times New Roman" w:hAnsi="Times New Roman"/>
                <w:b/>
                <w:color w:val="auto"/>
                <w:sz w:val="24"/>
                <w:szCs w:val="24"/>
                <w:u w:val="none"/>
              </w:rPr>
              <w:t>1.3</w:t>
            </w:r>
            <w:r>
              <w:rPr>
                <w:rFonts w:hint="eastAsia" w:ascii="宋体" w:hAnsi="宋体"/>
                <w:b/>
                <w:color w:val="auto"/>
                <w:sz w:val="24"/>
                <w:szCs w:val="24"/>
                <w:u w:val="none"/>
              </w:rPr>
              <w:t xml:space="preserve"> 建设内容与规模</w:t>
            </w:r>
          </w:p>
          <w:p>
            <w:pPr>
              <w:spacing w:line="360" w:lineRule="auto"/>
              <w:ind w:firstLine="470" w:firstLineChars="196"/>
              <w:textAlignment w:val="center"/>
              <w:rPr>
                <w:rFonts w:hint="eastAsia" w:ascii="Times New Roman" w:hAnsi="Times New Roman"/>
                <w:color w:val="auto"/>
                <w:sz w:val="24"/>
                <w:szCs w:val="24"/>
                <w:u w:val="none"/>
              </w:rPr>
            </w:pPr>
            <w:r>
              <w:rPr>
                <w:rFonts w:hint="default" w:ascii="Times New Roman" w:hAnsi="Times New Roman" w:cs="Times New Roman"/>
                <w:color w:val="auto"/>
                <w:sz w:val="24"/>
                <w:szCs w:val="24"/>
                <w:lang w:eastAsia="zh-CN"/>
              </w:rPr>
              <w:t>项目总</w:t>
            </w:r>
            <w:r>
              <w:rPr>
                <w:rFonts w:hint="default" w:ascii="Times New Roman" w:hAnsi="Times New Roman" w:eastAsia="宋体" w:cs="Times New Roman"/>
                <w:color w:val="auto"/>
                <w:kern w:val="2"/>
                <w:sz w:val="24"/>
                <w:szCs w:val="24"/>
                <w:lang w:val="en-US" w:eastAsia="zh-CN" w:bidi="ar"/>
              </w:rPr>
              <w:t>占地面积3170</w:t>
            </w:r>
            <w:r>
              <w:rPr>
                <w:rFonts w:hint="eastAsia" w:eastAsia="宋体" w:cs="Times New Roman"/>
                <w:color w:val="auto"/>
                <w:kern w:val="2"/>
                <w:sz w:val="24"/>
                <w:szCs w:val="24"/>
                <w:lang w:val="en-US" w:eastAsia="zh-CN" w:bidi="ar"/>
              </w:rPr>
              <w:t>m</w:t>
            </w:r>
            <w:r>
              <w:rPr>
                <w:rFonts w:hint="eastAsia"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w:t>
            </w:r>
            <w:r>
              <w:rPr>
                <w:rFonts w:hint="eastAsia" w:cs="Times New Roman"/>
                <w:color w:val="auto"/>
                <w:kern w:val="2"/>
                <w:sz w:val="24"/>
                <w:szCs w:val="24"/>
                <w:lang w:val="en-US" w:eastAsia="zh-CN" w:bidi="ar"/>
              </w:rPr>
              <w:t>建设</w:t>
            </w:r>
            <w:r>
              <w:rPr>
                <w:rFonts w:hint="default" w:ascii="Times New Roman" w:hAnsi="Times New Roman" w:cs="Times New Roman"/>
                <w:color w:val="auto"/>
                <w:kern w:val="2"/>
                <w:sz w:val="24"/>
                <w:szCs w:val="24"/>
                <w:lang w:val="en-US" w:eastAsia="zh-CN" w:bidi="ar"/>
              </w:rPr>
              <w:t>一条3</w:t>
            </w:r>
            <w:r>
              <w:rPr>
                <w:rFonts w:hint="default" w:ascii="Times New Roman" w:hAnsi="Times New Roman" w:cs="Times New Roman"/>
                <w:color w:val="auto"/>
                <w:sz w:val="24"/>
                <w:szCs w:val="24"/>
              </w:rPr>
              <w:t>000吨/年机制木炭生产</w:t>
            </w:r>
            <w:r>
              <w:rPr>
                <w:rFonts w:hint="default" w:ascii="Times New Roman" w:hAnsi="Times New Roman" w:cs="Times New Roman"/>
                <w:color w:val="auto"/>
                <w:sz w:val="24"/>
                <w:szCs w:val="24"/>
                <w:lang w:eastAsia="zh-CN"/>
              </w:rPr>
              <w:t>线</w:t>
            </w:r>
            <w:r>
              <w:rPr>
                <w:rFonts w:hint="default" w:ascii="Times New Roman" w:hAnsi="Times New Roman" w:eastAsia="宋体" w:cs="Times New Roman"/>
                <w:color w:val="auto"/>
                <w:kern w:val="2"/>
                <w:sz w:val="24"/>
                <w:szCs w:val="24"/>
                <w:lang w:val="en-US" w:eastAsia="zh-CN" w:bidi="ar"/>
              </w:rPr>
              <w:t>。</w:t>
            </w:r>
            <w:r>
              <w:rPr>
                <w:rFonts w:hint="eastAsia" w:cs="Times New Roman"/>
                <w:color w:val="auto"/>
                <w:kern w:val="2"/>
                <w:sz w:val="24"/>
                <w:szCs w:val="24"/>
                <w:lang w:val="en-US" w:eastAsia="zh-CN" w:bidi="ar"/>
              </w:rPr>
              <w:t>拟建</w:t>
            </w:r>
            <w:r>
              <w:rPr>
                <w:rFonts w:hint="default" w:ascii="Times New Roman" w:hAnsi="Times New Roman" w:cs="Times New Roman" w:eastAsiaTheme="minorEastAsia"/>
                <w:color w:val="auto"/>
                <w:sz w:val="24"/>
                <w:szCs w:val="24"/>
                <w:lang w:eastAsia="zh-CN"/>
              </w:rPr>
              <w:t>钢结构</w:t>
            </w:r>
            <w:r>
              <w:rPr>
                <w:rFonts w:hint="default" w:ascii="Times New Roman" w:hAnsi="Times New Roman" w:cs="Times New Roman" w:eastAsiaTheme="minorEastAsia"/>
                <w:color w:val="auto"/>
                <w:sz w:val="24"/>
                <w:szCs w:val="24"/>
              </w:rPr>
              <w:t>厂房面积</w:t>
            </w:r>
            <w:r>
              <w:rPr>
                <w:rFonts w:hint="default" w:ascii="Times New Roman" w:hAnsi="Times New Roman" w:cs="Times New Roman" w:eastAsiaTheme="minorEastAsia"/>
                <w:color w:val="auto"/>
                <w:sz w:val="24"/>
                <w:szCs w:val="24"/>
                <w:lang w:val="en-US" w:eastAsia="zh-CN"/>
              </w:rPr>
              <w:t>约</w:t>
            </w:r>
            <w:r>
              <w:rPr>
                <w:rFonts w:hint="default" w:ascii="Times New Roman" w:hAnsi="Times New Roman" w:cs="Times New Roman"/>
                <w:color w:val="auto"/>
                <w:sz w:val="24"/>
                <w:szCs w:val="24"/>
                <w:lang w:val="en-US" w:eastAsia="zh-CN"/>
              </w:rPr>
              <w:t>26</w:t>
            </w:r>
            <w:r>
              <w:rPr>
                <w:rFonts w:hint="default" w:ascii="Times New Roman" w:hAnsi="Times New Roman" w:cs="Times New Roman" w:eastAsiaTheme="minorEastAsia"/>
                <w:color w:val="auto"/>
                <w:sz w:val="24"/>
                <w:szCs w:val="24"/>
                <w:lang w:val="en-US" w:eastAsia="zh-CN"/>
              </w:rPr>
              <w:t>00</w:t>
            </w:r>
            <w:r>
              <w:rPr>
                <w:rFonts w:hint="eastAsia" w:eastAsia="宋体" w:cs="Times New Roman"/>
                <w:color w:val="auto"/>
                <w:kern w:val="2"/>
                <w:sz w:val="24"/>
                <w:szCs w:val="24"/>
                <w:lang w:val="en-US" w:eastAsia="zh-CN" w:bidi="ar"/>
              </w:rPr>
              <w:t>m</w:t>
            </w:r>
            <w:r>
              <w:rPr>
                <w:rFonts w:hint="eastAsia"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，新建办公用房</w:t>
            </w:r>
            <w:r>
              <w:rPr>
                <w:rFonts w:hint="default" w:ascii="Times New Roman" w:hAnsi="Times New Roman" w:cs="Times New Roman" w:eastAsiaTheme="minorEastAsia"/>
                <w:color w:val="auto"/>
                <w:sz w:val="24"/>
                <w:szCs w:val="24"/>
                <w:lang w:val="en-US" w:eastAsia="zh-CN"/>
              </w:rPr>
              <w:t>约</w:t>
            </w:r>
            <w:r>
              <w:rPr>
                <w:rFonts w:hint="default" w:ascii="Times New Roman" w:hAnsi="Times New Roman" w:cs="Times New Roman"/>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0</w:t>
            </w:r>
            <w:r>
              <w:rPr>
                <w:rFonts w:hint="eastAsia" w:eastAsia="宋体" w:cs="Times New Roman"/>
                <w:color w:val="auto"/>
                <w:kern w:val="2"/>
                <w:sz w:val="24"/>
                <w:szCs w:val="24"/>
                <w:lang w:val="en-US" w:eastAsia="zh-CN" w:bidi="ar"/>
              </w:rPr>
              <w:t>m</w:t>
            </w:r>
            <w:r>
              <w:rPr>
                <w:rFonts w:hint="eastAsia"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以及其它生产辅助设施。项目购置国内先进的生产线、制棒机、烘干机、烟气</w:t>
            </w:r>
            <w:r>
              <w:rPr>
                <w:rFonts w:hint="eastAsia" w:eastAsia="宋体" w:cs="Times New Roman"/>
                <w:color w:val="auto"/>
                <w:kern w:val="2"/>
                <w:sz w:val="24"/>
                <w:szCs w:val="24"/>
                <w:lang w:val="en-US" w:eastAsia="zh-CN" w:bidi="ar"/>
              </w:rPr>
              <w:t>处理</w:t>
            </w:r>
            <w:r>
              <w:rPr>
                <w:rFonts w:hint="default" w:ascii="Times New Roman" w:hAnsi="Times New Roman" w:eastAsia="宋体" w:cs="Times New Roman"/>
                <w:color w:val="auto"/>
                <w:kern w:val="2"/>
                <w:sz w:val="24"/>
                <w:szCs w:val="24"/>
                <w:lang w:val="en-US" w:eastAsia="zh-CN" w:bidi="ar"/>
              </w:rPr>
              <w:t>装置等设备，配套环保、给排水等辅助工程。建设项目生产规模及产品方案见表1-1，项目工程组成一览表见表 1-2</w:t>
            </w:r>
            <w:r>
              <w:rPr>
                <w:rFonts w:hint="eastAsia" w:ascii="Times New Roman" w:hAnsi="Times New Roman"/>
                <w:color w:val="auto"/>
                <w:sz w:val="24"/>
                <w:szCs w:val="24"/>
                <w:u w:val="none"/>
              </w:rPr>
              <w:t>。</w:t>
            </w:r>
          </w:p>
          <w:p>
            <w:pPr>
              <w:pStyle w:val="43"/>
              <w:ind w:firstLine="482"/>
              <w:rPr>
                <w:rFonts w:hAnsiTheme="minorEastAsia" w:eastAsiaTheme="minorEastAsia"/>
                <w:color w:val="auto"/>
                <w:sz w:val="21"/>
                <w:szCs w:val="21"/>
              </w:rPr>
            </w:pPr>
          </w:p>
          <w:p>
            <w:pPr>
              <w:pStyle w:val="43"/>
              <w:ind w:firstLine="482"/>
              <w:rPr>
                <w:rFonts w:hAnsiTheme="minorEastAsia" w:eastAsiaTheme="minorEastAsia"/>
                <w:color w:val="auto"/>
                <w:sz w:val="21"/>
                <w:szCs w:val="21"/>
              </w:rPr>
            </w:pPr>
          </w:p>
          <w:p>
            <w:pPr>
              <w:pStyle w:val="43"/>
              <w:ind w:firstLine="482"/>
              <w:rPr>
                <w:rFonts w:eastAsiaTheme="minorEastAsia"/>
                <w:color w:val="auto"/>
                <w:sz w:val="21"/>
                <w:szCs w:val="21"/>
              </w:rPr>
            </w:pPr>
            <w:r>
              <w:rPr>
                <w:rFonts w:hAnsiTheme="minorEastAsia" w:eastAsiaTheme="minorEastAsia"/>
                <w:color w:val="auto"/>
                <w:sz w:val="21"/>
                <w:szCs w:val="21"/>
              </w:rPr>
              <w:t>表</w:t>
            </w:r>
            <w:r>
              <w:rPr>
                <w:rFonts w:eastAsiaTheme="minorEastAsia"/>
                <w:color w:val="auto"/>
                <w:sz w:val="21"/>
                <w:szCs w:val="21"/>
              </w:rPr>
              <w:t>1-</w:t>
            </w:r>
            <w:r>
              <w:rPr>
                <w:rFonts w:hint="eastAsia" w:eastAsiaTheme="minorEastAsia"/>
                <w:color w:val="auto"/>
                <w:sz w:val="21"/>
                <w:szCs w:val="21"/>
              </w:rPr>
              <w:t>1</w:t>
            </w:r>
            <w:r>
              <w:rPr>
                <w:rFonts w:eastAsiaTheme="minorEastAsia"/>
                <w:color w:val="auto"/>
                <w:sz w:val="21"/>
                <w:szCs w:val="21"/>
              </w:rPr>
              <w:t xml:space="preserve"> </w:t>
            </w:r>
            <w:r>
              <w:rPr>
                <w:rFonts w:hAnsiTheme="minorEastAsia" w:eastAsiaTheme="minorEastAsia"/>
                <w:color w:val="auto"/>
                <w:sz w:val="21"/>
                <w:szCs w:val="21"/>
              </w:rPr>
              <w:t>建设项目生产规模及产品方案</w:t>
            </w:r>
          </w:p>
          <w:tbl>
            <w:tblPr>
              <w:tblStyle w:val="22"/>
              <w:tblW w:w="89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1"/>
              <w:gridCol w:w="1640"/>
              <w:gridCol w:w="2834"/>
              <w:gridCol w:w="2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11" w:type="dxa"/>
                  <w:vAlign w:val="center"/>
                </w:tcPr>
                <w:p>
                  <w:pPr>
                    <w:pStyle w:val="42"/>
                    <w:rPr>
                      <w:color w:val="auto"/>
                      <w:szCs w:val="20"/>
                    </w:rPr>
                  </w:pPr>
                  <w:r>
                    <w:rPr>
                      <w:rFonts w:hint="eastAsia"/>
                      <w:color w:val="auto"/>
                    </w:rPr>
                    <w:t>产品名称</w:t>
                  </w:r>
                </w:p>
              </w:tc>
              <w:tc>
                <w:tcPr>
                  <w:tcW w:w="1640" w:type="dxa"/>
                  <w:vAlign w:val="center"/>
                </w:tcPr>
                <w:p>
                  <w:pPr>
                    <w:pStyle w:val="42"/>
                    <w:rPr>
                      <w:color w:val="auto"/>
                      <w:szCs w:val="20"/>
                    </w:rPr>
                  </w:pPr>
                  <w:r>
                    <w:rPr>
                      <w:rFonts w:hint="eastAsia"/>
                      <w:color w:val="auto"/>
                    </w:rPr>
                    <w:t>年生产能力</w:t>
                  </w:r>
                </w:p>
              </w:tc>
              <w:tc>
                <w:tcPr>
                  <w:tcW w:w="2834" w:type="dxa"/>
                  <w:vAlign w:val="center"/>
                </w:tcPr>
                <w:p>
                  <w:pPr>
                    <w:pStyle w:val="42"/>
                    <w:rPr>
                      <w:color w:val="auto"/>
                      <w:szCs w:val="20"/>
                    </w:rPr>
                  </w:pPr>
                  <w:r>
                    <w:rPr>
                      <w:rFonts w:hint="eastAsia"/>
                      <w:color w:val="auto"/>
                    </w:rPr>
                    <w:t>产品尺寸</w:t>
                  </w:r>
                </w:p>
              </w:tc>
              <w:tc>
                <w:tcPr>
                  <w:tcW w:w="2986" w:type="dxa"/>
                  <w:vAlign w:val="center"/>
                </w:tcPr>
                <w:p>
                  <w:pPr>
                    <w:pStyle w:val="42"/>
                    <w:rPr>
                      <w:color w:val="auto"/>
                      <w:szCs w:val="20"/>
                    </w:rPr>
                  </w:pPr>
                  <w:r>
                    <w:rPr>
                      <w:rFonts w:hint="eastAsia"/>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1511" w:type="dxa"/>
                  <w:vAlign w:val="center"/>
                </w:tcPr>
                <w:p>
                  <w:pPr>
                    <w:pStyle w:val="42"/>
                    <w:rPr>
                      <w:color w:val="auto"/>
                      <w:szCs w:val="20"/>
                    </w:rPr>
                  </w:pPr>
                  <w:r>
                    <w:rPr>
                      <w:rFonts w:hint="eastAsia"/>
                      <w:color w:val="auto"/>
                      <w:szCs w:val="20"/>
                    </w:rPr>
                    <w:t>机制木炭</w:t>
                  </w:r>
                </w:p>
              </w:tc>
              <w:tc>
                <w:tcPr>
                  <w:tcW w:w="1640" w:type="dxa"/>
                  <w:vAlign w:val="center"/>
                </w:tcPr>
                <w:p>
                  <w:pPr>
                    <w:pStyle w:val="42"/>
                    <w:rPr>
                      <w:color w:val="auto"/>
                      <w:szCs w:val="20"/>
                    </w:rPr>
                  </w:pPr>
                  <w:r>
                    <w:rPr>
                      <w:rFonts w:hint="eastAsia"/>
                      <w:color w:val="auto"/>
                      <w:szCs w:val="20"/>
                      <w:lang w:val="en-US" w:eastAsia="zh-CN"/>
                    </w:rPr>
                    <w:t>3</w:t>
                  </w:r>
                  <w:r>
                    <w:rPr>
                      <w:rFonts w:hint="eastAsia"/>
                      <w:color w:val="auto"/>
                      <w:szCs w:val="20"/>
                    </w:rPr>
                    <w:t>000吨</w:t>
                  </w:r>
                </w:p>
              </w:tc>
              <w:tc>
                <w:tcPr>
                  <w:tcW w:w="2834" w:type="dxa"/>
                  <w:vAlign w:val="center"/>
                </w:tcPr>
                <w:p>
                  <w:pPr>
                    <w:pStyle w:val="42"/>
                    <w:rPr>
                      <w:color w:val="auto"/>
                      <w:szCs w:val="20"/>
                    </w:rPr>
                  </w:pPr>
                  <w:r>
                    <w:rPr>
                      <w:rFonts w:hint="eastAsia"/>
                      <w:color w:val="auto"/>
                    </w:rPr>
                    <w:t>直径40mm、高400mm</w:t>
                  </w:r>
                </w:p>
              </w:tc>
              <w:tc>
                <w:tcPr>
                  <w:tcW w:w="2986" w:type="dxa"/>
                  <w:vAlign w:val="center"/>
                </w:tcPr>
                <w:p>
                  <w:pPr>
                    <w:pStyle w:val="42"/>
                    <w:rPr>
                      <w:color w:val="auto"/>
                      <w:szCs w:val="20"/>
                    </w:rPr>
                  </w:pPr>
                  <w:r>
                    <w:rPr>
                      <w:rFonts w:hint="eastAsia"/>
                      <w:color w:val="auto"/>
                      <w:szCs w:val="20"/>
                    </w:rPr>
                    <w:t>——</w:t>
                  </w:r>
                </w:p>
              </w:tc>
            </w:tr>
          </w:tbl>
          <w:p>
            <w:pPr>
              <w:spacing w:line="360" w:lineRule="auto"/>
              <w:jc w:val="center"/>
              <w:textAlignment w:val="center"/>
              <w:rPr>
                <w:rFonts w:hint="eastAsia" w:ascii="Times New Roman" w:hAnsi="Times New Roman"/>
                <w:b/>
                <w:color w:val="auto"/>
                <w:szCs w:val="21"/>
                <w:u w:val="none"/>
              </w:rPr>
            </w:pPr>
          </w:p>
          <w:p>
            <w:pPr>
              <w:spacing w:line="360" w:lineRule="auto"/>
              <w:jc w:val="center"/>
              <w:textAlignment w:val="center"/>
              <w:rPr>
                <w:rFonts w:hint="eastAsia" w:ascii="Times New Roman" w:hAnsi="Times New Roman"/>
                <w:b/>
                <w:color w:val="auto"/>
                <w:szCs w:val="21"/>
                <w:u w:val="none"/>
              </w:rPr>
            </w:pPr>
            <w:r>
              <w:rPr>
                <w:rFonts w:hint="eastAsia" w:ascii="Times New Roman" w:hAnsi="Times New Roman"/>
                <w:b/>
                <w:color w:val="auto"/>
                <w:szCs w:val="21"/>
                <w:u w:val="none"/>
              </w:rPr>
              <w:t>表1-</w:t>
            </w:r>
            <w:r>
              <w:rPr>
                <w:rFonts w:hint="eastAsia"/>
                <w:b/>
                <w:color w:val="auto"/>
                <w:szCs w:val="21"/>
                <w:u w:val="none"/>
                <w:lang w:val="en-US" w:eastAsia="zh-CN"/>
              </w:rPr>
              <w:t>2</w:t>
            </w:r>
            <w:r>
              <w:rPr>
                <w:rFonts w:hint="eastAsia" w:ascii="Times New Roman" w:hAnsi="Times New Roman"/>
                <w:b/>
                <w:color w:val="auto"/>
                <w:szCs w:val="21"/>
                <w:u w:val="none"/>
              </w:rPr>
              <w:t>：建设项目建设内容一览表</w:t>
            </w:r>
          </w:p>
          <w:tbl>
            <w:tblPr>
              <w:tblStyle w:val="22"/>
              <w:tblW w:w="9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716"/>
              <w:gridCol w:w="5960"/>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322" w:type="dxa"/>
                  <w:gridSpan w:val="2"/>
                  <w:tcMar>
                    <w:top w:w="0" w:type="dxa"/>
                    <w:left w:w="0" w:type="dxa"/>
                    <w:right w:w="0" w:type="dxa"/>
                  </w:tcMar>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val="0"/>
                      <w:color w:val="auto"/>
                      <w:kern w:val="0"/>
                      <w:sz w:val="21"/>
                      <w:szCs w:val="21"/>
                    </w:rPr>
                  </w:pPr>
                  <w:r>
                    <w:rPr>
                      <w:rFonts w:hint="eastAsia" w:asciiTheme="minorEastAsia" w:hAnsiTheme="minorEastAsia" w:eastAsiaTheme="minorEastAsia" w:cstheme="minorEastAsia"/>
                      <w:b/>
                      <w:bCs w:val="0"/>
                      <w:color w:val="auto"/>
                      <w:kern w:val="0"/>
                      <w:sz w:val="21"/>
                      <w:szCs w:val="21"/>
                    </w:rPr>
                    <w:t>工程名称及类别</w:t>
                  </w:r>
                </w:p>
              </w:tc>
              <w:tc>
                <w:tcPr>
                  <w:tcW w:w="5960"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val="0"/>
                      <w:color w:val="auto"/>
                      <w:kern w:val="0"/>
                      <w:sz w:val="21"/>
                      <w:szCs w:val="21"/>
                    </w:rPr>
                  </w:pPr>
                  <w:r>
                    <w:rPr>
                      <w:rFonts w:hint="eastAsia" w:asciiTheme="minorEastAsia" w:hAnsiTheme="minorEastAsia" w:eastAsiaTheme="minorEastAsia" w:cstheme="minorEastAsia"/>
                      <w:b/>
                      <w:bCs w:val="0"/>
                      <w:color w:val="auto"/>
                      <w:kern w:val="0"/>
                      <w:sz w:val="21"/>
                      <w:szCs w:val="21"/>
                    </w:rPr>
                    <w:t>工程内容</w:t>
                  </w:r>
                  <w:r>
                    <w:rPr>
                      <w:rFonts w:hint="eastAsia" w:asciiTheme="minorEastAsia" w:hAnsiTheme="minorEastAsia" w:eastAsiaTheme="minorEastAsia" w:cstheme="minorEastAsia"/>
                      <w:b/>
                      <w:bCs w:val="0"/>
                      <w:color w:val="auto"/>
                      <w:kern w:val="0"/>
                      <w:sz w:val="21"/>
                      <w:szCs w:val="21"/>
                      <w:lang w:eastAsia="zh-CN"/>
                    </w:rPr>
                    <w:t>与</w:t>
                  </w:r>
                  <w:r>
                    <w:rPr>
                      <w:rFonts w:hint="eastAsia" w:asciiTheme="minorEastAsia" w:hAnsiTheme="minorEastAsia" w:eastAsiaTheme="minorEastAsia" w:cstheme="minorEastAsia"/>
                      <w:b/>
                      <w:bCs w:val="0"/>
                      <w:color w:val="auto"/>
                      <w:kern w:val="0"/>
                      <w:sz w:val="21"/>
                      <w:szCs w:val="21"/>
                    </w:rPr>
                    <w:t>规模</w:t>
                  </w:r>
                </w:p>
              </w:tc>
              <w:tc>
                <w:tcPr>
                  <w:tcW w:w="783"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val="0"/>
                      <w:color w:val="auto"/>
                      <w:kern w:val="0"/>
                      <w:sz w:val="21"/>
                      <w:szCs w:val="21"/>
                      <w:lang w:eastAsia="zh-CN"/>
                    </w:rPr>
                  </w:pPr>
                  <w:r>
                    <w:rPr>
                      <w:rFonts w:hint="eastAsia" w:asciiTheme="minorEastAsia" w:hAnsiTheme="minorEastAsia" w:eastAsiaTheme="minorEastAsia" w:cstheme="minorEastAsia"/>
                      <w:b/>
                      <w:bCs w:val="0"/>
                      <w:color w:val="auto"/>
                      <w:kern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06" w:type="dxa"/>
                  <w:vMerge w:val="restart"/>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主体工程</w:t>
                  </w: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val="0"/>
                      <w:bCs w:val="0"/>
                      <w:color w:val="auto"/>
                      <w:kern w:val="0"/>
                      <w:sz w:val="21"/>
                      <w:szCs w:val="21"/>
                      <w:u w:val="none"/>
                      <w:lang w:val="en-US" w:eastAsia="zh-CN"/>
                    </w:rPr>
                  </w:pPr>
                  <w:r>
                    <w:rPr>
                      <w:rFonts w:hint="eastAsia" w:asciiTheme="minorEastAsia" w:hAnsiTheme="minorEastAsia" w:eastAsiaTheme="minorEastAsia" w:cstheme="minorEastAsia"/>
                      <w:b w:val="0"/>
                      <w:bCs w:val="0"/>
                      <w:color w:val="auto"/>
                      <w:kern w:val="0"/>
                      <w:sz w:val="21"/>
                      <w:szCs w:val="21"/>
                      <w:u w:val="none"/>
                      <w:lang w:val="en-US" w:eastAsia="zh-CN"/>
                    </w:rPr>
                    <w:t>生产车间</w:t>
                  </w:r>
                </w:p>
              </w:tc>
              <w:tc>
                <w:tcPr>
                  <w:tcW w:w="5960" w:type="dxa"/>
                  <w:vAlign w:val="center"/>
                </w:tcPr>
                <w:p>
                  <w:pPr>
                    <w:keepNext w:val="0"/>
                    <w:keepLines w:val="0"/>
                    <w:suppressLineNumbers w:val="0"/>
                    <w:spacing w:before="0" w:beforeAutospacing="0" w:after="0" w:afterAutospacing="0"/>
                    <w:ind w:left="0" w:right="0"/>
                    <w:jc w:val="left"/>
                    <w:rPr>
                      <w:rFonts w:hint="default"/>
                      <w:b w:val="0"/>
                      <w:bCs w:val="0"/>
                      <w:color w:val="auto"/>
                      <w:sz w:val="21"/>
                      <w:szCs w:val="21"/>
                      <w:u w:val="none"/>
                      <w:lang w:val="en-US" w:eastAsia="zh-CN"/>
                    </w:rPr>
                  </w:pPr>
                  <w:r>
                    <w:rPr>
                      <w:rFonts w:hint="eastAsia"/>
                      <w:b w:val="0"/>
                      <w:bCs w:val="0"/>
                      <w:color w:val="auto"/>
                      <w:sz w:val="21"/>
                      <w:szCs w:val="21"/>
                      <w:u w:val="none"/>
                      <w:lang w:val="en-US" w:eastAsia="zh-CN"/>
                    </w:rPr>
                    <w:t>钢结构半封闭生产车间，总建筑面积约2600</w:t>
                  </w:r>
                  <w:r>
                    <w:rPr>
                      <w:rFonts w:hint="eastAsia"/>
                      <w:b w:val="0"/>
                      <w:bCs w:val="0"/>
                      <w:color w:val="auto"/>
                      <w:sz w:val="21"/>
                      <w:szCs w:val="21"/>
                      <w:u w:val="none"/>
                    </w:rPr>
                    <w:t>m</w:t>
                  </w:r>
                  <w:r>
                    <w:rPr>
                      <w:rFonts w:hint="eastAsia"/>
                      <w:b w:val="0"/>
                      <w:bCs w:val="0"/>
                      <w:color w:val="auto"/>
                      <w:sz w:val="21"/>
                      <w:szCs w:val="21"/>
                      <w:u w:val="none"/>
                      <w:vertAlign w:val="superscript"/>
                    </w:rPr>
                    <w:t>2</w:t>
                  </w:r>
                  <w:r>
                    <w:rPr>
                      <w:rFonts w:hint="eastAsia"/>
                      <w:b w:val="0"/>
                      <w:bCs w:val="0"/>
                      <w:color w:val="auto"/>
                      <w:sz w:val="21"/>
                      <w:szCs w:val="21"/>
                      <w:u w:val="none"/>
                      <w:lang w:eastAsia="zh-CN"/>
                    </w:rPr>
                    <w:t>。</w:t>
                  </w:r>
                  <w:r>
                    <w:rPr>
                      <w:rFonts w:hint="eastAsia"/>
                      <w:b w:val="0"/>
                      <w:bCs w:val="0"/>
                      <w:color w:val="auto"/>
                      <w:sz w:val="21"/>
                      <w:szCs w:val="21"/>
                      <w:u w:val="none"/>
                      <w:lang w:val="en-US" w:eastAsia="zh-CN"/>
                    </w:rPr>
                    <w:t>分成</w:t>
                  </w:r>
                  <w:r>
                    <w:rPr>
                      <w:rFonts w:hint="eastAsia"/>
                      <w:b w:val="0"/>
                      <w:bCs w:val="0"/>
                      <w:color w:val="auto"/>
                      <w:sz w:val="21"/>
                      <w:szCs w:val="21"/>
                      <w:u w:val="none"/>
                      <w:lang w:eastAsia="zh-CN"/>
                    </w:rPr>
                    <w:t>原料堆场、烘干、</w:t>
                  </w:r>
                  <w:r>
                    <w:rPr>
                      <w:rFonts w:hint="eastAsia"/>
                      <w:b w:val="0"/>
                      <w:bCs w:val="0"/>
                      <w:color w:val="auto"/>
                      <w:sz w:val="21"/>
                      <w:szCs w:val="21"/>
                      <w:u w:val="none"/>
                    </w:rPr>
                    <w:t>成型</w:t>
                  </w:r>
                  <w:r>
                    <w:rPr>
                      <w:rFonts w:hint="eastAsia"/>
                      <w:b w:val="0"/>
                      <w:bCs w:val="0"/>
                      <w:color w:val="auto"/>
                      <w:sz w:val="21"/>
                      <w:szCs w:val="21"/>
                      <w:u w:val="none"/>
                      <w:lang w:eastAsia="zh-CN"/>
                    </w:rPr>
                    <w:t>区、</w:t>
                  </w:r>
                  <w:r>
                    <w:rPr>
                      <w:rFonts w:hint="eastAsia" w:asciiTheme="minorEastAsia" w:hAnsiTheme="minorEastAsia" w:eastAsiaTheme="minorEastAsia" w:cstheme="minorEastAsia"/>
                      <w:b w:val="0"/>
                      <w:bCs w:val="0"/>
                      <w:color w:val="auto"/>
                      <w:kern w:val="0"/>
                      <w:sz w:val="21"/>
                      <w:szCs w:val="21"/>
                      <w:u w:val="none"/>
                    </w:rPr>
                    <w:t>炭化</w:t>
                  </w:r>
                  <w:r>
                    <w:rPr>
                      <w:rFonts w:hint="eastAsia" w:asciiTheme="minorEastAsia" w:hAnsiTheme="minorEastAsia" w:eastAsiaTheme="minorEastAsia" w:cstheme="minorEastAsia"/>
                      <w:b w:val="0"/>
                      <w:bCs w:val="0"/>
                      <w:color w:val="auto"/>
                      <w:kern w:val="0"/>
                      <w:sz w:val="21"/>
                      <w:szCs w:val="21"/>
                      <w:u w:val="none"/>
                      <w:lang w:eastAsia="zh-CN"/>
                    </w:rPr>
                    <w:t>区、</w:t>
                  </w:r>
                  <w:r>
                    <w:rPr>
                      <w:rFonts w:hint="eastAsia"/>
                      <w:b w:val="0"/>
                      <w:bCs w:val="0"/>
                      <w:color w:val="auto"/>
                      <w:sz w:val="21"/>
                      <w:szCs w:val="21"/>
                      <w:u w:val="none"/>
                      <w:lang w:eastAsia="zh-CN"/>
                    </w:rPr>
                    <w:t>半成品区</w:t>
                  </w:r>
                  <w:r>
                    <w:rPr>
                      <w:rFonts w:hint="eastAsia"/>
                      <w:b w:val="0"/>
                      <w:bCs w:val="0"/>
                      <w:color w:val="auto"/>
                      <w:sz w:val="21"/>
                      <w:szCs w:val="21"/>
                      <w:u w:val="none"/>
                      <w:lang w:val="en-US" w:eastAsia="zh-CN"/>
                    </w:rPr>
                    <w:t>等区域。</w:t>
                  </w:r>
                </w:p>
              </w:tc>
              <w:tc>
                <w:tcPr>
                  <w:tcW w:w="783" w:type="dxa"/>
                  <w:vAlign w:val="center"/>
                </w:tcPr>
                <w:p>
                  <w:pPr>
                    <w:keepNext w:val="0"/>
                    <w:keepLines w:val="0"/>
                    <w:suppressLineNumbers w:val="0"/>
                    <w:spacing w:before="0" w:beforeAutospacing="0" w:after="0" w:afterAutospacing="0"/>
                    <w:ind w:left="0" w:right="0"/>
                    <w:jc w:val="left"/>
                    <w:rPr>
                      <w:rFonts w:hint="eastAsia"/>
                      <w:b w:val="0"/>
                      <w:bCs w:val="0"/>
                      <w:color w:val="auto"/>
                      <w:sz w:val="21"/>
                      <w:szCs w:val="21"/>
                      <w:u w:val="none"/>
                      <w:lang w:val="en-US" w:eastAsia="zh-CN"/>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color w:val="auto"/>
                      <w:kern w:val="0"/>
                      <w:sz w:val="21"/>
                      <w:szCs w:val="21"/>
                      <w:highlight w:val="none"/>
                      <w:u w:val="none"/>
                    </w:rPr>
                  </w:pPr>
                  <w:r>
                    <w:rPr>
                      <w:rFonts w:hint="eastAsia"/>
                      <w:b w:val="0"/>
                      <w:bCs w:val="0"/>
                      <w:color w:val="auto"/>
                      <w:sz w:val="21"/>
                      <w:szCs w:val="21"/>
                      <w:highlight w:val="none"/>
                      <w:u w:val="none"/>
                      <w:lang w:eastAsia="zh-CN"/>
                    </w:rPr>
                    <w:t>烘干、</w:t>
                  </w:r>
                  <w:r>
                    <w:rPr>
                      <w:rFonts w:hint="eastAsia"/>
                      <w:b w:val="0"/>
                      <w:bCs w:val="0"/>
                      <w:color w:val="auto"/>
                      <w:sz w:val="21"/>
                      <w:szCs w:val="21"/>
                      <w:highlight w:val="none"/>
                      <w:u w:val="none"/>
                    </w:rPr>
                    <w:t>成型</w:t>
                  </w:r>
                  <w:r>
                    <w:rPr>
                      <w:rFonts w:hint="eastAsia"/>
                      <w:b w:val="0"/>
                      <w:bCs w:val="0"/>
                      <w:color w:val="auto"/>
                      <w:sz w:val="21"/>
                      <w:szCs w:val="21"/>
                      <w:highlight w:val="none"/>
                      <w:u w:val="none"/>
                      <w:lang w:eastAsia="zh-CN"/>
                    </w:rPr>
                    <w:t>区：</w:t>
                  </w:r>
                </w:p>
              </w:tc>
              <w:tc>
                <w:tcPr>
                  <w:tcW w:w="5960" w:type="dxa"/>
                  <w:vAlign w:val="center"/>
                </w:tcPr>
                <w:p>
                  <w:pPr>
                    <w:keepNext w:val="0"/>
                    <w:keepLines w:val="0"/>
                    <w:suppressLineNumbers w:val="0"/>
                    <w:spacing w:before="0" w:beforeAutospacing="0" w:after="0" w:afterAutospacing="0"/>
                    <w:ind w:left="0" w:right="0"/>
                    <w:jc w:val="left"/>
                    <w:rPr>
                      <w:rFonts w:hint="eastAsia"/>
                      <w:b w:val="0"/>
                      <w:bCs w:val="0"/>
                      <w:color w:val="auto"/>
                      <w:sz w:val="21"/>
                      <w:szCs w:val="21"/>
                      <w:highlight w:val="none"/>
                      <w:u w:val="none"/>
                      <w:lang w:eastAsia="zh-CN"/>
                    </w:rPr>
                  </w:pPr>
                  <w:r>
                    <w:rPr>
                      <w:rFonts w:hint="eastAsia"/>
                      <w:b w:val="0"/>
                      <w:bCs w:val="0"/>
                      <w:color w:val="auto"/>
                      <w:sz w:val="21"/>
                      <w:szCs w:val="21"/>
                      <w:highlight w:val="none"/>
                      <w:u w:val="none"/>
                    </w:rPr>
                    <w:t>位于</w:t>
                  </w:r>
                  <w:r>
                    <w:rPr>
                      <w:rFonts w:hint="eastAsia"/>
                      <w:b w:val="0"/>
                      <w:bCs w:val="0"/>
                      <w:color w:val="auto"/>
                      <w:sz w:val="21"/>
                      <w:szCs w:val="21"/>
                      <w:highlight w:val="none"/>
                      <w:u w:val="none"/>
                      <w:lang w:val="en-US" w:eastAsia="zh-CN"/>
                    </w:rPr>
                    <w:t>车间西南侧，</w:t>
                  </w:r>
                  <w:r>
                    <w:rPr>
                      <w:rFonts w:hint="eastAsia"/>
                      <w:b w:val="0"/>
                      <w:bCs w:val="0"/>
                      <w:color w:val="auto"/>
                      <w:sz w:val="21"/>
                      <w:szCs w:val="21"/>
                      <w:highlight w:val="none"/>
                      <w:u w:val="none"/>
                      <w:lang w:eastAsia="zh-CN"/>
                    </w:rPr>
                    <w:t>占地</w:t>
                  </w:r>
                  <w:r>
                    <w:rPr>
                      <w:rFonts w:hint="eastAsia"/>
                      <w:b w:val="0"/>
                      <w:bCs w:val="0"/>
                      <w:color w:val="auto"/>
                      <w:sz w:val="21"/>
                      <w:szCs w:val="21"/>
                      <w:highlight w:val="none"/>
                      <w:u w:val="none"/>
                    </w:rPr>
                    <w:t>面积</w:t>
                  </w:r>
                  <w:r>
                    <w:rPr>
                      <w:rFonts w:hint="eastAsia"/>
                      <w:b w:val="0"/>
                      <w:bCs w:val="0"/>
                      <w:color w:val="auto"/>
                      <w:sz w:val="21"/>
                      <w:szCs w:val="21"/>
                      <w:highlight w:val="none"/>
                      <w:u w:val="none"/>
                      <w:lang w:eastAsia="zh-CN"/>
                    </w:rPr>
                    <w:t>约</w:t>
                  </w:r>
                  <w:r>
                    <w:rPr>
                      <w:rFonts w:hint="eastAsia"/>
                      <w:b w:val="0"/>
                      <w:bCs w:val="0"/>
                      <w:color w:val="auto"/>
                      <w:sz w:val="21"/>
                      <w:szCs w:val="21"/>
                      <w:highlight w:val="none"/>
                      <w:u w:val="none"/>
                      <w:lang w:val="en-US" w:eastAsia="zh-CN"/>
                    </w:rPr>
                    <w:t xml:space="preserve"> 500 </w:t>
                  </w:r>
                  <w:r>
                    <w:rPr>
                      <w:rFonts w:hint="eastAsia"/>
                      <w:b w:val="0"/>
                      <w:bCs w:val="0"/>
                      <w:color w:val="auto"/>
                      <w:sz w:val="21"/>
                      <w:szCs w:val="21"/>
                      <w:highlight w:val="none"/>
                      <w:u w:val="none"/>
                    </w:rPr>
                    <w:t>m</w:t>
                  </w:r>
                  <w:r>
                    <w:rPr>
                      <w:rFonts w:hint="eastAsia"/>
                      <w:b w:val="0"/>
                      <w:bCs w:val="0"/>
                      <w:color w:val="auto"/>
                      <w:sz w:val="21"/>
                      <w:szCs w:val="21"/>
                      <w:highlight w:val="none"/>
                      <w:u w:val="none"/>
                      <w:vertAlign w:val="superscript"/>
                    </w:rPr>
                    <w:t>2</w:t>
                  </w:r>
                  <w:r>
                    <w:rPr>
                      <w:rFonts w:hint="eastAsia"/>
                      <w:b w:val="0"/>
                      <w:bCs w:val="0"/>
                      <w:color w:val="auto"/>
                      <w:sz w:val="21"/>
                      <w:szCs w:val="21"/>
                      <w:highlight w:val="none"/>
                      <w:u w:val="none"/>
                      <w:lang w:eastAsia="zh-CN"/>
                    </w:rPr>
                    <w:t>；</w:t>
                  </w:r>
                </w:p>
              </w:tc>
              <w:tc>
                <w:tcPr>
                  <w:tcW w:w="783" w:type="dxa"/>
                  <w:vAlign w:val="center"/>
                </w:tcPr>
                <w:p>
                  <w:pPr>
                    <w:keepNext w:val="0"/>
                    <w:keepLines w:val="0"/>
                    <w:suppressLineNumbers w:val="0"/>
                    <w:spacing w:before="0" w:beforeAutospacing="0" w:after="0" w:afterAutospacing="0"/>
                    <w:ind w:left="0" w:right="0"/>
                    <w:jc w:val="left"/>
                    <w:rPr>
                      <w:rFonts w:hint="eastAsia"/>
                      <w:b w:val="0"/>
                      <w:bCs w:val="0"/>
                      <w:color w:val="auto"/>
                      <w:sz w:val="21"/>
                      <w:szCs w:val="21"/>
                      <w:highlight w:val="none"/>
                      <w:u w:val="none"/>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color w:val="auto"/>
                      <w:kern w:val="0"/>
                      <w:sz w:val="21"/>
                      <w:szCs w:val="21"/>
                      <w:highlight w:val="none"/>
                      <w:u w:val="none"/>
                      <w:lang w:eastAsia="zh-CN"/>
                    </w:rPr>
                  </w:pPr>
                  <w:r>
                    <w:rPr>
                      <w:rFonts w:hint="eastAsia"/>
                      <w:b w:val="0"/>
                      <w:bCs w:val="0"/>
                      <w:color w:val="auto"/>
                      <w:sz w:val="21"/>
                      <w:szCs w:val="21"/>
                      <w:highlight w:val="none"/>
                      <w:u w:val="none"/>
                      <w:lang w:eastAsia="zh-CN"/>
                    </w:rPr>
                    <w:t>炭化窑区</w:t>
                  </w:r>
                </w:p>
              </w:tc>
              <w:tc>
                <w:tcPr>
                  <w:tcW w:w="5960" w:type="dxa"/>
                  <w:vAlign w:val="center"/>
                </w:tcPr>
                <w:p>
                  <w:pPr>
                    <w:keepNext w:val="0"/>
                    <w:keepLines w:val="0"/>
                    <w:suppressLineNumbers w:val="0"/>
                    <w:spacing w:before="0" w:beforeAutospacing="0" w:after="0" w:afterAutospacing="0"/>
                    <w:ind w:left="0" w:right="0"/>
                    <w:jc w:val="left"/>
                    <w:rPr>
                      <w:rFonts w:hint="eastAsia" w:eastAsia="宋体" w:asciiTheme="minorEastAsia" w:hAnsiTheme="minorEastAsia" w:cstheme="minorEastAsia"/>
                      <w:b w:val="0"/>
                      <w:bCs w:val="0"/>
                      <w:color w:val="auto"/>
                      <w:kern w:val="0"/>
                      <w:sz w:val="21"/>
                      <w:szCs w:val="21"/>
                      <w:highlight w:val="none"/>
                      <w:u w:val="none"/>
                      <w:lang w:eastAsia="zh-CN"/>
                    </w:rPr>
                  </w:pPr>
                  <w:r>
                    <w:rPr>
                      <w:rFonts w:hint="eastAsia"/>
                      <w:b w:val="0"/>
                      <w:bCs w:val="0"/>
                      <w:color w:val="auto"/>
                      <w:sz w:val="21"/>
                      <w:szCs w:val="21"/>
                      <w:highlight w:val="none"/>
                      <w:u w:val="none"/>
                    </w:rPr>
                    <w:t>位于</w:t>
                  </w:r>
                  <w:r>
                    <w:rPr>
                      <w:rFonts w:hint="eastAsia"/>
                      <w:b w:val="0"/>
                      <w:bCs w:val="0"/>
                      <w:color w:val="auto"/>
                      <w:sz w:val="21"/>
                      <w:szCs w:val="21"/>
                      <w:highlight w:val="none"/>
                      <w:u w:val="none"/>
                      <w:lang w:val="en-US" w:eastAsia="zh-CN"/>
                    </w:rPr>
                    <w:t>车间南侧中部，</w:t>
                  </w:r>
                  <w:r>
                    <w:rPr>
                      <w:rFonts w:hint="eastAsia"/>
                      <w:b w:val="0"/>
                      <w:bCs w:val="0"/>
                      <w:color w:val="auto"/>
                      <w:sz w:val="21"/>
                      <w:szCs w:val="21"/>
                      <w:highlight w:val="none"/>
                      <w:u w:val="none"/>
                      <w:lang w:eastAsia="zh-CN"/>
                    </w:rPr>
                    <w:t>占地</w:t>
                  </w:r>
                  <w:r>
                    <w:rPr>
                      <w:rFonts w:hint="eastAsia"/>
                      <w:b w:val="0"/>
                      <w:bCs w:val="0"/>
                      <w:color w:val="auto"/>
                      <w:sz w:val="21"/>
                      <w:szCs w:val="21"/>
                      <w:highlight w:val="none"/>
                      <w:u w:val="none"/>
                    </w:rPr>
                    <w:t>面积</w:t>
                  </w:r>
                  <w:r>
                    <w:rPr>
                      <w:rFonts w:hint="eastAsia"/>
                      <w:b w:val="0"/>
                      <w:bCs w:val="0"/>
                      <w:color w:val="auto"/>
                      <w:sz w:val="21"/>
                      <w:szCs w:val="21"/>
                      <w:highlight w:val="none"/>
                      <w:u w:val="none"/>
                      <w:lang w:eastAsia="zh-CN"/>
                    </w:rPr>
                    <w:t>约</w:t>
                  </w:r>
                  <w:r>
                    <w:rPr>
                      <w:rFonts w:hint="eastAsia"/>
                      <w:b w:val="0"/>
                      <w:bCs w:val="0"/>
                      <w:color w:val="auto"/>
                      <w:sz w:val="21"/>
                      <w:szCs w:val="21"/>
                      <w:highlight w:val="none"/>
                      <w:u w:val="none"/>
                      <w:lang w:val="en-US" w:eastAsia="zh-CN"/>
                    </w:rPr>
                    <w:t xml:space="preserve"> 500 </w:t>
                  </w:r>
                  <w:r>
                    <w:rPr>
                      <w:rFonts w:hint="eastAsia"/>
                      <w:b w:val="0"/>
                      <w:bCs w:val="0"/>
                      <w:color w:val="auto"/>
                      <w:sz w:val="21"/>
                      <w:szCs w:val="21"/>
                      <w:highlight w:val="none"/>
                      <w:u w:val="none"/>
                    </w:rPr>
                    <w:t>m</w:t>
                  </w:r>
                  <w:r>
                    <w:rPr>
                      <w:rFonts w:hint="eastAsia"/>
                      <w:b w:val="0"/>
                      <w:bCs w:val="0"/>
                      <w:color w:val="auto"/>
                      <w:sz w:val="21"/>
                      <w:szCs w:val="21"/>
                      <w:highlight w:val="none"/>
                      <w:u w:val="none"/>
                      <w:vertAlign w:val="superscript"/>
                    </w:rPr>
                    <w:t>2</w:t>
                  </w:r>
                  <w:r>
                    <w:rPr>
                      <w:rFonts w:hint="eastAsia"/>
                      <w:b w:val="0"/>
                      <w:bCs w:val="0"/>
                      <w:color w:val="auto"/>
                      <w:sz w:val="21"/>
                      <w:szCs w:val="21"/>
                      <w:highlight w:val="none"/>
                      <w:u w:val="none"/>
                      <w:lang w:eastAsia="zh-CN"/>
                    </w:rPr>
                    <w:t>，</w:t>
                  </w:r>
                  <w:r>
                    <w:rPr>
                      <w:rFonts w:hint="eastAsia"/>
                      <w:b w:val="0"/>
                      <w:bCs w:val="0"/>
                      <w:color w:val="auto"/>
                      <w:sz w:val="21"/>
                      <w:szCs w:val="21"/>
                      <w:highlight w:val="none"/>
                      <w:u w:val="none"/>
                    </w:rPr>
                    <w:t>内置</w:t>
                  </w:r>
                  <w:r>
                    <w:rPr>
                      <w:rFonts w:hint="eastAsia"/>
                      <w:b w:val="0"/>
                      <w:bCs w:val="0"/>
                      <w:color w:val="auto"/>
                      <w:sz w:val="21"/>
                      <w:szCs w:val="21"/>
                      <w:highlight w:val="none"/>
                      <w:u w:val="none"/>
                      <w:lang w:val="en-US" w:eastAsia="zh-CN"/>
                    </w:rPr>
                    <w:t>36</w:t>
                  </w:r>
                  <w:r>
                    <w:rPr>
                      <w:rFonts w:hint="eastAsia"/>
                      <w:b w:val="0"/>
                      <w:bCs w:val="0"/>
                      <w:color w:val="auto"/>
                      <w:sz w:val="21"/>
                      <w:szCs w:val="21"/>
                      <w:highlight w:val="none"/>
                      <w:u w:val="none"/>
                    </w:rPr>
                    <w:t>座</w:t>
                  </w:r>
                  <w:r>
                    <w:rPr>
                      <w:rFonts w:hint="eastAsia"/>
                      <w:b w:val="0"/>
                      <w:bCs w:val="0"/>
                      <w:color w:val="auto"/>
                      <w:sz w:val="21"/>
                      <w:szCs w:val="21"/>
                      <w:highlight w:val="none"/>
                      <w:u w:val="none"/>
                      <w:lang w:eastAsia="zh-CN"/>
                    </w:rPr>
                    <w:t>地埋式炭化窑。</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b w:val="0"/>
                      <w:bCs w:val="0"/>
                      <w:color w:val="auto"/>
                      <w:sz w:val="21"/>
                      <w:szCs w:val="21"/>
                      <w:highlight w:val="none"/>
                      <w:u w:val="none"/>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left"/>
                    <w:rPr>
                      <w:rFonts w:hint="default"/>
                      <w:color w:val="auto"/>
                      <w:szCs w:val="20"/>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default"/>
                      <w:b w:val="0"/>
                      <w:bCs w:val="0"/>
                      <w:color w:val="auto"/>
                      <w:szCs w:val="20"/>
                      <w:highlight w:val="none"/>
                      <w:u w:val="none"/>
                    </w:rPr>
                  </w:pPr>
                  <w:r>
                    <w:rPr>
                      <w:rFonts w:hint="eastAsia"/>
                      <w:b w:val="0"/>
                      <w:bCs w:val="0"/>
                      <w:color w:val="auto"/>
                      <w:sz w:val="21"/>
                      <w:szCs w:val="21"/>
                      <w:highlight w:val="none"/>
                      <w:u w:val="none"/>
                      <w:lang w:eastAsia="zh-CN"/>
                    </w:rPr>
                    <w:t>半成品区</w:t>
                  </w:r>
                </w:p>
              </w:tc>
              <w:tc>
                <w:tcPr>
                  <w:tcW w:w="5960" w:type="dxa"/>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kern w:val="0"/>
                      <w:sz w:val="21"/>
                      <w:szCs w:val="21"/>
                      <w:highlight w:val="none"/>
                      <w:u w:val="none"/>
                      <w:lang w:val="en-US" w:eastAsia="zh-CN"/>
                    </w:rPr>
                  </w:pPr>
                  <w:r>
                    <w:rPr>
                      <w:rFonts w:hint="eastAsia"/>
                      <w:b w:val="0"/>
                      <w:bCs w:val="0"/>
                      <w:color w:val="auto"/>
                      <w:sz w:val="21"/>
                      <w:szCs w:val="21"/>
                      <w:highlight w:val="none"/>
                      <w:u w:val="none"/>
                    </w:rPr>
                    <w:t>位于</w:t>
                  </w:r>
                  <w:r>
                    <w:rPr>
                      <w:rFonts w:hint="eastAsia"/>
                      <w:b w:val="0"/>
                      <w:bCs w:val="0"/>
                      <w:color w:val="auto"/>
                      <w:sz w:val="21"/>
                      <w:szCs w:val="21"/>
                      <w:highlight w:val="none"/>
                      <w:u w:val="none"/>
                      <w:lang w:eastAsia="zh-CN"/>
                    </w:rPr>
                    <w:t>炭化窑区</w:t>
                  </w:r>
                  <w:r>
                    <w:rPr>
                      <w:rFonts w:hint="eastAsia"/>
                      <w:b w:val="0"/>
                      <w:bCs w:val="0"/>
                      <w:color w:val="auto"/>
                      <w:sz w:val="21"/>
                      <w:szCs w:val="21"/>
                      <w:highlight w:val="none"/>
                      <w:u w:val="none"/>
                      <w:lang w:val="en-US" w:eastAsia="zh-CN"/>
                    </w:rPr>
                    <w:t>东侧</w:t>
                  </w:r>
                  <w:r>
                    <w:rPr>
                      <w:rFonts w:hint="eastAsia"/>
                      <w:b w:val="0"/>
                      <w:bCs w:val="0"/>
                      <w:color w:val="auto"/>
                      <w:sz w:val="21"/>
                      <w:szCs w:val="21"/>
                      <w:highlight w:val="none"/>
                      <w:u w:val="none"/>
                      <w:lang w:eastAsia="zh-CN"/>
                    </w:rPr>
                    <w:t>，占地</w:t>
                  </w:r>
                  <w:r>
                    <w:rPr>
                      <w:rFonts w:hint="eastAsia"/>
                      <w:b w:val="0"/>
                      <w:bCs w:val="0"/>
                      <w:color w:val="auto"/>
                      <w:sz w:val="21"/>
                      <w:szCs w:val="21"/>
                      <w:highlight w:val="none"/>
                      <w:u w:val="none"/>
                    </w:rPr>
                    <w:t>面积</w:t>
                  </w:r>
                  <w:r>
                    <w:rPr>
                      <w:rFonts w:hint="eastAsia"/>
                      <w:b w:val="0"/>
                      <w:bCs w:val="0"/>
                      <w:color w:val="auto"/>
                      <w:sz w:val="21"/>
                      <w:szCs w:val="21"/>
                      <w:highlight w:val="none"/>
                      <w:u w:val="none"/>
                      <w:lang w:eastAsia="zh-CN"/>
                    </w:rPr>
                    <w:t>约</w:t>
                  </w:r>
                  <w:r>
                    <w:rPr>
                      <w:rFonts w:hint="eastAsia"/>
                      <w:b w:val="0"/>
                      <w:bCs w:val="0"/>
                      <w:color w:val="auto"/>
                      <w:sz w:val="21"/>
                      <w:szCs w:val="21"/>
                      <w:highlight w:val="none"/>
                      <w:u w:val="none"/>
                      <w:lang w:val="en-US" w:eastAsia="zh-CN"/>
                    </w:rPr>
                    <w:t>120</w:t>
                  </w:r>
                  <w:r>
                    <w:rPr>
                      <w:rFonts w:hint="eastAsia"/>
                      <w:b w:val="0"/>
                      <w:bCs w:val="0"/>
                      <w:color w:val="auto"/>
                      <w:sz w:val="21"/>
                      <w:szCs w:val="21"/>
                      <w:highlight w:val="none"/>
                      <w:u w:val="none"/>
                    </w:rPr>
                    <w:t>m</w:t>
                  </w:r>
                  <w:r>
                    <w:rPr>
                      <w:rFonts w:hint="eastAsia"/>
                      <w:b w:val="0"/>
                      <w:bCs w:val="0"/>
                      <w:color w:val="auto"/>
                      <w:sz w:val="21"/>
                      <w:szCs w:val="21"/>
                      <w:highlight w:val="none"/>
                      <w:u w:val="none"/>
                      <w:vertAlign w:val="superscript"/>
                    </w:rPr>
                    <w:t>2</w:t>
                  </w:r>
                  <w:r>
                    <w:rPr>
                      <w:rFonts w:hint="eastAsia"/>
                      <w:b w:val="0"/>
                      <w:bCs w:val="0"/>
                      <w:color w:val="auto"/>
                      <w:sz w:val="21"/>
                      <w:szCs w:val="21"/>
                      <w:highlight w:val="none"/>
                      <w:u w:val="none"/>
                    </w:rPr>
                    <w:t>，用于</w:t>
                  </w:r>
                  <w:r>
                    <w:rPr>
                      <w:rFonts w:hint="eastAsia"/>
                      <w:b w:val="0"/>
                      <w:bCs w:val="0"/>
                      <w:color w:val="auto"/>
                      <w:sz w:val="21"/>
                      <w:szCs w:val="21"/>
                      <w:highlight w:val="none"/>
                      <w:u w:val="none"/>
                      <w:lang w:eastAsia="zh-CN"/>
                    </w:rPr>
                    <w:t>半</w:t>
                  </w:r>
                  <w:r>
                    <w:rPr>
                      <w:rFonts w:hint="eastAsia"/>
                      <w:b w:val="0"/>
                      <w:bCs w:val="0"/>
                      <w:color w:val="auto"/>
                      <w:sz w:val="21"/>
                      <w:szCs w:val="21"/>
                      <w:highlight w:val="none"/>
                      <w:u w:val="none"/>
                    </w:rPr>
                    <w:t>成品</w:t>
                  </w:r>
                  <w:r>
                    <w:rPr>
                      <w:rFonts w:hint="eastAsia"/>
                      <w:b w:val="0"/>
                      <w:bCs w:val="0"/>
                      <w:color w:val="auto"/>
                      <w:sz w:val="21"/>
                      <w:szCs w:val="21"/>
                      <w:highlight w:val="none"/>
                      <w:u w:val="none"/>
                      <w:lang w:val="en-US" w:eastAsia="zh-CN"/>
                    </w:rPr>
                    <w:t>暂存区与包装区</w:t>
                  </w:r>
                  <w:r>
                    <w:rPr>
                      <w:rFonts w:hint="eastAsia"/>
                      <w:b w:val="0"/>
                      <w:bCs w:val="0"/>
                      <w:color w:val="auto"/>
                      <w:sz w:val="21"/>
                      <w:szCs w:val="21"/>
                      <w:highlight w:val="none"/>
                      <w:u w:val="none"/>
                    </w:rPr>
                    <w:t>。</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b w:val="0"/>
                      <w:bCs w:val="0"/>
                      <w:color w:val="auto"/>
                      <w:sz w:val="21"/>
                      <w:szCs w:val="21"/>
                      <w:highlight w:val="none"/>
                      <w:u w:val="none"/>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06" w:type="dxa"/>
                  <w:vMerge w:val="restart"/>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储辅</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工程</w:t>
                  </w: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rPr>
                    <w:t>办公</w:t>
                  </w:r>
                  <w:r>
                    <w:rPr>
                      <w:rFonts w:hint="eastAsia" w:asciiTheme="minorEastAsia" w:hAnsiTheme="minorEastAsia" w:eastAsiaTheme="minorEastAsia" w:cstheme="minorEastAsia"/>
                      <w:color w:val="auto"/>
                      <w:kern w:val="0"/>
                      <w:sz w:val="21"/>
                      <w:szCs w:val="21"/>
                      <w:lang w:val="en-US" w:eastAsia="zh-CN"/>
                    </w:rPr>
                    <w:t>生活区</w:t>
                  </w:r>
                </w:p>
              </w:tc>
              <w:tc>
                <w:tcPr>
                  <w:tcW w:w="5960" w:type="dxa"/>
                  <w:vAlign w:val="center"/>
                </w:tcPr>
                <w:p>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位于</w:t>
                  </w:r>
                  <w:r>
                    <w:rPr>
                      <w:rFonts w:hint="eastAsia" w:asciiTheme="minorEastAsia" w:hAnsiTheme="minorEastAsia" w:eastAsiaTheme="minorEastAsia" w:cstheme="minorEastAsia"/>
                      <w:color w:val="auto"/>
                      <w:kern w:val="0"/>
                      <w:sz w:val="21"/>
                      <w:szCs w:val="21"/>
                      <w:lang w:val="en-US" w:eastAsia="zh-CN"/>
                    </w:rPr>
                    <w:t>厂区东侧厂区出入口左侧，上下2层钢结构，</w:t>
                  </w:r>
                  <w:r>
                    <w:rPr>
                      <w:rFonts w:hint="eastAsia" w:asciiTheme="minorEastAsia" w:hAnsiTheme="minorEastAsia" w:eastAsiaTheme="minorEastAsia" w:cstheme="minorEastAsia"/>
                      <w:color w:val="auto"/>
                      <w:kern w:val="0"/>
                      <w:sz w:val="21"/>
                      <w:szCs w:val="21"/>
                    </w:rPr>
                    <w:t>建筑面积</w:t>
                  </w:r>
                  <w:r>
                    <w:rPr>
                      <w:rFonts w:hint="eastAsia" w:asciiTheme="minorEastAsia" w:hAnsiTheme="minorEastAsia" w:eastAsiaTheme="minorEastAsia" w:cstheme="minorEastAsia"/>
                      <w:color w:val="auto"/>
                      <w:kern w:val="0"/>
                      <w:sz w:val="21"/>
                      <w:szCs w:val="21"/>
                      <w:lang w:val="en-US" w:eastAsia="zh-CN"/>
                    </w:rPr>
                    <w:t>共</w:t>
                  </w:r>
                  <w:r>
                    <w:rPr>
                      <w:rFonts w:hint="eastAsia" w:asciiTheme="minorEastAsia" w:hAnsiTheme="minorEastAsia" w:eastAsiaTheme="minorEastAsia" w:cstheme="minorEastAsia"/>
                      <w:color w:val="auto"/>
                      <w:kern w:val="0"/>
                      <w:sz w:val="21"/>
                      <w:szCs w:val="21"/>
                    </w:rPr>
                    <w:t>约</w:t>
                  </w:r>
                  <w:r>
                    <w:rPr>
                      <w:rFonts w:hint="eastAsia" w:asciiTheme="minorEastAsia" w:hAnsiTheme="minorEastAsia" w:eastAsiaTheme="minorEastAsia" w:cstheme="minorEastAsia"/>
                      <w:color w:val="auto"/>
                      <w:kern w:val="0"/>
                      <w:sz w:val="21"/>
                      <w:szCs w:val="21"/>
                      <w:lang w:val="en-US" w:eastAsia="zh-CN"/>
                    </w:rPr>
                    <w:t>15</w:t>
                  </w:r>
                  <w:r>
                    <w:rPr>
                      <w:rFonts w:hint="eastAsia" w:asciiTheme="minorEastAsia" w:hAnsiTheme="minorEastAsia" w:eastAsiaTheme="minorEastAsia" w:cstheme="minorEastAsia"/>
                      <w:color w:val="auto"/>
                      <w:kern w:val="0"/>
                      <w:sz w:val="21"/>
                      <w:szCs w:val="21"/>
                    </w:rPr>
                    <w:t>0m</w:t>
                  </w:r>
                  <w:r>
                    <w:rPr>
                      <w:rFonts w:hint="eastAsia" w:asciiTheme="minorEastAsia" w:hAnsiTheme="minorEastAsia" w:eastAsiaTheme="minorEastAsia" w:cstheme="minorEastAsia"/>
                      <w:color w:val="auto"/>
                      <w:kern w:val="0"/>
                      <w:sz w:val="21"/>
                      <w:szCs w:val="21"/>
                      <w:vertAlign w:val="superscript"/>
                    </w:rPr>
                    <w:t>2</w:t>
                  </w:r>
                  <w:r>
                    <w:rPr>
                      <w:rFonts w:hint="eastAsia" w:asciiTheme="minorEastAsia" w:hAnsiTheme="minorEastAsia" w:eastAsiaTheme="minorEastAsia" w:cstheme="minorEastAsia"/>
                      <w:color w:val="auto"/>
                      <w:kern w:val="0"/>
                      <w:sz w:val="21"/>
                      <w:szCs w:val="21"/>
                      <w:lang w:val="en-US" w:eastAsia="zh-CN"/>
                    </w:rPr>
                    <w:t>。含办公室、员工宿舍、食堂。</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auto"/>
                      <w:kern w:val="0"/>
                      <w:sz w:val="21"/>
                      <w:szCs w:val="21"/>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eastAsia="zh-CN"/>
                    </w:rPr>
                    <w:t>原料堆场</w:t>
                  </w:r>
                </w:p>
              </w:tc>
              <w:tc>
                <w:tcPr>
                  <w:tcW w:w="5960" w:type="dxa"/>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位于</w:t>
                  </w:r>
                  <w:r>
                    <w:rPr>
                      <w:rFonts w:hint="eastAsia" w:asciiTheme="minorEastAsia" w:hAnsiTheme="minorEastAsia" w:eastAsiaTheme="minorEastAsia" w:cstheme="minorEastAsia"/>
                      <w:b w:val="0"/>
                      <w:bCs w:val="0"/>
                      <w:color w:val="auto"/>
                      <w:kern w:val="0"/>
                      <w:sz w:val="21"/>
                      <w:szCs w:val="21"/>
                      <w:u w:val="none"/>
                      <w:lang w:val="en-US" w:eastAsia="zh-CN"/>
                    </w:rPr>
                    <w:t>生产车间西</w:t>
                  </w:r>
                  <w:r>
                    <w:rPr>
                      <w:rFonts w:hint="eastAsia"/>
                      <w:b w:val="0"/>
                      <w:bCs w:val="0"/>
                      <w:color w:val="auto"/>
                      <w:sz w:val="21"/>
                      <w:szCs w:val="21"/>
                      <w:highlight w:val="none"/>
                      <w:u w:val="none"/>
                      <w:lang w:val="en-US" w:eastAsia="zh-CN"/>
                    </w:rPr>
                    <w:t>北侧，</w:t>
                  </w:r>
                  <w:r>
                    <w:rPr>
                      <w:rFonts w:hint="eastAsia"/>
                      <w:b w:val="0"/>
                      <w:bCs w:val="0"/>
                      <w:color w:val="auto"/>
                      <w:sz w:val="21"/>
                      <w:szCs w:val="21"/>
                      <w:highlight w:val="none"/>
                      <w:u w:val="none"/>
                      <w:lang w:eastAsia="zh-CN"/>
                    </w:rPr>
                    <w:t>占地</w:t>
                  </w:r>
                  <w:r>
                    <w:rPr>
                      <w:rFonts w:hint="eastAsia"/>
                      <w:b w:val="0"/>
                      <w:bCs w:val="0"/>
                      <w:color w:val="auto"/>
                      <w:sz w:val="21"/>
                      <w:szCs w:val="21"/>
                      <w:highlight w:val="none"/>
                      <w:u w:val="none"/>
                    </w:rPr>
                    <w:t>面积</w:t>
                  </w:r>
                  <w:r>
                    <w:rPr>
                      <w:rFonts w:hint="eastAsia"/>
                      <w:b w:val="0"/>
                      <w:bCs w:val="0"/>
                      <w:color w:val="auto"/>
                      <w:sz w:val="21"/>
                      <w:szCs w:val="21"/>
                      <w:highlight w:val="none"/>
                      <w:u w:val="none"/>
                      <w:lang w:eastAsia="zh-CN"/>
                    </w:rPr>
                    <w:t>约</w:t>
                  </w:r>
                  <w:r>
                    <w:rPr>
                      <w:rFonts w:hint="eastAsia"/>
                      <w:b w:val="0"/>
                      <w:bCs w:val="0"/>
                      <w:color w:val="auto"/>
                      <w:sz w:val="21"/>
                      <w:szCs w:val="21"/>
                      <w:highlight w:val="none"/>
                      <w:u w:val="none"/>
                      <w:lang w:val="en-US" w:eastAsia="zh-CN"/>
                    </w:rPr>
                    <w:t xml:space="preserve">500 </w:t>
                  </w:r>
                  <w:r>
                    <w:rPr>
                      <w:rFonts w:hint="eastAsia"/>
                      <w:b w:val="0"/>
                      <w:bCs w:val="0"/>
                      <w:color w:val="auto"/>
                      <w:sz w:val="21"/>
                      <w:szCs w:val="21"/>
                      <w:highlight w:val="none"/>
                      <w:u w:val="none"/>
                    </w:rPr>
                    <w:t>m</w:t>
                  </w:r>
                  <w:r>
                    <w:rPr>
                      <w:rFonts w:hint="eastAsia"/>
                      <w:b w:val="0"/>
                      <w:bCs w:val="0"/>
                      <w:color w:val="auto"/>
                      <w:sz w:val="21"/>
                      <w:szCs w:val="21"/>
                      <w:highlight w:val="none"/>
                      <w:u w:val="none"/>
                      <w:vertAlign w:val="superscript"/>
                    </w:rPr>
                    <w:t>2</w:t>
                  </w:r>
                  <w:r>
                    <w:rPr>
                      <w:rFonts w:hint="eastAsia"/>
                      <w:b w:val="0"/>
                      <w:bCs w:val="0"/>
                      <w:color w:val="auto"/>
                      <w:sz w:val="21"/>
                      <w:szCs w:val="21"/>
                      <w:highlight w:val="none"/>
                      <w:u w:val="none"/>
                      <w:lang w:eastAsia="zh-CN"/>
                    </w:rPr>
                    <w:t>。</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auto"/>
                      <w:kern w:val="0"/>
                      <w:sz w:val="21"/>
                      <w:szCs w:val="21"/>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lang w:eastAsia="zh-CN"/>
                    </w:rPr>
                    <w:t>燃料堆场</w:t>
                  </w:r>
                </w:p>
              </w:tc>
              <w:tc>
                <w:tcPr>
                  <w:tcW w:w="5960" w:type="dxa"/>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位于</w:t>
                  </w:r>
                  <w:r>
                    <w:rPr>
                      <w:rFonts w:hint="eastAsia" w:asciiTheme="minorEastAsia" w:hAnsiTheme="minorEastAsia" w:eastAsiaTheme="minorEastAsia" w:cstheme="minorEastAsia"/>
                      <w:b w:val="0"/>
                      <w:bCs w:val="0"/>
                      <w:color w:val="auto"/>
                      <w:kern w:val="0"/>
                      <w:sz w:val="21"/>
                      <w:szCs w:val="21"/>
                      <w:u w:val="none"/>
                      <w:lang w:val="en-US" w:eastAsia="zh-CN"/>
                    </w:rPr>
                    <w:t>原料堆场东</w:t>
                  </w:r>
                  <w:r>
                    <w:rPr>
                      <w:rFonts w:hint="eastAsia"/>
                      <w:b w:val="0"/>
                      <w:bCs w:val="0"/>
                      <w:color w:val="auto"/>
                      <w:sz w:val="21"/>
                      <w:szCs w:val="21"/>
                      <w:highlight w:val="none"/>
                      <w:u w:val="none"/>
                      <w:lang w:val="en-US" w:eastAsia="zh-CN"/>
                    </w:rPr>
                    <w:t>侧，</w:t>
                  </w:r>
                  <w:r>
                    <w:rPr>
                      <w:rFonts w:hint="eastAsia"/>
                      <w:b w:val="0"/>
                      <w:bCs w:val="0"/>
                      <w:color w:val="auto"/>
                      <w:sz w:val="21"/>
                      <w:szCs w:val="21"/>
                      <w:highlight w:val="none"/>
                      <w:u w:val="none"/>
                      <w:lang w:eastAsia="zh-CN"/>
                    </w:rPr>
                    <w:t>占地</w:t>
                  </w:r>
                  <w:r>
                    <w:rPr>
                      <w:rFonts w:hint="eastAsia"/>
                      <w:b w:val="0"/>
                      <w:bCs w:val="0"/>
                      <w:color w:val="auto"/>
                      <w:sz w:val="21"/>
                      <w:szCs w:val="21"/>
                      <w:highlight w:val="none"/>
                      <w:u w:val="none"/>
                    </w:rPr>
                    <w:t>面积</w:t>
                  </w:r>
                  <w:r>
                    <w:rPr>
                      <w:rFonts w:hint="eastAsia"/>
                      <w:b w:val="0"/>
                      <w:bCs w:val="0"/>
                      <w:color w:val="auto"/>
                      <w:sz w:val="21"/>
                      <w:szCs w:val="21"/>
                      <w:highlight w:val="none"/>
                      <w:u w:val="none"/>
                      <w:lang w:eastAsia="zh-CN"/>
                    </w:rPr>
                    <w:t>约</w:t>
                  </w:r>
                  <w:r>
                    <w:rPr>
                      <w:rFonts w:hint="eastAsia"/>
                      <w:b w:val="0"/>
                      <w:bCs w:val="0"/>
                      <w:color w:val="auto"/>
                      <w:sz w:val="21"/>
                      <w:szCs w:val="21"/>
                      <w:highlight w:val="none"/>
                      <w:u w:val="none"/>
                      <w:lang w:val="en-US" w:eastAsia="zh-CN"/>
                    </w:rPr>
                    <w:t xml:space="preserve">500 </w:t>
                  </w:r>
                  <w:r>
                    <w:rPr>
                      <w:rFonts w:hint="eastAsia"/>
                      <w:b w:val="0"/>
                      <w:bCs w:val="0"/>
                      <w:color w:val="auto"/>
                      <w:sz w:val="21"/>
                      <w:szCs w:val="21"/>
                      <w:highlight w:val="none"/>
                      <w:u w:val="none"/>
                    </w:rPr>
                    <w:t>m</w:t>
                  </w:r>
                  <w:r>
                    <w:rPr>
                      <w:rFonts w:hint="eastAsia"/>
                      <w:b w:val="0"/>
                      <w:bCs w:val="0"/>
                      <w:color w:val="auto"/>
                      <w:sz w:val="21"/>
                      <w:szCs w:val="21"/>
                      <w:highlight w:val="none"/>
                      <w:u w:val="none"/>
                      <w:vertAlign w:val="superscript"/>
                    </w:rPr>
                    <w:t>2</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auto"/>
                      <w:kern w:val="0"/>
                      <w:sz w:val="21"/>
                      <w:szCs w:val="21"/>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地磅房</w:t>
                  </w:r>
                </w:p>
              </w:tc>
              <w:tc>
                <w:tcPr>
                  <w:tcW w:w="5960" w:type="dxa"/>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位于</w:t>
                  </w:r>
                  <w:r>
                    <w:rPr>
                      <w:rFonts w:hint="eastAsia" w:asciiTheme="minorEastAsia" w:hAnsiTheme="minorEastAsia" w:eastAsiaTheme="minorEastAsia" w:cstheme="minorEastAsia"/>
                      <w:color w:val="auto"/>
                      <w:kern w:val="0"/>
                      <w:sz w:val="21"/>
                      <w:szCs w:val="21"/>
                      <w:lang w:val="en-US" w:eastAsia="zh-CN"/>
                    </w:rPr>
                    <w:t>厂区东侧厂区出入口右侧，占地</w:t>
                  </w:r>
                  <w:r>
                    <w:rPr>
                      <w:rFonts w:hint="eastAsia" w:asciiTheme="minorEastAsia" w:hAnsiTheme="minorEastAsia" w:eastAsiaTheme="minorEastAsia" w:cstheme="minorEastAsia"/>
                      <w:color w:val="auto"/>
                      <w:kern w:val="0"/>
                      <w:sz w:val="21"/>
                      <w:szCs w:val="21"/>
                    </w:rPr>
                    <w:t>面积</w:t>
                  </w:r>
                  <w:r>
                    <w:rPr>
                      <w:rFonts w:hint="default" w:ascii="Times New Roman" w:hAnsi="Times New Roman" w:cs="Times New Roman" w:eastAsiaTheme="minorEastAsia"/>
                      <w:color w:val="auto"/>
                      <w:kern w:val="0"/>
                      <w:sz w:val="21"/>
                      <w:szCs w:val="21"/>
                    </w:rPr>
                    <w:t>约</w:t>
                  </w:r>
                  <w:r>
                    <w:rPr>
                      <w:rFonts w:hint="default" w:ascii="Times New Roman" w:hAnsi="Times New Roman" w:cs="Times New Roman" w:eastAsiaTheme="minorEastAsia"/>
                      <w:color w:val="auto"/>
                      <w:kern w:val="0"/>
                      <w:sz w:val="21"/>
                      <w:szCs w:val="21"/>
                      <w:lang w:val="en-US" w:eastAsia="zh-CN"/>
                    </w:rPr>
                    <w:t>6</w:t>
                  </w:r>
                  <w:r>
                    <w:rPr>
                      <w:rFonts w:hint="eastAsia"/>
                      <w:b w:val="0"/>
                      <w:bCs w:val="0"/>
                      <w:color w:val="auto"/>
                      <w:sz w:val="21"/>
                      <w:szCs w:val="21"/>
                      <w:highlight w:val="none"/>
                      <w:u w:val="none"/>
                    </w:rPr>
                    <w:t>m</w:t>
                  </w:r>
                  <w:r>
                    <w:rPr>
                      <w:rFonts w:hint="eastAsia"/>
                      <w:b w:val="0"/>
                      <w:bCs w:val="0"/>
                      <w:color w:val="auto"/>
                      <w:sz w:val="21"/>
                      <w:szCs w:val="21"/>
                      <w:highlight w:val="none"/>
                      <w:u w:val="none"/>
                      <w:vertAlign w:val="superscript"/>
                    </w:rPr>
                    <w:t>2</w:t>
                  </w:r>
                  <w:r>
                    <w:rPr>
                      <w:rFonts w:hint="eastAsia"/>
                      <w:b w:val="0"/>
                      <w:bCs w:val="0"/>
                      <w:color w:val="auto"/>
                      <w:sz w:val="21"/>
                      <w:szCs w:val="21"/>
                      <w:highlight w:val="none"/>
                      <w:u w:val="none"/>
                      <w:lang w:eastAsia="zh-CN"/>
                    </w:rPr>
                    <w:t>。</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auto"/>
                      <w:kern w:val="0"/>
                      <w:sz w:val="21"/>
                      <w:szCs w:val="21"/>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lang w:eastAsia="zh-CN"/>
                    </w:rPr>
                  </w:pPr>
                  <w:r>
                    <w:rPr>
                      <w:rFonts w:hint="eastAsia"/>
                      <w:color w:val="auto"/>
                      <w:sz w:val="21"/>
                      <w:szCs w:val="21"/>
                      <w:lang w:eastAsia="zh-CN"/>
                    </w:rPr>
                    <w:t>纸箱等辅料仓库</w:t>
                  </w:r>
                </w:p>
              </w:tc>
              <w:tc>
                <w:tcPr>
                  <w:tcW w:w="5960" w:type="dxa"/>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rPr>
                    <w:t>位于</w:t>
                  </w:r>
                  <w:r>
                    <w:rPr>
                      <w:rFonts w:hint="eastAsia" w:asciiTheme="minorEastAsia" w:hAnsiTheme="minorEastAsia" w:eastAsiaTheme="minorEastAsia" w:cstheme="minorEastAsia"/>
                      <w:color w:val="auto"/>
                      <w:kern w:val="0"/>
                      <w:sz w:val="21"/>
                      <w:szCs w:val="21"/>
                      <w:lang w:eastAsia="zh-CN"/>
                    </w:rPr>
                    <w:t>成品仓库</w:t>
                  </w:r>
                  <w:r>
                    <w:rPr>
                      <w:rFonts w:hint="eastAsia"/>
                      <w:b w:val="0"/>
                      <w:bCs w:val="0"/>
                      <w:color w:val="auto"/>
                      <w:sz w:val="21"/>
                      <w:szCs w:val="21"/>
                      <w:highlight w:val="none"/>
                      <w:u w:val="none"/>
                      <w:lang w:val="en-US" w:eastAsia="zh-CN"/>
                    </w:rPr>
                    <w:t>东侧</w:t>
                  </w:r>
                  <w:r>
                    <w:rPr>
                      <w:rFonts w:hint="eastAsia" w:asciiTheme="minorEastAsia" w:hAnsiTheme="minorEastAsia" w:eastAsiaTheme="minorEastAsia" w:cstheme="minorEastAsia"/>
                      <w:color w:val="auto"/>
                      <w:kern w:val="0"/>
                      <w:sz w:val="21"/>
                      <w:szCs w:val="21"/>
                    </w:rPr>
                    <w:t>，</w:t>
                  </w:r>
                  <w:r>
                    <w:rPr>
                      <w:rFonts w:hint="eastAsia"/>
                      <w:color w:val="auto"/>
                      <w:sz w:val="21"/>
                      <w:szCs w:val="21"/>
                      <w:lang w:eastAsia="zh-CN"/>
                    </w:rPr>
                    <w:t>占</w:t>
                  </w:r>
                  <w:r>
                    <w:rPr>
                      <w:rFonts w:hint="default" w:ascii="Times New Roman" w:hAnsi="Times New Roman" w:cs="Times New Roman"/>
                      <w:color w:val="auto"/>
                      <w:sz w:val="21"/>
                      <w:szCs w:val="21"/>
                      <w:lang w:eastAsia="zh-CN"/>
                    </w:rPr>
                    <w:t>地</w:t>
                  </w:r>
                  <w:r>
                    <w:rPr>
                      <w:rFonts w:hint="default" w:ascii="Times New Roman" w:hAnsi="Times New Roman" w:cs="Times New Roman"/>
                      <w:color w:val="auto"/>
                      <w:sz w:val="21"/>
                      <w:szCs w:val="21"/>
                    </w:rPr>
                    <w:t>面积</w:t>
                  </w:r>
                  <w:r>
                    <w:rPr>
                      <w:rFonts w:hint="default" w:ascii="Times New Roman" w:hAnsi="Times New Roman" w:cs="Times New Roman" w:eastAsiaTheme="minorEastAsia"/>
                      <w:color w:val="auto"/>
                      <w:kern w:val="0"/>
                      <w:sz w:val="21"/>
                      <w:szCs w:val="21"/>
                      <w:highlight w:val="none"/>
                      <w:u w:val="none"/>
                    </w:rPr>
                    <w:t>约</w:t>
                  </w:r>
                  <w:r>
                    <w:rPr>
                      <w:rFonts w:hint="default" w:ascii="Times New Roman" w:hAnsi="Times New Roman" w:cs="Times New Roman" w:eastAsiaTheme="minorEastAsia"/>
                      <w:color w:val="auto"/>
                      <w:kern w:val="0"/>
                      <w:sz w:val="21"/>
                      <w:szCs w:val="21"/>
                      <w:highlight w:val="none"/>
                      <w:u w:val="none"/>
                      <w:lang w:val="en-US" w:eastAsia="zh-CN"/>
                    </w:rPr>
                    <w:t>50</w:t>
                  </w:r>
                  <w:r>
                    <w:rPr>
                      <w:rFonts w:hint="default" w:ascii="Times New Roman" w:hAnsi="Times New Roman" w:cs="Times New Roman" w:eastAsiaTheme="minorEastAsia"/>
                      <w:color w:val="auto"/>
                      <w:kern w:val="0"/>
                      <w:sz w:val="21"/>
                      <w:szCs w:val="21"/>
                      <w:highlight w:val="none"/>
                      <w:u w:val="none"/>
                    </w:rPr>
                    <w:t>m</w:t>
                  </w:r>
                  <w:r>
                    <w:rPr>
                      <w:rFonts w:hint="default" w:ascii="Times New Roman" w:hAnsi="Times New Roman" w:cs="Times New Roman" w:eastAsiaTheme="minorEastAsia"/>
                      <w:color w:val="auto"/>
                      <w:kern w:val="0"/>
                      <w:sz w:val="21"/>
                      <w:szCs w:val="21"/>
                      <w:highlight w:val="none"/>
                      <w:u w:val="none"/>
                      <w:vertAlign w:val="superscript"/>
                    </w:rPr>
                    <w:t>2</w:t>
                  </w:r>
                  <w:r>
                    <w:rPr>
                      <w:rFonts w:hint="default" w:ascii="Times New Roman" w:hAnsi="Times New Roman" w:cs="Times New Roman" w:eastAsiaTheme="minorEastAsia"/>
                      <w:color w:val="auto"/>
                      <w:kern w:val="0"/>
                      <w:sz w:val="21"/>
                      <w:szCs w:val="21"/>
                      <w:lang w:val="en-US" w:eastAsia="zh-CN"/>
                    </w:rPr>
                    <w:t>。</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auto"/>
                      <w:kern w:val="0"/>
                      <w:sz w:val="21"/>
                      <w:szCs w:val="21"/>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lang w:eastAsia="zh-CN"/>
                    </w:rPr>
                    <w:t>成品仓库</w:t>
                  </w:r>
                </w:p>
              </w:tc>
              <w:tc>
                <w:tcPr>
                  <w:tcW w:w="5960" w:type="dxa"/>
                  <w:vAlign w:val="center"/>
                </w:tcPr>
                <w:p>
                  <w:pPr>
                    <w:keepNext w:val="0"/>
                    <w:keepLines w:val="0"/>
                    <w:suppressLineNumbers w:val="0"/>
                    <w:spacing w:before="0" w:beforeAutospacing="0" w:after="0" w:afterAutospacing="0"/>
                    <w:ind w:left="0" w:right="0"/>
                    <w:jc w:val="left"/>
                    <w:rPr>
                      <w:rFonts w:hint="eastAsia" w:eastAsia="宋体" w:asciiTheme="minorEastAsia" w:hAnsi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位于</w:t>
                  </w:r>
                  <w:r>
                    <w:rPr>
                      <w:rFonts w:hint="eastAsia"/>
                      <w:b w:val="0"/>
                      <w:bCs w:val="0"/>
                      <w:color w:val="auto"/>
                      <w:sz w:val="21"/>
                      <w:szCs w:val="21"/>
                      <w:highlight w:val="none"/>
                      <w:u w:val="none"/>
                      <w:lang w:eastAsia="zh-CN"/>
                    </w:rPr>
                    <w:t>半成品区</w:t>
                  </w:r>
                  <w:r>
                    <w:rPr>
                      <w:rFonts w:hint="eastAsia"/>
                      <w:b w:val="0"/>
                      <w:bCs w:val="0"/>
                      <w:color w:val="auto"/>
                      <w:sz w:val="21"/>
                      <w:szCs w:val="21"/>
                      <w:highlight w:val="none"/>
                      <w:u w:val="none"/>
                      <w:lang w:val="en-US" w:eastAsia="zh-CN"/>
                    </w:rPr>
                    <w:t>东侧</w:t>
                  </w:r>
                  <w:r>
                    <w:rPr>
                      <w:rFonts w:hint="eastAsia"/>
                      <w:b w:val="0"/>
                      <w:bCs w:val="0"/>
                      <w:color w:val="auto"/>
                      <w:sz w:val="21"/>
                      <w:szCs w:val="21"/>
                      <w:highlight w:val="none"/>
                      <w:u w:val="none"/>
                      <w:lang w:eastAsia="zh-CN"/>
                    </w:rPr>
                    <w:t>，占地</w:t>
                  </w:r>
                  <w:r>
                    <w:rPr>
                      <w:rFonts w:hint="eastAsia"/>
                      <w:b w:val="0"/>
                      <w:bCs w:val="0"/>
                      <w:color w:val="auto"/>
                      <w:sz w:val="21"/>
                      <w:szCs w:val="21"/>
                      <w:highlight w:val="none"/>
                      <w:u w:val="none"/>
                    </w:rPr>
                    <w:t>面积</w:t>
                  </w:r>
                  <w:r>
                    <w:rPr>
                      <w:rFonts w:hint="eastAsia"/>
                      <w:b w:val="0"/>
                      <w:bCs w:val="0"/>
                      <w:color w:val="auto"/>
                      <w:sz w:val="21"/>
                      <w:szCs w:val="21"/>
                      <w:highlight w:val="none"/>
                      <w:u w:val="none"/>
                      <w:lang w:eastAsia="zh-CN"/>
                    </w:rPr>
                    <w:t>约</w:t>
                  </w:r>
                  <w:r>
                    <w:rPr>
                      <w:rFonts w:hint="eastAsia"/>
                      <w:b w:val="0"/>
                      <w:bCs w:val="0"/>
                      <w:color w:val="auto"/>
                      <w:sz w:val="21"/>
                      <w:szCs w:val="21"/>
                      <w:highlight w:val="none"/>
                      <w:u w:val="none"/>
                      <w:lang w:val="en-US" w:eastAsia="zh-CN"/>
                    </w:rPr>
                    <w:t>200</w:t>
                  </w:r>
                  <w:r>
                    <w:rPr>
                      <w:rFonts w:hint="eastAsia"/>
                      <w:b w:val="0"/>
                      <w:bCs w:val="0"/>
                      <w:color w:val="auto"/>
                      <w:sz w:val="21"/>
                      <w:szCs w:val="21"/>
                      <w:highlight w:val="none"/>
                      <w:u w:val="none"/>
                    </w:rPr>
                    <w:t>m</w:t>
                  </w:r>
                  <w:r>
                    <w:rPr>
                      <w:rFonts w:hint="eastAsia"/>
                      <w:b w:val="0"/>
                      <w:bCs w:val="0"/>
                      <w:color w:val="auto"/>
                      <w:sz w:val="21"/>
                      <w:szCs w:val="21"/>
                      <w:highlight w:val="none"/>
                      <w:u w:val="none"/>
                      <w:vertAlign w:val="superscript"/>
                    </w:rPr>
                    <w:t>2</w:t>
                  </w:r>
                  <w:r>
                    <w:rPr>
                      <w:rFonts w:hint="eastAsia"/>
                      <w:b w:val="0"/>
                      <w:bCs w:val="0"/>
                      <w:color w:val="auto"/>
                      <w:sz w:val="21"/>
                      <w:szCs w:val="21"/>
                      <w:highlight w:val="none"/>
                      <w:u w:val="none"/>
                    </w:rPr>
                    <w:t>，用于成品</w:t>
                  </w:r>
                  <w:r>
                    <w:rPr>
                      <w:rFonts w:hint="eastAsia"/>
                      <w:b w:val="0"/>
                      <w:bCs w:val="0"/>
                      <w:color w:val="auto"/>
                      <w:sz w:val="21"/>
                      <w:szCs w:val="21"/>
                      <w:highlight w:val="none"/>
                      <w:u w:val="none"/>
                      <w:lang w:val="en-US" w:eastAsia="zh-CN"/>
                    </w:rPr>
                    <w:t>储存。</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auto"/>
                      <w:kern w:val="0"/>
                      <w:sz w:val="21"/>
                      <w:szCs w:val="21"/>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06" w:type="dxa"/>
                  <w:vMerge w:val="restart"/>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公用</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工程</w:t>
                  </w: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给水</w:t>
                  </w:r>
                </w:p>
              </w:tc>
              <w:tc>
                <w:tcPr>
                  <w:tcW w:w="5960" w:type="dxa"/>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eastAsia="zh-CN"/>
                    </w:rPr>
                    <w:t>项目用水来自</w:t>
                  </w:r>
                  <w:r>
                    <w:rPr>
                      <w:rFonts w:hint="eastAsia" w:asciiTheme="minorEastAsia" w:hAnsiTheme="minorEastAsia" w:eastAsiaTheme="minorEastAsia" w:cstheme="minorEastAsia"/>
                      <w:color w:val="auto"/>
                      <w:kern w:val="0"/>
                      <w:sz w:val="21"/>
                      <w:szCs w:val="21"/>
                      <w:highlight w:val="none"/>
                      <w:u w:val="none"/>
                      <w:lang w:val="en-US" w:eastAsia="zh-CN"/>
                    </w:rPr>
                    <w:t xml:space="preserve">市政自来水管网 </w:t>
                  </w:r>
                </w:p>
              </w:tc>
              <w:tc>
                <w:tcPr>
                  <w:tcW w:w="783" w:type="dxa"/>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lang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排水</w:t>
                  </w:r>
                </w:p>
              </w:tc>
              <w:tc>
                <w:tcPr>
                  <w:tcW w:w="5960" w:type="dxa"/>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bCs/>
                      <w:color w:val="auto"/>
                      <w:kern w:val="0"/>
                      <w:sz w:val="21"/>
                      <w:szCs w:val="21"/>
                    </w:rPr>
                    <w:t>实行雨污分流</w:t>
                  </w:r>
                  <w:r>
                    <w:rPr>
                      <w:rFonts w:hint="eastAsia" w:asciiTheme="minorEastAsia" w:hAnsiTheme="minorEastAsia" w:eastAsiaTheme="minorEastAsia" w:cstheme="minorEastAsia"/>
                      <w:bCs/>
                      <w:color w:val="auto"/>
                      <w:kern w:val="0"/>
                      <w:sz w:val="21"/>
                      <w:szCs w:val="21"/>
                      <w:lang w:val="en-US" w:eastAsia="zh-CN"/>
                    </w:rPr>
                    <w:t>制</w:t>
                  </w:r>
                  <w:r>
                    <w:rPr>
                      <w:rFonts w:hint="eastAsia" w:asciiTheme="minorEastAsia" w:hAnsiTheme="minorEastAsia" w:eastAsiaTheme="minorEastAsia" w:cstheme="minorEastAsia"/>
                      <w:bCs/>
                      <w:color w:val="auto"/>
                      <w:kern w:val="0"/>
                      <w:sz w:val="21"/>
                      <w:szCs w:val="21"/>
                      <w:lang w:eastAsia="zh-CN"/>
                    </w:rPr>
                    <w:t>。</w:t>
                  </w:r>
                  <w:r>
                    <w:rPr>
                      <w:rFonts w:hint="eastAsia" w:asciiTheme="minorEastAsia" w:hAnsiTheme="minorEastAsia" w:eastAsiaTheme="minorEastAsia" w:cstheme="minorEastAsia"/>
                      <w:bCs/>
                      <w:color w:val="auto"/>
                      <w:kern w:val="0"/>
                      <w:sz w:val="21"/>
                      <w:szCs w:val="21"/>
                      <w:lang w:val="en-US" w:eastAsia="zh-CN"/>
                    </w:rPr>
                    <w:t>厂房棚顶</w:t>
                  </w:r>
                  <w:r>
                    <w:rPr>
                      <w:rFonts w:hint="eastAsia" w:asciiTheme="minorEastAsia" w:hAnsiTheme="minorEastAsia" w:eastAsiaTheme="minorEastAsia" w:cstheme="minorEastAsia"/>
                      <w:bCs/>
                      <w:color w:val="auto"/>
                      <w:kern w:val="0"/>
                      <w:sz w:val="21"/>
                      <w:szCs w:val="21"/>
                    </w:rPr>
                    <w:t>雨水</w:t>
                  </w:r>
                  <w:r>
                    <w:rPr>
                      <w:rFonts w:hint="eastAsia" w:asciiTheme="minorEastAsia" w:hAnsiTheme="minorEastAsia" w:eastAsiaTheme="minorEastAsia" w:cstheme="minorEastAsia"/>
                      <w:bCs/>
                      <w:color w:val="auto"/>
                      <w:kern w:val="0"/>
                      <w:sz w:val="21"/>
                      <w:szCs w:val="21"/>
                      <w:lang w:eastAsia="zh-CN"/>
                    </w:rPr>
                    <w:t>经</w:t>
                  </w:r>
                  <w:r>
                    <w:rPr>
                      <w:rFonts w:hint="eastAsia" w:asciiTheme="minorEastAsia" w:hAnsiTheme="minorEastAsia" w:eastAsiaTheme="minorEastAsia" w:cstheme="minorEastAsia"/>
                      <w:bCs/>
                      <w:color w:val="auto"/>
                      <w:kern w:val="0"/>
                      <w:sz w:val="21"/>
                      <w:szCs w:val="21"/>
                      <w:lang w:val="en-US" w:eastAsia="zh-CN"/>
                    </w:rPr>
                    <w:t>截排水沟</w:t>
                  </w:r>
                  <w:r>
                    <w:rPr>
                      <w:rFonts w:hint="eastAsia" w:asciiTheme="minorEastAsia" w:hAnsiTheme="minorEastAsia" w:eastAsiaTheme="minorEastAsia" w:cstheme="minorEastAsia"/>
                      <w:bCs/>
                      <w:color w:val="auto"/>
                      <w:kern w:val="0"/>
                      <w:sz w:val="21"/>
                      <w:szCs w:val="21"/>
                    </w:rPr>
                    <w:t>收集后</w:t>
                  </w:r>
                  <w:r>
                    <w:rPr>
                      <w:rFonts w:hint="eastAsia" w:asciiTheme="minorEastAsia" w:hAnsiTheme="minorEastAsia" w:eastAsiaTheme="minorEastAsia" w:cstheme="minorEastAsia"/>
                      <w:bCs/>
                      <w:color w:val="auto"/>
                      <w:kern w:val="0"/>
                      <w:sz w:val="21"/>
                      <w:szCs w:val="21"/>
                      <w:lang w:val="en-US" w:eastAsia="zh-CN"/>
                    </w:rPr>
                    <w:t>排入周边</w:t>
                  </w:r>
                  <w:r>
                    <w:rPr>
                      <w:rFonts w:hint="eastAsia" w:asciiTheme="minorEastAsia" w:hAnsiTheme="minorEastAsia" w:eastAsiaTheme="minorEastAsia" w:cstheme="minorEastAsia"/>
                      <w:bCs/>
                      <w:color w:val="auto"/>
                      <w:kern w:val="0"/>
                      <w:sz w:val="21"/>
                      <w:szCs w:val="21"/>
                      <w:lang w:val="en-US" w:eastAsia="zh-CN"/>
                    </w:rPr>
                    <w:t>小溪</w:t>
                  </w:r>
                  <w:r>
                    <w:rPr>
                      <w:rFonts w:hint="eastAsia" w:asciiTheme="minorEastAsia" w:hAnsiTheme="minorEastAsia" w:eastAsiaTheme="minorEastAsia" w:cstheme="minorEastAsia"/>
                      <w:bCs/>
                      <w:color w:val="auto"/>
                      <w:kern w:val="0"/>
                      <w:sz w:val="21"/>
                      <w:szCs w:val="21"/>
                      <w:lang w:eastAsia="zh-CN"/>
                    </w:rPr>
                    <w:t>；生产废水经沉淀后循环使用不外排；</w:t>
                  </w:r>
                  <w:r>
                    <w:rPr>
                      <w:rFonts w:hint="eastAsia" w:asciiTheme="minorEastAsia" w:hAnsiTheme="minorEastAsia" w:eastAsiaTheme="minorEastAsia" w:cstheme="minorEastAsia"/>
                      <w:bCs/>
                      <w:color w:val="auto"/>
                      <w:kern w:val="0"/>
                      <w:sz w:val="21"/>
                      <w:szCs w:val="21"/>
                      <w:u w:val="single"/>
                      <w:lang w:eastAsia="zh-CN"/>
                    </w:rPr>
                    <w:t>员工洗手洗脸、如厕均借用附近居民家用洗手间</w:t>
                  </w:r>
                  <w:r>
                    <w:rPr>
                      <w:rFonts w:hint="eastAsia" w:asciiTheme="minorEastAsia" w:hAnsiTheme="minorEastAsia" w:eastAsiaTheme="minorEastAsia" w:cstheme="minorEastAsia"/>
                      <w:color w:val="auto"/>
                      <w:kern w:val="0"/>
                      <w:sz w:val="21"/>
                      <w:szCs w:val="21"/>
                      <w:u w:val="single"/>
                    </w:rPr>
                    <w:t>。</w:t>
                  </w:r>
                  <w:r>
                    <w:rPr>
                      <w:rFonts w:hint="eastAsia" w:asciiTheme="minorEastAsia" w:hAnsiTheme="minorEastAsia" w:eastAsiaTheme="minorEastAsia" w:cstheme="minorEastAsia"/>
                      <w:color w:val="auto"/>
                      <w:kern w:val="0"/>
                      <w:sz w:val="21"/>
                      <w:szCs w:val="21"/>
                      <w:u w:val="single"/>
                      <w:lang w:eastAsia="zh-CN"/>
                    </w:rPr>
                    <w:t>厂区无生活污水产生。</w:t>
                  </w:r>
                </w:p>
              </w:tc>
              <w:tc>
                <w:tcPr>
                  <w:tcW w:w="783" w:type="dxa"/>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Cs/>
                      <w:color w:val="auto"/>
                      <w:kern w:val="0"/>
                      <w:sz w:val="21"/>
                      <w:szCs w:val="21"/>
                      <w:lang w:eastAsia="zh-CN"/>
                    </w:rPr>
                  </w:pPr>
                  <w:r>
                    <w:rPr>
                      <w:rFonts w:hint="eastAsia" w:asciiTheme="minorEastAsia" w:hAnsiTheme="minorEastAsia" w:eastAsiaTheme="minorEastAsia" w:cstheme="minorEastAsia"/>
                      <w:bCs/>
                      <w:color w:val="auto"/>
                      <w:kern w:val="0"/>
                      <w:sz w:val="21"/>
                      <w:szCs w:val="21"/>
                      <w:lang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供电</w:t>
                  </w:r>
                </w:p>
              </w:tc>
              <w:tc>
                <w:tcPr>
                  <w:tcW w:w="5960" w:type="dxa"/>
                  <w:vAlign w:val="center"/>
                </w:tcPr>
                <w:p>
                  <w:pPr>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由当地电网提供，年耗电量</w:t>
                  </w:r>
                  <w:r>
                    <w:rPr>
                      <w:rFonts w:hint="eastAsia" w:asciiTheme="minorEastAsia" w:hAnsiTheme="minorEastAsia" w:eastAsiaTheme="minorEastAsia" w:cstheme="minorEastAsia"/>
                      <w:color w:val="auto"/>
                      <w:kern w:val="0"/>
                      <w:sz w:val="21"/>
                      <w:szCs w:val="21"/>
                    </w:rPr>
                    <w:t>约为</w:t>
                  </w:r>
                  <w:r>
                    <w:rPr>
                      <w:rFonts w:hint="eastAsia" w:asciiTheme="minorEastAsia" w:hAnsiTheme="minorEastAsia" w:eastAsiaTheme="minorEastAsia" w:cstheme="minorEastAsia"/>
                      <w:color w:val="auto"/>
                      <w:kern w:val="0"/>
                      <w:sz w:val="21"/>
                      <w:szCs w:val="21"/>
                      <w:highlight w:val="none"/>
                      <w:u w:val="none"/>
                      <w:lang w:val="en-US" w:eastAsia="zh-CN"/>
                    </w:rPr>
                    <w:t>38</w:t>
                  </w:r>
                  <w:r>
                    <w:rPr>
                      <w:rFonts w:hint="eastAsia" w:asciiTheme="minorEastAsia" w:hAnsiTheme="minorEastAsia" w:eastAsiaTheme="minorEastAsia" w:cstheme="minorEastAsia"/>
                      <w:color w:val="auto"/>
                      <w:kern w:val="0"/>
                      <w:sz w:val="21"/>
                      <w:szCs w:val="21"/>
                      <w:highlight w:val="none"/>
                    </w:rPr>
                    <w:t>万千瓦时</w:t>
                  </w:r>
                </w:p>
              </w:tc>
              <w:tc>
                <w:tcPr>
                  <w:tcW w:w="783" w:type="dxa"/>
                  <w:vAlign w:val="center"/>
                </w:tcPr>
                <w:p>
                  <w:pPr>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lang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6" w:type="dxa"/>
                  <w:vMerge w:val="restart"/>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环保</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工程</w:t>
                  </w: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废水</w:t>
                  </w:r>
                </w:p>
              </w:tc>
              <w:tc>
                <w:tcPr>
                  <w:tcW w:w="5960" w:type="dxa"/>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lang w:eastAsia="zh-CN"/>
                    </w:rPr>
                    <w:t>生产废水（</w:t>
                  </w:r>
                  <w:r>
                    <w:rPr>
                      <w:rFonts w:hint="eastAsia"/>
                      <w:color w:val="auto"/>
                      <w:lang w:val="en-US" w:eastAsia="zh-CN"/>
                    </w:rPr>
                    <w:t>水雾</w:t>
                  </w:r>
                  <w:r>
                    <w:rPr>
                      <w:rFonts w:hint="eastAsia" w:asciiTheme="minorEastAsia" w:hAnsiTheme="minorEastAsia" w:eastAsiaTheme="minorEastAsia" w:cstheme="minorEastAsia"/>
                      <w:bCs/>
                      <w:color w:val="auto"/>
                      <w:kern w:val="0"/>
                      <w:sz w:val="21"/>
                      <w:szCs w:val="21"/>
                      <w:lang w:val="en-US" w:eastAsia="zh-CN"/>
                    </w:rPr>
                    <w:t>除尘废水</w:t>
                  </w:r>
                  <w:r>
                    <w:rPr>
                      <w:rFonts w:hint="eastAsia" w:asciiTheme="minorEastAsia" w:hAnsiTheme="minorEastAsia" w:eastAsiaTheme="minorEastAsia" w:cstheme="minorEastAsia"/>
                      <w:bCs/>
                      <w:color w:val="auto"/>
                      <w:kern w:val="0"/>
                      <w:sz w:val="21"/>
                      <w:szCs w:val="21"/>
                      <w:lang w:eastAsia="zh-CN"/>
                    </w:rPr>
                    <w:t>）经</w:t>
                  </w:r>
                  <w:r>
                    <w:rPr>
                      <w:rFonts w:hint="eastAsia" w:asciiTheme="minorEastAsia" w:hAnsiTheme="minorEastAsia" w:eastAsiaTheme="minorEastAsia" w:cstheme="minorEastAsia"/>
                      <w:bCs/>
                      <w:color w:val="auto"/>
                      <w:kern w:val="0"/>
                      <w:sz w:val="21"/>
                      <w:szCs w:val="21"/>
                      <w:lang w:val="en-US" w:eastAsia="zh-CN"/>
                    </w:rPr>
                    <w:t>循环水</w:t>
                  </w:r>
                  <w:r>
                    <w:rPr>
                      <w:rFonts w:hint="eastAsia" w:asciiTheme="minorEastAsia" w:hAnsiTheme="minorEastAsia" w:eastAsiaTheme="minorEastAsia" w:cstheme="minorEastAsia"/>
                      <w:bCs/>
                      <w:color w:val="auto"/>
                      <w:kern w:val="0"/>
                      <w:sz w:val="21"/>
                      <w:szCs w:val="21"/>
                      <w:lang w:eastAsia="zh-CN"/>
                    </w:rPr>
                    <w:t>池沉淀后循环使用不外排</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bCs/>
                      <w:color w:val="auto"/>
                      <w:kern w:val="0"/>
                      <w:sz w:val="21"/>
                      <w:szCs w:val="21"/>
                      <w:lang w:val="en-US" w:eastAsia="zh-CN"/>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废气</w:t>
                  </w:r>
                </w:p>
              </w:tc>
              <w:tc>
                <w:tcPr>
                  <w:tcW w:w="5960" w:type="dxa"/>
                  <w:vAlign w:val="center"/>
                </w:tcPr>
                <w:p>
                  <w:pPr>
                    <w:keepNext w:val="0"/>
                    <w:keepLines w:val="0"/>
                    <w:suppressLineNumbers w:val="0"/>
                    <w:spacing w:before="0" w:beforeAutospacing="0" w:after="0" w:afterAutospacing="0" w:line="240" w:lineRule="auto"/>
                    <w:ind w:left="0" w:right="0"/>
                    <w:jc w:val="left"/>
                    <w:rPr>
                      <w:rFonts w:hint="eastAsia" w:ascii="Times New Roman" w:hAnsi="Times New Roman"/>
                      <w:color w:val="auto"/>
                      <w:sz w:val="21"/>
                      <w:szCs w:val="21"/>
                      <w:lang w:eastAsia="zh-CN"/>
                    </w:rPr>
                  </w:pPr>
                  <w:r>
                    <w:rPr>
                      <w:rFonts w:hint="eastAsia" w:ascii="Times New Roman" w:hAnsi="Times New Roman"/>
                      <w:color w:val="auto"/>
                      <w:sz w:val="21"/>
                      <w:szCs w:val="21"/>
                    </w:rPr>
                    <w:t>烘干废气</w:t>
                  </w:r>
                  <w:r>
                    <w:rPr>
                      <w:rFonts w:hint="eastAsia"/>
                      <w:color w:val="auto"/>
                      <w:sz w:val="21"/>
                      <w:szCs w:val="21"/>
                      <w:lang w:eastAsia="zh-CN"/>
                    </w:rPr>
                    <w:t>采用“水</w:t>
                  </w:r>
                  <w:r>
                    <w:rPr>
                      <w:rFonts w:hint="eastAsia"/>
                      <w:color w:val="auto"/>
                      <w:lang w:val="en-US" w:eastAsia="zh-CN"/>
                    </w:rPr>
                    <w:t>雾</w:t>
                  </w:r>
                  <w:r>
                    <w:rPr>
                      <w:rFonts w:hint="eastAsia"/>
                      <w:color w:val="auto"/>
                      <w:sz w:val="21"/>
                      <w:szCs w:val="21"/>
                      <w:lang w:eastAsia="zh-CN"/>
                    </w:rPr>
                    <w:t>除尘</w:t>
                  </w:r>
                  <w:r>
                    <w:rPr>
                      <w:rFonts w:hint="eastAsia"/>
                      <w:color w:val="auto"/>
                      <w:sz w:val="21"/>
                      <w:szCs w:val="21"/>
                      <w:lang w:val="en-US" w:eastAsia="zh-CN"/>
                    </w:rPr>
                    <w:t>+</w:t>
                  </w:r>
                  <w:r>
                    <w:rPr>
                      <w:rFonts w:hint="eastAsia"/>
                      <w:color w:val="auto"/>
                      <w:sz w:val="21"/>
                      <w:szCs w:val="21"/>
                      <w:lang w:eastAsia="zh-CN"/>
                    </w:rPr>
                    <w:t>静电</w:t>
                  </w:r>
                  <w:r>
                    <w:rPr>
                      <w:rFonts w:hint="eastAsia" w:ascii="Times New Roman" w:hAnsi="Times New Roman"/>
                      <w:color w:val="auto"/>
                      <w:sz w:val="21"/>
                      <w:szCs w:val="21"/>
                    </w:rPr>
                    <w:t>除尘</w:t>
                  </w:r>
                  <w:r>
                    <w:rPr>
                      <w:rFonts w:hint="eastAsia"/>
                      <w:color w:val="auto"/>
                      <w:sz w:val="21"/>
                      <w:szCs w:val="21"/>
                      <w:lang w:eastAsia="zh-CN"/>
                    </w:rPr>
                    <w:t>”</w:t>
                  </w:r>
                  <w:r>
                    <w:rPr>
                      <w:rFonts w:hint="eastAsia" w:ascii="Times New Roman" w:hAnsi="Times New Roman"/>
                      <w:color w:val="auto"/>
                      <w:sz w:val="21"/>
                      <w:szCs w:val="21"/>
                    </w:rPr>
                    <w:t>除尘后</w:t>
                  </w:r>
                  <w:r>
                    <w:rPr>
                      <w:rFonts w:hint="eastAsia"/>
                      <w:color w:val="auto"/>
                      <w:sz w:val="21"/>
                      <w:szCs w:val="21"/>
                      <w:lang w:eastAsia="zh-CN"/>
                    </w:rPr>
                    <w:t>经</w:t>
                  </w:r>
                  <w:r>
                    <w:rPr>
                      <w:rFonts w:hint="eastAsia"/>
                      <w:color w:val="auto"/>
                      <w:sz w:val="21"/>
                      <w:szCs w:val="21"/>
                      <w:lang w:val="en-US" w:eastAsia="zh-CN"/>
                    </w:rPr>
                    <w:t>15米</w:t>
                  </w:r>
                  <w:r>
                    <w:rPr>
                      <w:rFonts w:hint="eastAsia" w:ascii="Times New Roman" w:hAnsi="Times New Roman"/>
                      <w:color w:val="auto"/>
                      <w:sz w:val="21"/>
                      <w:szCs w:val="21"/>
                    </w:rPr>
                    <w:t>排气筒排放</w:t>
                  </w:r>
                  <w:r>
                    <w:rPr>
                      <w:rFonts w:hint="eastAsia" w:ascii="Times New Roman" w:hAnsi="Times New Roman"/>
                      <w:color w:val="auto"/>
                      <w:sz w:val="21"/>
                      <w:szCs w:val="21"/>
                      <w:lang w:eastAsia="zh-CN"/>
                    </w:rPr>
                    <w:t>；</w:t>
                  </w:r>
                </w:p>
                <w:p>
                  <w:pPr>
                    <w:keepNext w:val="0"/>
                    <w:keepLines w:val="0"/>
                    <w:suppressLineNumbers w:val="0"/>
                    <w:spacing w:before="0" w:beforeAutospacing="0" w:after="0" w:afterAutospacing="0" w:line="240" w:lineRule="auto"/>
                    <w:ind w:left="0" w:right="0"/>
                    <w:jc w:val="left"/>
                    <w:rPr>
                      <w:rFonts w:hint="eastAsia" w:ascii="Times New Roman" w:hAnsi="Times New Roman"/>
                      <w:color w:val="auto"/>
                      <w:sz w:val="21"/>
                      <w:szCs w:val="21"/>
                      <w:lang w:eastAsia="zh-CN"/>
                    </w:rPr>
                  </w:pPr>
                  <w:r>
                    <w:rPr>
                      <w:rFonts w:hint="eastAsia" w:asciiTheme="minorEastAsia" w:hAnsiTheme="minorEastAsia" w:eastAsiaTheme="minorEastAsia" w:cstheme="minorEastAsia"/>
                      <w:color w:val="auto"/>
                      <w:sz w:val="21"/>
                      <w:szCs w:val="21"/>
                      <w:lang w:val="en-US" w:eastAsia="zh-CN"/>
                    </w:rPr>
                    <w:t>烘干后的原料经</w:t>
                  </w:r>
                  <w:r>
                    <w:rPr>
                      <w:rFonts w:hint="eastAsia" w:asciiTheme="minorEastAsia" w:hAnsiTheme="minorEastAsia" w:eastAsiaTheme="minorEastAsia" w:cstheme="minorEastAsia"/>
                      <w:b w:val="0"/>
                      <w:bCs w:val="0"/>
                      <w:color w:val="auto"/>
                      <w:sz w:val="21"/>
                      <w:szCs w:val="21"/>
                      <w:lang w:val="en-US" w:eastAsia="zh-CN"/>
                    </w:rPr>
                    <w:t>粉碎机进一步粉碎后由风机引至旋风分离器分离，</w:t>
                  </w:r>
                  <w:r>
                    <w:rPr>
                      <w:rFonts w:hint="eastAsia"/>
                      <w:color w:val="auto"/>
                      <w:kern w:val="0"/>
                      <w:sz w:val="21"/>
                      <w:szCs w:val="21"/>
                      <w:u w:val="none"/>
                      <w:lang w:val="en-US" w:eastAsia="zh-CN"/>
                    </w:rPr>
                    <w:t>分离后的含尘气体</w:t>
                  </w:r>
                  <w:r>
                    <w:rPr>
                      <w:rFonts w:hint="eastAsia"/>
                      <w:color w:val="auto"/>
                      <w:sz w:val="21"/>
                      <w:szCs w:val="21"/>
                      <w:lang w:eastAsia="zh-CN"/>
                    </w:rPr>
                    <w:t>采用“水</w:t>
                  </w:r>
                  <w:r>
                    <w:rPr>
                      <w:rFonts w:hint="eastAsia"/>
                      <w:color w:val="auto"/>
                      <w:lang w:val="en-US" w:eastAsia="zh-CN"/>
                    </w:rPr>
                    <w:t>雾</w:t>
                  </w:r>
                  <w:r>
                    <w:rPr>
                      <w:rFonts w:hint="eastAsia"/>
                      <w:color w:val="auto"/>
                      <w:sz w:val="21"/>
                      <w:szCs w:val="21"/>
                      <w:lang w:eastAsia="zh-CN"/>
                    </w:rPr>
                    <w:t>除尘</w:t>
                  </w:r>
                  <w:r>
                    <w:rPr>
                      <w:rFonts w:hint="eastAsia"/>
                      <w:color w:val="auto"/>
                      <w:sz w:val="21"/>
                      <w:szCs w:val="21"/>
                      <w:lang w:val="en-US" w:eastAsia="zh-CN"/>
                    </w:rPr>
                    <w:t>+</w:t>
                  </w:r>
                  <w:r>
                    <w:rPr>
                      <w:rFonts w:hint="eastAsia"/>
                      <w:color w:val="auto"/>
                      <w:sz w:val="21"/>
                      <w:szCs w:val="21"/>
                      <w:lang w:eastAsia="zh-CN"/>
                    </w:rPr>
                    <w:t>静电</w:t>
                  </w:r>
                  <w:r>
                    <w:rPr>
                      <w:rFonts w:hint="eastAsia" w:ascii="Times New Roman" w:hAnsi="Times New Roman"/>
                      <w:color w:val="auto"/>
                      <w:sz w:val="21"/>
                      <w:szCs w:val="21"/>
                    </w:rPr>
                    <w:t>除尘</w:t>
                  </w:r>
                  <w:r>
                    <w:rPr>
                      <w:rFonts w:hint="eastAsia"/>
                      <w:color w:val="auto"/>
                      <w:sz w:val="21"/>
                      <w:szCs w:val="21"/>
                      <w:lang w:eastAsia="zh-CN"/>
                    </w:rPr>
                    <w:t>”</w:t>
                  </w:r>
                  <w:r>
                    <w:rPr>
                      <w:rFonts w:hint="eastAsia" w:ascii="Times New Roman" w:hAnsi="Times New Roman"/>
                      <w:color w:val="auto"/>
                      <w:sz w:val="21"/>
                      <w:szCs w:val="21"/>
                    </w:rPr>
                    <w:t>除尘后</w:t>
                  </w:r>
                  <w:r>
                    <w:rPr>
                      <w:rFonts w:hint="eastAsia"/>
                      <w:color w:val="auto"/>
                      <w:sz w:val="21"/>
                      <w:szCs w:val="21"/>
                      <w:lang w:eastAsia="zh-CN"/>
                    </w:rPr>
                    <w:t>经</w:t>
                  </w:r>
                  <w:r>
                    <w:rPr>
                      <w:rFonts w:hint="eastAsia"/>
                      <w:color w:val="auto"/>
                      <w:sz w:val="21"/>
                      <w:szCs w:val="21"/>
                      <w:lang w:val="en-US" w:eastAsia="zh-CN"/>
                    </w:rPr>
                    <w:t>15米</w:t>
                  </w:r>
                  <w:r>
                    <w:rPr>
                      <w:rFonts w:hint="eastAsia" w:ascii="Times New Roman" w:hAnsi="Times New Roman"/>
                      <w:color w:val="auto"/>
                      <w:sz w:val="21"/>
                      <w:szCs w:val="21"/>
                    </w:rPr>
                    <w:t>排气筒排放</w:t>
                  </w:r>
                  <w:r>
                    <w:rPr>
                      <w:rFonts w:hint="eastAsia" w:ascii="Times New Roman" w:hAnsi="Times New Roman"/>
                      <w:color w:val="auto"/>
                      <w:sz w:val="21"/>
                      <w:szCs w:val="21"/>
                      <w:lang w:eastAsia="zh-CN"/>
                    </w:rPr>
                    <w:t>；</w:t>
                  </w:r>
                </w:p>
                <w:p>
                  <w:pPr>
                    <w:keepNext w:val="0"/>
                    <w:keepLines w:val="0"/>
                    <w:suppressLineNumbers w:val="0"/>
                    <w:spacing w:before="0" w:beforeAutospacing="0" w:after="0" w:afterAutospacing="0"/>
                    <w:ind w:left="0" w:right="0"/>
                    <w:jc w:val="left"/>
                    <w:rPr>
                      <w:rFonts w:hint="eastAsia"/>
                      <w:color w:val="auto"/>
                      <w:sz w:val="21"/>
                      <w:szCs w:val="21"/>
                    </w:rPr>
                  </w:pPr>
                  <w:r>
                    <w:rPr>
                      <w:rFonts w:hint="eastAsia"/>
                      <w:color w:val="auto"/>
                      <w:sz w:val="21"/>
                      <w:szCs w:val="21"/>
                    </w:rPr>
                    <w:t>制棒</w:t>
                  </w:r>
                  <w:r>
                    <w:rPr>
                      <w:rFonts w:hint="eastAsia"/>
                      <w:color w:val="auto"/>
                      <w:sz w:val="21"/>
                      <w:szCs w:val="21"/>
                      <w:lang w:eastAsia="zh-CN"/>
                    </w:rPr>
                    <w:t>工序、</w:t>
                  </w:r>
                  <w:r>
                    <w:rPr>
                      <w:rFonts w:hint="eastAsia"/>
                      <w:color w:val="auto"/>
                      <w:sz w:val="21"/>
                      <w:szCs w:val="21"/>
                    </w:rPr>
                    <w:t>炭化工序废气</w:t>
                  </w:r>
                  <w:r>
                    <w:rPr>
                      <w:rFonts w:hint="eastAsia"/>
                      <w:color w:val="auto"/>
                      <w:sz w:val="21"/>
                      <w:szCs w:val="21"/>
                      <w:lang w:val="en-US" w:eastAsia="zh-CN"/>
                    </w:rPr>
                    <w:t>经</w:t>
                  </w:r>
                  <w:r>
                    <w:rPr>
                      <w:rFonts w:hint="eastAsia"/>
                      <w:color w:val="auto"/>
                      <w:sz w:val="21"/>
                      <w:szCs w:val="21"/>
                      <w:lang w:eastAsia="zh-CN"/>
                    </w:rPr>
                    <w:t>微负压引风</w:t>
                  </w:r>
                  <w:r>
                    <w:rPr>
                      <w:rFonts w:hint="eastAsia"/>
                      <w:color w:val="auto"/>
                      <w:sz w:val="21"/>
                      <w:szCs w:val="21"/>
                    </w:rPr>
                    <w:t>引入烘干</w:t>
                  </w:r>
                  <w:r>
                    <w:rPr>
                      <w:rFonts w:hint="eastAsia"/>
                      <w:color w:val="auto"/>
                      <w:sz w:val="21"/>
                      <w:szCs w:val="21"/>
                      <w:lang w:eastAsia="zh-CN"/>
                    </w:rPr>
                    <w:t>工序烘干炉焚烧处理后与烘干废气一同采用“水</w:t>
                  </w:r>
                  <w:r>
                    <w:rPr>
                      <w:rFonts w:hint="eastAsia"/>
                      <w:color w:val="auto"/>
                      <w:lang w:val="en-US" w:eastAsia="zh-CN"/>
                    </w:rPr>
                    <w:t>雾</w:t>
                  </w:r>
                  <w:r>
                    <w:rPr>
                      <w:rFonts w:hint="eastAsia"/>
                      <w:color w:val="auto"/>
                      <w:sz w:val="21"/>
                      <w:szCs w:val="21"/>
                      <w:lang w:eastAsia="zh-CN"/>
                    </w:rPr>
                    <w:t>除尘</w:t>
                  </w:r>
                  <w:r>
                    <w:rPr>
                      <w:rFonts w:hint="eastAsia"/>
                      <w:color w:val="auto"/>
                      <w:sz w:val="21"/>
                      <w:szCs w:val="21"/>
                      <w:lang w:val="en-US" w:eastAsia="zh-CN"/>
                    </w:rPr>
                    <w:t>+</w:t>
                  </w:r>
                  <w:r>
                    <w:rPr>
                      <w:rFonts w:hint="eastAsia"/>
                      <w:color w:val="auto"/>
                      <w:sz w:val="21"/>
                      <w:szCs w:val="21"/>
                      <w:lang w:eastAsia="zh-CN"/>
                    </w:rPr>
                    <w:t>静电</w:t>
                  </w:r>
                  <w:r>
                    <w:rPr>
                      <w:rFonts w:hint="eastAsia" w:ascii="Times New Roman" w:hAnsi="Times New Roman"/>
                      <w:color w:val="auto"/>
                      <w:sz w:val="21"/>
                      <w:szCs w:val="21"/>
                    </w:rPr>
                    <w:t>除尘</w:t>
                  </w:r>
                  <w:r>
                    <w:rPr>
                      <w:rFonts w:hint="eastAsia"/>
                      <w:color w:val="auto"/>
                      <w:sz w:val="21"/>
                      <w:szCs w:val="21"/>
                      <w:lang w:eastAsia="zh-CN"/>
                    </w:rPr>
                    <w:t>”</w:t>
                  </w:r>
                  <w:r>
                    <w:rPr>
                      <w:rFonts w:hint="eastAsia" w:ascii="Times New Roman" w:hAnsi="Times New Roman"/>
                      <w:color w:val="auto"/>
                      <w:sz w:val="21"/>
                      <w:szCs w:val="21"/>
                    </w:rPr>
                    <w:t>除尘后</w:t>
                  </w:r>
                  <w:r>
                    <w:rPr>
                      <w:rFonts w:hint="eastAsia"/>
                      <w:color w:val="auto"/>
                      <w:sz w:val="21"/>
                      <w:szCs w:val="21"/>
                      <w:lang w:eastAsia="zh-CN"/>
                    </w:rPr>
                    <w:t>经</w:t>
                  </w:r>
                  <w:r>
                    <w:rPr>
                      <w:rFonts w:hint="eastAsia"/>
                      <w:color w:val="auto"/>
                      <w:sz w:val="21"/>
                      <w:szCs w:val="21"/>
                      <w:lang w:val="en-US" w:eastAsia="zh-CN"/>
                    </w:rPr>
                    <w:t>15米</w:t>
                  </w:r>
                  <w:r>
                    <w:rPr>
                      <w:rFonts w:hint="eastAsia" w:ascii="Times New Roman" w:hAnsi="Times New Roman"/>
                      <w:color w:val="auto"/>
                      <w:sz w:val="21"/>
                      <w:szCs w:val="21"/>
                    </w:rPr>
                    <w:t>排气筒排放</w:t>
                  </w:r>
                  <w:r>
                    <w:rPr>
                      <w:rFonts w:hint="eastAsia"/>
                      <w:color w:val="auto"/>
                      <w:sz w:val="21"/>
                      <w:szCs w:val="21"/>
                      <w:lang w:val="en-US" w:eastAsia="zh-CN"/>
                    </w:rPr>
                    <w:t>。</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color w:val="auto"/>
                      <w:sz w:val="21"/>
                      <w:szCs w:val="21"/>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噪声</w:t>
                  </w:r>
                </w:p>
              </w:tc>
              <w:tc>
                <w:tcPr>
                  <w:tcW w:w="5960" w:type="dxa"/>
                  <w:vAlign w:val="center"/>
                </w:tcPr>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eastAsia="zh-CN"/>
                    </w:rPr>
                    <w:t>隔声、减震措施、</w:t>
                  </w:r>
                  <w:r>
                    <w:rPr>
                      <w:rFonts w:hint="eastAsia" w:asciiTheme="minorEastAsia" w:hAnsiTheme="minorEastAsia" w:eastAsiaTheme="minorEastAsia" w:cstheme="minorEastAsia"/>
                      <w:color w:val="auto"/>
                      <w:kern w:val="0"/>
                      <w:sz w:val="21"/>
                      <w:szCs w:val="21"/>
                      <w:lang w:val="en-US" w:eastAsia="zh-CN"/>
                    </w:rPr>
                    <w:t>合理布局、南北两侧山体阻隔、植被吸声</w:t>
                  </w:r>
                  <w:r>
                    <w:rPr>
                      <w:rFonts w:hint="eastAsia"/>
                      <w:b w:val="0"/>
                      <w:bCs w:val="0"/>
                      <w:color w:val="auto"/>
                      <w:sz w:val="21"/>
                      <w:szCs w:val="21"/>
                      <w:highlight w:val="none"/>
                      <w:lang w:val="en-US" w:eastAsia="zh-CN"/>
                    </w:rPr>
                    <w:t>等措施</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auto"/>
                      <w:kern w:val="0"/>
                      <w:sz w:val="21"/>
                      <w:szCs w:val="21"/>
                      <w:lang w:eastAsia="zh-CN"/>
                    </w:rPr>
                  </w:pPr>
                  <w:r>
                    <w:rPr>
                      <w:rFonts w:hint="eastAsia"/>
                      <w:b w:val="0"/>
                      <w:bCs w:val="0"/>
                      <w:color w:val="auto"/>
                      <w:sz w:val="21"/>
                      <w:szCs w:val="21"/>
                      <w:u w:val="none"/>
                      <w:lang w:val="en-US" w:eastAsia="zh-CN"/>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06" w:type="dxa"/>
                  <w:vMerge w:val="continue"/>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p>
              </w:tc>
              <w:tc>
                <w:tcPr>
                  <w:tcW w:w="1716" w:type="dxa"/>
                  <w:tcMar>
                    <w:top w:w="0" w:type="dxa"/>
                    <w:left w:w="0" w:type="dxa"/>
                    <w:right w:w="0" w:type="dxa"/>
                  </w:tcMar>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固废</w:t>
                  </w:r>
                </w:p>
              </w:tc>
              <w:tc>
                <w:tcPr>
                  <w:tcW w:w="5960" w:type="dxa"/>
                  <w:vAlign w:val="top"/>
                </w:tcPr>
                <w:p>
                  <w:pPr>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生活垃圾</w:t>
                  </w:r>
                  <w:r>
                    <w:rPr>
                      <w:rFonts w:hint="eastAsia"/>
                      <w:color w:val="auto"/>
                      <w:sz w:val="21"/>
                      <w:szCs w:val="21"/>
                      <w:lang w:eastAsia="zh-CN"/>
                    </w:rPr>
                    <w:t>：垃圾桶</w:t>
                  </w:r>
                  <w:r>
                    <w:rPr>
                      <w:rFonts w:hint="eastAsia"/>
                      <w:color w:val="auto"/>
                      <w:sz w:val="21"/>
                      <w:szCs w:val="21"/>
                    </w:rPr>
                    <w:t>收集后</w:t>
                  </w:r>
                  <w:r>
                    <w:rPr>
                      <w:rFonts w:hint="eastAsia"/>
                      <w:color w:val="auto"/>
                      <w:sz w:val="21"/>
                      <w:szCs w:val="21"/>
                      <w:lang w:eastAsia="zh-CN"/>
                    </w:rPr>
                    <w:t>交由当地环卫部门统一</w:t>
                  </w:r>
                  <w:r>
                    <w:rPr>
                      <w:rFonts w:hint="eastAsia"/>
                      <w:color w:val="auto"/>
                      <w:sz w:val="21"/>
                      <w:szCs w:val="21"/>
                    </w:rPr>
                    <w:t>送垃圾填埋场填埋处置；</w:t>
                  </w:r>
                </w:p>
                <w:p>
                  <w:pPr>
                    <w:keepNext w:val="0"/>
                    <w:keepLines w:val="0"/>
                    <w:suppressLineNumbers w:val="0"/>
                    <w:spacing w:before="0" w:beforeAutospacing="0" w:after="0" w:afterAutospacing="0"/>
                    <w:ind w:left="0" w:right="0"/>
                    <w:rPr>
                      <w:rFonts w:hint="default"/>
                      <w:color w:val="auto"/>
                      <w:szCs w:val="20"/>
                      <w:lang w:val="en-US" w:eastAsia="zh-CN"/>
                    </w:rPr>
                  </w:pPr>
                  <w:r>
                    <w:rPr>
                      <w:rFonts w:hint="eastAsia"/>
                      <w:color w:val="auto"/>
                      <w:sz w:val="21"/>
                      <w:szCs w:val="21"/>
                    </w:rPr>
                    <w:t>除尘收集粉尘</w:t>
                  </w:r>
                  <w:r>
                    <w:rPr>
                      <w:rFonts w:hint="eastAsia"/>
                      <w:color w:val="auto"/>
                      <w:sz w:val="21"/>
                      <w:szCs w:val="21"/>
                      <w:lang w:eastAsia="zh-CN"/>
                    </w:rPr>
                    <w:t>、</w:t>
                  </w:r>
                  <w:r>
                    <w:rPr>
                      <w:rFonts w:hint="eastAsia" w:hAnsi="宋体" w:eastAsia="宋体" w:cs="宋体"/>
                      <w:b w:val="0"/>
                      <w:bCs w:val="0"/>
                      <w:color w:val="auto"/>
                      <w:sz w:val="21"/>
                      <w:szCs w:val="21"/>
                      <w:u w:val="single"/>
                      <w:vertAlign w:val="baseline"/>
                      <w:lang w:val="en-US" w:eastAsia="zh-CN"/>
                    </w:rPr>
                    <w:t>水</w:t>
                  </w:r>
                  <w:r>
                    <w:rPr>
                      <w:rFonts w:hint="eastAsia" w:hAnsi="宋体" w:cs="宋体"/>
                      <w:b w:val="0"/>
                      <w:bCs w:val="0"/>
                      <w:color w:val="auto"/>
                      <w:sz w:val="21"/>
                      <w:szCs w:val="21"/>
                      <w:u w:val="single"/>
                      <w:vertAlign w:val="baseline"/>
                      <w:lang w:val="en-US" w:eastAsia="zh-CN"/>
                    </w:rPr>
                    <w:t>雾</w:t>
                  </w:r>
                  <w:r>
                    <w:rPr>
                      <w:rFonts w:hint="eastAsia" w:hAnsi="宋体" w:eastAsia="宋体" w:cs="宋体"/>
                      <w:b w:val="0"/>
                      <w:bCs w:val="0"/>
                      <w:color w:val="auto"/>
                      <w:sz w:val="21"/>
                      <w:szCs w:val="21"/>
                      <w:vertAlign w:val="baseline"/>
                      <w:lang w:val="en-US" w:eastAsia="zh-CN"/>
                    </w:rPr>
                    <w:t>除尘污泥</w:t>
                  </w:r>
                  <w:r>
                    <w:rPr>
                      <w:rFonts w:hint="eastAsia" w:hAnsi="宋体" w:cs="宋体"/>
                      <w:b w:val="0"/>
                      <w:bCs w:val="0"/>
                      <w:color w:val="auto"/>
                      <w:sz w:val="21"/>
                      <w:szCs w:val="21"/>
                      <w:vertAlign w:val="baseline"/>
                      <w:lang w:val="en-US" w:eastAsia="zh-CN"/>
                    </w:rPr>
                    <w:t>等</w:t>
                  </w:r>
                  <w:r>
                    <w:rPr>
                      <w:rFonts w:hint="default"/>
                      <w:b w:val="0"/>
                      <w:bCs w:val="0"/>
                      <w:color w:val="auto"/>
                      <w:sz w:val="21"/>
                      <w:szCs w:val="21"/>
                    </w:rPr>
                    <w:t>一般</w:t>
                  </w:r>
                  <w:r>
                    <w:rPr>
                      <w:rFonts w:hint="eastAsia"/>
                      <w:b w:val="0"/>
                      <w:bCs w:val="0"/>
                      <w:color w:val="auto"/>
                      <w:sz w:val="21"/>
                      <w:szCs w:val="21"/>
                      <w:lang w:eastAsia="zh-CN"/>
                    </w:rPr>
                    <w:t>工业</w:t>
                  </w:r>
                  <w:r>
                    <w:rPr>
                      <w:rFonts w:hint="default"/>
                      <w:b w:val="0"/>
                      <w:bCs w:val="0"/>
                      <w:color w:val="auto"/>
                      <w:sz w:val="21"/>
                      <w:szCs w:val="21"/>
                    </w:rPr>
                    <w:t>固体废物</w:t>
                  </w:r>
                  <w:r>
                    <w:rPr>
                      <w:rFonts w:hint="eastAsia" w:hAnsi="宋体" w:cs="宋体"/>
                      <w:b w:val="0"/>
                      <w:bCs w:val="0"/>
                      <w:color w:val="auto"/>
                      <w:sz w:val="21"/>
                      <w:szCs w:val="21"/>
                      <w:vertAlign w:val="baseline"/>
                      <w:lang w:val="en-US" w:eastAsia="zh-CN"/>
                    </w:rPr>
                    <w:t>均</w:t>
                  </w:r>
                  <w:r>
                    <w:rPr>
                      <w:rFonts w:hint="eastAsia"/>
                      <w:color w:val="auto"/>
                      <w:sz w:val="21"/>
                      <w:szCs w:val="21"/>
                    </w:rPr>
                    <w:t>返回生产线重新利用</w:t>
                  </w:r>
                  <w:r>
                    <w:rPr>
                      <w:rFonts w:hint="eastAsia"/>
                      <w:color w:val="auto"/>
                      <w:sz w:val="21"/>
                      <w:szCs w:val="21"/>
                      <w:lang w:eastAsia="zh-CN"/>
                    </w:rPr>
                    <w:t>；</w:t>
                  </w:r>
                  <w:r>
                    <w:rPr>
                      <w:rFonts w:hint="eastAsia" w:asciiTheme="minorEastAsia" w:hAnsiTheme="minorEastAsia" w:eastAsiaTheme="minorEastAsia" w:cstheme="minorEastAsia"/>
                      <w:b/>
                      <w:bCs/>
                      <w:color w:val="auto"/>
                      <w:kern w:val="0"/>
                      <w:sz w:val="21"/>
                      <w:szCs w:val="21"/>
                      <w:highlight w:val="none"/>
                      <w:u w:val="none"/>
                      <w:lang w:val="en-US" w:eastAsia="zh-CN"/>
                    </w:rPr>
                    <w:t xml:space="preserve"> </w:t>
                  </w:r>
                  <w:r>
                    <w:rPr>
                      <w:rFonts w:hint="eastAsia" w:asciiTheme="minorEastAsia" w:hAnsiTheme="minorEastAsia" w:eastAsiaTheme="minorEastAsia" w:cstheme="minorEastAsia"/>
                      <w:b w:val="0"/>
                      <w:bCs w:val="0"/>
                      <w:color w:val="auto"/>
                      <w:kern w:val="0"/>
                      <w:sz w:val="21"/>
                      <w:szCs w:val="21"/>
                      <w:highlight w:val="none"/>
                      <w:u w:val="none"/>
                      <w:lang w:val="en-US" w:eastAsia="zh-CN"/>
                    </w:rPr>
                    <w:t xml:space="preserve">                         </w:t>
                  </w:r>
                </w:p>
              </w:tc>
              <w:tc>
                <w:tcPr>
                  <w:tcW w:w="783" w:type="dxa"/>
                  <w:vAlign w:val="center"/>
                </w:tcPr>
                <w:p>
                  <w:pPr>
                    <w:keepNext w:val="0"/>
                    <w:keepLines w:val="0"/>
                    <w:suppressLineNumbers w:val="0"/>
                    <w:spacing w:before="0" w:beforeAutospacing="0" w:after="0" w:afterAutospacing="0"/>
                    <w:ind w:left="0" w:leftChars="0" w:right="0" w:rightChars="0"/>
                    <w:jc w:val="left"/>
                    <w:rPr>
                      <w:rFonts w:hint="eastAsia"/>
                      <w:color w:val="auto"/>
                      <w:sz w:val="21"/>
                      <w:szCs w:val="21"/>
                    </w:rPr>
                  </w:pPr>
                  <w:r>
                    <w:rPr>
                      <w:rFonts w:hint="eastAsia"/>
                      <w:b w:val="0"/>
                      <w:bCs w:val="0"/>
                      <w:color w:val="auto"/>
                      <w:sz w:val="21"/>
                      <w:szCs w:val="21"/>
                      <w:u w:val="none"/>
                      <w:lang w:val="en-US" w:eastAsia="zh-CN"/>
                    </w:rPr>
                    <w:t>拟建</w:t>
                  </w:r>
                </w:p>
              </w:tc>
            </w:tr>
          </w:tbl>
          <w:p>
            <w:pPr>
              <w:spacing w:line="360" w:lineRule="auto"/>
              <w:jc w:val="both"/>
              <w:textAlignment w:val="center"/>
              <w:rPr>
                <w:rFonts w:hint="eastAsia" w:ascii="Times New Roman" w:hAnsi="Times New Roman"/>
                <w:b/>
                <w:color w:val="auto"/>
                <w:szCs w:val="21"/>
                <w:u w:val="none"/>
              </w:rPr>
            </w:pPr>
          </w:p>
          <w:p>
            <w:pPr>
              <w:spacing w:line="360" w:lineRule="auto"/>
              <w:textAlignment w:val="center"/>
              <w:rPr>
                <w:rFonts w:hint="eastAsia" w:ascii="Times New Roman" w:hAnsi="Times New Roman"/>
                <w:b/>
                <w:color w:val="auto"/>
                <w:sz w:val="24"/>
                <w:szCs w:val="24"/>
                <w:u w:val="none"/>
              </w:rPr>
            </w:pPr>
            <w:r>
              <w:rPr>
                <w:rFonts w:hint="eastAsia" w:ascii="Times New Roman" w:hAnsi="Times New Roman"/>
                <w:b/>
                <w:color w:val="auto"/>
                <w:sz w:val="24"/>
                <w:szCs w:val="24"/>
                <w:u w:val="none"/>
              </w:rPr>
              <w:t>1.4 主要原辅材料、能源消耗</w:t>
            </w:r>
          </w:p>
          <w:p>
            <w:pPr>
              <w:spacing w:line="360" w:lineRule="auto"/>
              <w:ind w:firstLine="470" w:firstLineChars="196"/>
              <w:textAlignment w:val="center"/>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项目主要原材料为竹制品加工、木材加工厂的边角料。项目年产机制炭</w:t>
            </w:r>
            <w:r>
              <w:rPr>
                <w:rFonts w:hint="eastAsia" w:ascii="Times New Roman" w:hAnsi="Times New Roman" w:eastAsia="宋体" w:cs="Times New Roman"/>
                <w:color w:val="auto"/>
                <w:sz w:val="24"/>
                <w:szCs w:val="24"/>
                <w:u w:val="none"/>
                <w:lang w:val="en-US" w:eastAsia="zh-CN"/>
              </w:rPr>
              <w:t>3</w:t>
            </w:r>
            <w:r>
              <w:rPr>
                <w:rFonts w:hint="eastAsia" w:ascii="Times New Roman" w:hAnsi="Times New Roman" w:eastAsia="宋体" w:cs="Times New Roman"/>
                <w:color w:val="auto"/>
                <w:sz w:val="24"/>
                <w:szCs w:val="24"/>
                <w:u w:val="none"/>
              </w:rPr>
              <w:t>000吨，根据测算，按照</w:t>
            </w:r>
            <w:r>
              <w:rPr>
                <w:rFonts w:hint="eastAsia" w:ascii="Times New Roman" w:hAnsi="Times New Roman" w:eastAsia="宋体" w:cs="Times New Roman"/>
                <w:color w:val="auto"/>
                <w:sz w:val="24"/>
                <w:szCs w:val="24"/>
                <w:u w:val="none"/>
                <w:lang w:val="en-US" w:eastAsia="zh-CN"/>
              </w:rPr>
              <w:t>5</w:t>
            </w:r>
            <w:r>
              <w:rPr>
                <w:rFonts w:hint="eastAsia" w:ascii="Times New Roman" w:hAnsi="Times New Roman" w:eastAsia="宋体" w:cs="Times New Roman"/>
                <w:color w:val="auto"/>
                <w:sz w:val="24"/>
                <w:szCs w:val="24"/>
                <w:u w:val="none"/>
              </w:rPr>
              <w:t>:1分析年需竹制品加工边角料原料约</w:t>
            </w:r>
            <w:r>
              <w:rPr>
                <w:rFonts w:hint="eastAsia" w:ascii="Times New Roman" w:hAnsi="Times New Roman" w:eastAsia="宋体" w:cs="Times New Roman"/>
                <w:color w:val="auto"/>
                <w:sz w:val="24"/>
                <w:szCs w:val="24"/>
                <w:u w:val="none"/>
                <w:lang w:val="en-US" w:eastAsia="zh-CN"/>
              </w:rPr>
              <w:t>15</w:t>
            </w:r>
            <w:r>
              <w:rPr>
                <w:rFonts w:hint="eastAsia" w:ascii="Times New Roman" w:hAnsi="Times New Roman" w:eastAsia="宋体" w:cs="Times New Roman"/>
                <w:color w:val="auto"/>
                <w:sz w:val="24"/>
                <w:szCs w:val="24"/>
                <w:u w:val="none"/>
              </w:rPr>
              <w:t>000吨。产品包装箱，按照25公斤包装，年需纸箱</w:t>
            </w:r>
            <w:r>
              <w:rPr>
                <w:rFonts w:hint="eastAsia" w:ascii="Times New Roman" w:hAnsi="Times New Roman" w:eastAsia="宋体" w:cs="Times New Roman"/>
                <w:color w:val="auto"/>
                <w:sz w:val="24"/>
                <w:szCs w:val="24"/>
                <w:u w:val="none"/>
                <w:lang w:val="en-US" w:eastAsia="zh-CN"/>
              </w:rPr>
              <w:t>12</w:t>
            </w:r>
            <w:r>
              <w:rPr>
                <w:rFonts w:hint="eastAsia" w:ascii="Times New Roman" w:hAnsi="Times New Roman" w:eastAsia="宋体" w:cs="Times New Roman"/>
                <w:color w:val="auto"/>
                <w:sz w:val="24"/>
                <w:szCs w:val="24"/>
                <w:u w:val="none"/>
              </w:rPr>
              <w:t>万套。这些包装物的供应在洪江</w:t>
            </w:r>
            <w:r>
              <w:rPr>
                <w:rFonts w:hint="eastAsia" w:ascii="Times New Roman" w:hAnsi="Times New Roman" w:eastAsia="宋体" w:cs="Times New Roman"/>
                <w:color w:val="auto"/>
                <w:sz w:val="24"/>
                <w:szCs w:val="24"/>
                <w:u w:val="none"/>
                <w:lang w:eastAsia="zh-CN"/>
              </w:rPr>
              <w:t>区</w:t>
            </w:r>
            <w:r>
              <w:rPr>
                <w:rFonts w:hint="eastAsia" w:ascii="Times New Roman" w:hAnsi="Times New Roman" w:eastAsia="宋体" w:cs="Times New Roman"/>
                <w:color w:val="auto"/>
                <w:sz w:val="24"/>
                <w:szCs w:val="24"/>
                <w:u w:val="none"/>
              </w:rPr>
              <w:t>生产厂家都可以完全供应。</w:t>
            </w:r>
          </w:p>
          <w:p>
            <w:pPr>
              <w:spacing w:line="360" w:lineRule="auto"/>
              <w:ind w:firstLine="470" w:firstLineChars="196"/>
              <w:textAlignment w:val="center"/>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主要原材料与能源消耗见下表1-3。</w:t>
            </w:r>
          </w:p>
          <w:p>
            <w:pPr>
              <w:pStyle w:val="43"/>
              <w:ind w:firstLine="482"/>
              <w:rPr>
                <w:rFonts w:hAnsiTheme="minorEastAsia" w:eastAsiaTheme="minorEastAsia"/>
                <w:color w:val="auto"/>
                <w:sz w:val="21"/>
                <w:szCs w:val="21"/>
              </w:rPr>
            </w:pPr>
            <w:r>
              <w:rPr>
                <w:rFonts w:hint="eastAsia" w:hAnsiTheme="minorEastAsia" w:eastAsiaTheme="minorEastAsia"/>
                <w:color w:val="auto"/>
                <w:sz w:val="21"/>
                <w:szCs w:val="21"/>
              </w:rPr>
              <w:t>表</w:t>
            </w:r>
            <w:r>
              <w:rPr>
                <w:rFonts w:hAnsiTheme="minorEastAsia" w:eastAsiaTheme="minorEastAsia"/>
                <w:color w:val="auto"/>
                <w:sz w:val="21"/>
                <w:szCs w:val="21"/>
              </w:rPr>
              <w:t>1-</w:t>
            </w:r>
            <w:r>
              <w:rPr>
                <w:rFonts w:hint="eastAsia" w:hAnsiTheme="minorEastAsia" w:eastAsiaTheme="minorEastAsia"/>
                <w:color w:val="auto"/>
                <w:sz w:val="21"/>
                <w:szCs w:val="21"/>
              </w:rPr>
              <w:t>3：主要原辅材料、能源消耗一览表</w:t>
            </w:r>
          </w:p>
          <w:tbl>
            <w:tblPr>
              <w:tblStyle w:val="22"/>
              <w:tblW w:w="899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57"/>
              <w:gridCol w:w="990"/>
              <w:gridCol w:w="1633"/>
              <w:gridCol w:w="1541"/>
              <w:gridCol w:w="1300"/>
              <w:gridCol w:w="28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05" w:hRule="atLeast"/>
                <w:jc w:val="center"/>
              </w:trPr>
              <w:tc>
                <w:tcPr>
                  <w:tcW w:w="657" w:type="dxa"/>
                  <w:vAlign w:val="center"/>
                </w:tcPr>
                <w:p>
                  <w:pPr>
                    <w:pStyle w:val="42"/>
                    <w:rPr>
                      <w:color w:val="auto"/>
                    </w:rPr>
                  </w:pPr>
                  <w:r>
                    <w:rPr>
                      <w:rFonts w:hint="eastAsia"/>
                      <w:color w:val="auto"/>
                    </w:rPr>
                    <w:t>序号</w:t>
                  </w:r>
                </w:p>
              </w:tc>
              <w:tc>
                <w:tcPr>
                  <w:tcW w:w="990" w:type="dxa"/>
                  <w:vAlign w:val="center"/>
                </w:tcPr>
                <w:p>
                  <w:pPr>
                    <w:pStyle w:val="42"/>
                    <w:rPr>
                      <w:color w:val="auto"/>
                    </w:rPr>
                  </w:pPr>
                  <w:r>
                    <w:rPr>
                      <w:rFonts w:hint="eastAsia"/>
                      <w:color w:val="auto"/>
                    </w:rPr>
                    <w:t>类别</w:t>
                  </w:r>
                </w:p>
              </w:tc>
              <w:tc>
                <w:tcPr>
                  <w:tcW w:w="1633" w:type="dxa"/>
                  <w:vAlign w:val="center"/>
                </w:tcPr>
                <w:p>
                  <w:pPr>
                    <w:pStyle w:val="42"/>
                    <w:rPr>
                      <w:color w:val="auto"/>
                    </w:rPr>
                  </w:pPr>
                  <w:r>
                    <w:rPr>
                      <w:rFonts w:hint="eastAsia"/>
                      <w:color w:val="auto"/>
                    </w:rPr>
                    <w:t>名称</w:t>
                  </w:r>
                </w:p>
              </w:tc>
              <w:tc>
                <w:tcPr>
                  <w:tcW w:w="1541" w:type="dxa"/>
                  <w:vAlign w:val="center"/>
                </w:tcPr>
                <w:p>
                  <w:pPr>
                    <w:pStyle w:val="42"/>
                    <w:rPr>
                      <w:color w:val="auto"/>
                    </w:rPr>
                  </w:pPr>
                  <w:r>
                    <w:rPr>
                      <w:rFonts w:hint="eastAsia"/>
                      <w:color w:val="auto"/>
                    </w:rPr>
                    <w:t>年需求量</w:t>
                  </w:r>
                </w:p>
              </w:tc>
              <w:tc>
                <w:tcPr>
                  <w:tcW w:w="1300" w:type="dxa"/>
                  <w:vAlign w:val="center"/>
                </w:tcPr>
                <w:p>
                  <w:pPr>
                    <w:pStyle w:val="42"/>
                    <w:rPr>
                      <w:color w:val="auto"/>
                    </w:rPr>
                  </w:pPr>
                  <w:r>
                    <w:rPr>
                      <w:rFonts w:hint="eastAsia"/>
                      <w:color w:val="auto"/>
                    </w:rPr>
                    <w:t>最大贮</w:t>
                  </w:r>
                </w:p>
                <w:p>
                  <w:pPr>
                    <w:pStyle w:val="42"/>
                    <w:rPr>
                      <w:color w:val="auto"/>
                    </w:rPr>
                  </w:pPr>
                  <w:r>
                    <w:rPr>
                      <w:rFonts w:hint="eastAsia"/>
                      <w:color w:val="auto"/>
                    </w:rPr>
                    <w:t>存量</w:t>
                  </w:r>
                </w:p>
              </w:tc>
              <w:tc>
                <w:tcPr>
                  <w:tcW w:w="2875" w:type="dxa"/>
                  <w:vAlign w:val="center"/>
                </w:tcPr>
                <w:p>
                  <w:pPr>
                    <w:pStyle w:val="42"/>
                    <w:rPr>
                      <w:color w:val="auto"/>
                    </w:rPr>
                  </w:pPr>
                  <w:r>
                    <w:rPr>
                      <w:rFonts w:hint="eastAsia"/>
                      <w:color w:val="auto"/>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82" w:hRule="atLeast"/>
                <w:jc w:val="center"/>
              </w:trPr>
              <w:tc>
                <w:tcPr>
                  <w:tcW w:w="657" w:type="dxa"/>
                  <w:vAlign w:val="center"/>
                </w:tcPr>
                <w:p>
                  <w:pPr>
                    <w:pStyle w:val="42"/>
                    <w:rPr>
                      <w:color w:val="auto"/>
                    </w:rPr>
                  </w:pPr>
                  <w:r>
                    <w:rPr>
                      <w:color w:val="auto"/>
                    </w:rPr>
                    <w:t>1</w:t>
                  </w:r>
                </w:p>
              </w:tc>
              <w:tc>
                <w:tcPr>
                  <w:tcW w:w="990" w:type="dxa"/>
                  <w:vAlign w:val="center"/>
                </w:tcPr>
                <w:p>
                  <w:pPr>
                    <w:pStyle w:val="42"/>
                    <w:rPr>
                      <w:color w:val="auto"/>
                    </w:rPr>
                  </w:pPr>
                  <w:r>
                    <w:rPr>
                      <w:rFonts w:hint="eastAsia"/>
                      <w:color w:val="auto"/>
                    </w:rPr>
                    <w:t>原材料</w:t>
                  </w:r>
                </w:p>
              </w:tc>
              <w:tc>
                <w:tcPr>
                  <w:tcW w:w="1633" w:type="dxa"/>
                  <w:vAlign w:val="center"/>
                </w:tcPr>
                <w:p>
                  <w:pPr>
                    <w:pStyle w:val="42"/>
                    <w:rPr>
                      <w:color w:val="auto"/>
                    </w:rPr>
                  </w:pPr>
                  <w:r>
                    <w:rPr>
                      <w:rFonts w:hint="eastAsia"/>
                      <w:bCs/>
                      <w:color w:val="auto"/>
                    </w:rPr>
                    <w:t>竹木加工厂废料</w:t>
                  </w:r>
                </w:p>
              </w:tc>
              <w:tc>
                <w:tcPr>
                  <w:tcW w:w="1541" w:type="dxa"/>
                  <w:vAlign w:val="center"/>
                </w:tcPr>
                <w:p>
                  <w:pPr>
                    <w:pStyle w:val="42"/>
                    <w:rPr>
                      <w:color w:val="auto"/>
                    </w:rPr>
                  </w:pPr>
                  <w:r>
                    <w:rPr>
                      <w:rFonts w:hint="eastAsia"/>
                      <w:color w:val="auto"/>
                      <w:lang w:val="en-US" w:eastAsia="zh-CN"/>
                    </w:rPr>
                    <w:t>15</w:t>
                  </w:r>
                  <w:r>
                    <w:rPr>
                      <w:rFonts w:hint="eastAsia"/>
                      <w:color w:val="auto"/>
                    </w:rPr>
                    <w:t>000t</w:t>
                  </w:r>
                </w:p>
              </w:tc>
              <w:tc>
                <w:tcPr>
                  <w:tcW w:w="1300" w:type="dxa"/>
                  <w:vAlign w:val="center"/>
                </w:tcPr>
                <w:p>
                  <w:pPr>
                    <w:pStyle w:val="42"/>
                    <w:rPr>
                      <w:color w:val="auto"/>
                    </w:rPr>
                  </w:pPr>
                  <w:r>
                    <w:rPr>
                      <w:rFonts w:hint="eastAsia"/>
                      <w:color w:val="auto"/>
                    </w:rPr>
                    <w:t>500</w:t>
                  </w:r>
                  <w:r>
                    <w:rPr>
                      <w:color w:val="auto"/>
                    </w:rPr>
                    <w:t>t</w:t>
                  </w:r>
                </w:p>
              </w:tc>
              <w:tc>
                <w:tcPr>
                  <w:tcW w:w="2875" w:type="dxa"/>
                  <w:vAlign w:val="center"/>
                </w:tcPr>
                <w:p>
                  <w:pPr>
                    <w:pStyle w:val="42"/>
                    <w:rPr>
                      <w:rFonts w:ascii="宋体" w:hAnsi="宋体"/>
                      <w:color w:val="auto"/>
                    </w:rPr>
                  </w:pPr>
                  <w:r>
                    <w:rPr>
                      <w:rFonts w:hint="eastAsia" w:ascii="宋体" w:hAnsi="宋体"/>
                      <w:color w:val="auto"/>
                      <w:lang w:eastAsia="zh-CN"/>
                    </w:rPr>
                    <w:t>现有竹胶板生产线产生的木屑及</w:t>
                  </w:r>
                  <w:r>
                    <w:rPr>
                      <w:rFonts w:hint="eastAsia" w:ascii="宋体" w:hAnsi="宋体"/>
                      <w:color w:val="auto"/>
                    </w:rPr>
                    <w:t>周边企业回收（袋装）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9" w:hRule="atLeast"/>
                <w:jc w:val="center"/>
              </w:trPr>
              <w:tc>
                <w:tcPr>
                  <w:tcW w:w="657" w:type="dxa"/>
                  <w:vAlign w:val="center"/>
                </w:tcPr>
                <w:p>
                  <w:pPr>
                    <w:pStyle w:val="42"/>
                    <w:rPr>
                      <w:color w:val="auto"/>
                    </w:rPr>
                  </w:pPr>
                  <w:r>
                    <w:rPr>
                      <w:rFonts w:hint="eastAsia"/>
                      <w:color w:val="auto"/>
                    </w:rPr>
                    <w:t>2</w:t>
                  </w:r>
                </w:p>
              </w:tc>
              <w:tc>
                <w:tcPr>
                  <w:tcW w:w="990" w:type="dxa"/>
                  <w:vAlign w:val="center"/>
                </w:tcPr>
                <w:p>
                  <w:pPr>
                    <w:pStyle w:val="42"/>
                    <w:rPr>
                      <w:color w:val="auto"/>
                    </w:rPr>
                  </w:pPr>
                  <w:r>
                    <w:rPr>
                      <w:rFonts w:hint="eastAsia"/>
                      <w:color w:val="auto"/>
                    </w:rPr>
                    <w:t>辅料</w:t>
                  </w:r>
                </w:p>
              </w:tc>
              <w:tc>
                <w:tcPr>
                  <w:tcW w:w="1633" w:type="dxa"/>
                  <w:vAlign w:val="center"/>
                </w:tcPr>
                <w:p>
                  <w:pPr>
                    <w:pStyle w:val="42"/>
                    <w:rPr>
                      <w:color w:val="auto"/>
                    </w:rPr>
                  </w:pPr>
                  <w:r>
                    <w:rPr>
                      <w:rFonts w:hint="eastAsia"/>
                      <w:color w:val="auto"/>
                    </w:rPr>
                    <w:t>包装纸箱</w:t>
                  </w:r>
                </w:p>
              </w:tc>
              <w:tc>
                <w:tcPr>
                  <w:tcW w:w="1541" w:type="dxa"/>
                  <w:vAlign w:val="center"/>
                </w:tcPr>
                <w:p>
                  <w:pPr>
                    <w:pStyle w:val="42"/>
                    <w:rPr>
                      <w:color w:val="auto"/>
                    </w:rPr>
                  </w:pPr>
                  <w:r>
                    <w:rPr>
                      <w:rFonts w:hint="eastAsia"/>
                      <w:color w:val="auto"/>
                      <w:lang w:val="en-US" w:eastAsia="zh-CN"/>
                    </w:rPr>
                    <w:t>12</w:t>
                  </w:r>
                  <w:r>
                    <w:rPr>
                      <w:rFonts w:hint="eastAsia"/>
                      <w:color w:val="auto"/>
                    </w:rPr>
                    <w:t>0000套</w:t>
                  </w:r>
                </w:p>
              </w:tc>
              <w:tc>
                <w:tcPr>
                  <w:tcW w:w="1300" w:type="dxa"/>
                  <w:vAlign w:val="center"/>
                </w:tcPr>
                <w:p>
                  <w:pPr>
                    <w:pStyle w:val="42"/>
                    <w:rPr>
                      <w:color w:val="auto"/>
                    </w:rPr>
                  </w:pPr>
                  <w:r>
                    <w:rPr>
                      <w:rFonts w:hint="eastAsia"/>
                      <w:color w:val="auto"/>
                      <w:lang w:val="en-US" w:eastAsia="zh-CN"/>
                    </w:rPr>
                    <w:t>5</w:t>
                  </w:r>
                  <w:r>
                    <w:rPr>
                      <w:rFonts w:hint="eastAsia"/>
                      <w:color w:val="auto"/>
                    </w:rPr>
                    <w:t>000</w:t>
                  </w:r>
                  <w:r>
                    <w:rPr>
                      <w:rFonts w:hAnsi="宋体"/>
                      <w:color w:val="auto"/>
                    </w:rPr>
                    <w:t>套</w:t>
                  </w:r>
                </w:p>
              </w:tc>
              <w:tc>
                <w:tcPr>
                  <w:tcW w:w="2875" w:type="dxa"/>
                  <w:vAlign w:val="center"/>
                </w:tcPr>
                <w:p>
                  <w:pPr>
                    <w:pStyle w:val="42"/>
                    <w:rPr>
                      <w:rFonts w:hint="eastAsia" w:ascii="宋体" w:hAnsi="宋体" w:eastAsia="宋体"/>
                      <w:color w:val="auto"/>
                      <w:lang w:eastAsia="zh-CN"/>
                    </w:rPr>
                  </w:pPr>
                  <w:r>
                    <w:rPr>
                      <w:rFonts w:hint="eastAsia" w:ascii="宋体" w:hAnsi="宋体"/>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7" w:hRule="atLeast"/>
                <w:jc w:val="center"/>
              </w:trPr>
              <w:tc>
                <w:tcPr>
                  <w:tcW w:w="657" w:type="dxa"/>
                  <w:vMerge w:val="restart"/>
                  <w:vAlign w:val="center"/>
                </w:tcPr>
                <w:p>
                  <w:pPr>
                    <w:pStyle w:val="42"/>
                    <w:rPr>
                      <w:color w:val="auto"/>
                    </w:rPr>
                  </w:pPr>
                  <w:r>
                    <w:rPr>
                      <w:rFonts w:hint="eastAsia"/>
                      <w:color w:val="auto"/>
                    </w:rPr>
                    <w:t>3</w:t>
                  </w:r>
                </w:p>
              </w:tc>
              <w:tc>
                <w:tcPr>
                  <w:tcW w:w="990" w:type="dxa"/>
                  <w:vMerge w:val="restart"/>
                  <w:vAlign w:val="center"/>
                </w:tcPr>
                <w:p>
                  <w:pPr>
                    <w:pStyle w:val="42"/>
                    <w:rPr>
                      <w:color w:val="auto"/>
                    </w:rPr>
                  </w:pPr>
                  <w:r>
                    <w:rPr>
                      <w:rFonts w:hint="eastAsia"/>
                      <w:color w:val="auto"/>
                    </w:rPr>
                    <w:t>能源</w:t>
                  </w:r>
                </w:p>
              </w:tc>
              <w:tc>
                <w:tcPr>
                  <w:tcW w:w="1633" w:type="dxa"/>
                  <w:vAlign w:val="center"/>
                </w:tcPr>
                <w:p>
                  <w:pPr>
                    <w:pStyle w:val="42"/>
                    <w:rPr>
                      <w:color w:val="auto"/>
                    </w:rPr>
                  </w:pPr>
                  <w:r>
                    <w:rPr>
                      <w:rFonts w:hint="eastAsia"/>
                      <w:color w:val="auto"/>
                    </w:rPr>
                    <w:t>电</w:t>
                  </w:r>
                </w:p>
              </w:tc>
              <w:tc>
                <w:tcPr>
                  <w:tcW w:w="1541" w:type="dxa"/>
                  <w:vAlign w:val="center"/>
                </w:tcPr>
                <w:p>
                  <w:pPr>
                    <w:pStyle w:val="42"/>
                    <w:rPr>
                      <w:color w:val="auto"/>
                    </w:rPr>
                  </w:pPr>
                  <w:r>
                    <w:rPr>
                      <w:rFonts w:hint="eastAsia"/>
                      <w:color w:val="auto"/>
                      <w:sz w:val="21"/>
                      <w:szCs w:val="21"/>
                      <w:highlight w:val="none"/>
                      <w:lang w:val="en-US" w:eastAsia="zh-CN"/>
                    </w:rPr>
                    <w:t>38</w:t>
                  </w:r>
                  <w:r>
                    <w:rPr>
                      <w:rFonts w:hint="eastAsia"/>
                      <w:color w:val="auto"/>
                      <w:sz w:val="21"/>
                      <w:szCs w:val="21"/>
                    </w:rPr>
                    <w:t>万度</w:t>
                  </w:r>
                  <w:r>
                    <w:rPr>
                      <w:rFonts w:hint="eastAsia" w:asciiTheme="minorEastAsia" w:hAnsiTheme="minorEastAsia" w:eastAsiaTheme="minorEastAsia" w:cstheme="minorEastAsia"/>
                      <w:color w:val="auto"/>
                      <w:kern w:val="0"/>
                      <w:sz w:val="21"/>
                      <w:szCs w:val="21"/>
                    </w:rPr>
                    <w:t>/a</w:t>
                  </w:r>
                </w:p>
              </w:tc>
              <w:tc>
                <w:tcPr>
                  <w:tcW w:w="1300" w:type="dxa"/>
                  <w:vAlign w:val="center"/>
                </w:tcPr>
                <w:p>
                  <w:pPr>
                    <w:pStyle w:val="42"/>
                    <w:rPr>
                      <w:color w:val="auto"/>
                    </w:rPr>
                  </w:pPr>
                  <w:r>
                    <w:rPr>
                      <w:color w:val="auto"/>
                    </w:rPr>
                    <w:t>/</w:t>
                  </w:r>
                </w:p>
              </w:tc>
              <w:tc>
                <w:tcPr>
                  <w:tcW w:w="2875" w:type="dxa"/>
                  <w:vAlign w:val="center"/>
                </w:tcPr>
                <w:p>
                  <w:pPr>
                    <w:pStyle w:val="42"/>
                    <w:rPr>
                      <w:color w:val="auto"/>
                    </w:rPr>
                  </w:pPr>
                  <w:r>
                    <w:rPr>
                      <w:rFonts w:hint="eastAsia"/>
                      <w:color w:val="auto"/>
                    </w:rPr>
                    <w:t>附近电网接入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657" w:type="dxa"/>
                  <w:vMerge w:val="continue"/>
                  <w:vAlign w:val="center"/>
                </w:tcPr>
                <w:p>
                  <w:pPr>
                    <w:pStyle w:val="42"/>
                    <w:rPr>
                      <w:color w:val="auto"/>
                    </w:rPr>
                  </w:pPr>
                </w:p>
              </w:tc>
              <w:tc>
                <w:tcPr>
                  <w:tcW w:w="990" w:type="dxa"/>
                  <w:vMerge w:val="continue"/>
                  <w:vAlign w:val="center"/>
                </w:tcPr>
                <w:p>
                  <w:pPr>
                    <w:pStyle w:val="42"/>
                    <w:rPr>
                      <w:color w:val="auto"/>
                    </w:rPr>
                  </w:pPr>
                </w:p>
              </w:tc>
              <w:tc>
                <w:tcPr>
                  <w:tcW w:w="1633" w:type="dxa"/>
                  <w:vAlign w:val="center"/>
                </w:tcPr>
                <w:p>
                  <w:pPr>
                    <w:pStyle w:val="42"/>
                    <w:rPr>
                      <w:color w:val="auto"/>
                    </w:rPr>
                  </w:pPr>
                  <w:r>
                    <w:rPr>
                      <w:rFonts w:hint="eastAsia"/>
                      <w:color w:val="auto"/>
                    </w:rPr>
                    <w:t>水</w:t>
                  </w:r>
                </w:p>
              </w:tc>
              <w:tc>
                <w:tcPr>
                  <w:tcW w:w="1541" w:type="dxa"/>
                  <w:vAlign w:val="center"/>
                </w:tcPr>
                <w:p>
                  <w:pPr>
                    <w:pStyle w:val="42"/>
                    <w:rPr>
                      <w:color w:val="auto"/>
                    </w:rPr>
                  </w:pPr>
                  <w:r>
                    <w:rPr>
                      <w:rFonts w:hint="eastAsia"/>
                      <w:color w:val="auto"/>
                      <w:lang w:val="en-US" w:eastAsia="zh-CN"/>
                    </w:rPr>
                    <w:t>3891</w:t>
                  </w:r>
                  <w:r>
                    <w:rPr>
                      <w:rFonts w:hint="eastAsia"/>
                      <w:color w:val="auto"/>
                    </w:rPr>
                    <w:t>m</w:t>
                  </w:r>
                  <w:r>
                    <w:rPr>
                      <w:rFonts w:hint="eastAsia"/>
                      <w:color w:val="auto"/>
                      <w:vertAlign w:val="superscript"/>
                    </w:rPr>
                    <w:t>3</w:t>
                  </w:r>
                </w:p>
              </w:tc>
              <w:tc>
                <w:tcPr>
                  <w:tcW w:w="1300" w:type="dxa"/>
                  <w:vAlign w:val="center"/>
                </w:tcPr>
                <w:p>
                  <w:pPr>
                    <w:pStyle w:val="42"/>
                    <w:rPr>
                      <w:rFonts w:hint="eastAsia" w:eastAsia="宋体"/>
                      <w:color w:val="auto"/>
                      <w:lang w:eastAsia="zh-CN"/>
                    </w:rPr>
                  </w:pPr>
                  <w:r>
                    <w:rPr>
                      <w:rFonts w:hint="eastAsia"/>
                      <w:color w:val="auto"/>
                      <w:lang w:val="en-US" w:eastAsia="zh-CN"/>
                    </w:rPr>
                    <w:t>/</w:t>
                  </w:r>
                </w:p>
              </w:tc>
              <w:tc>
                <w:tcPr>
                  <w:tcW w:w="2875" w:type="dxa"/>
                  <w:vAlign w:val="center"/>
                </w:tcPr>
                <w:p>
                  <w:pPr>
                    <w:pStyle w:val="42"/>
                    <w:rPr>
                      <w:rFonts w:hint="eastAsia" w:eastAsia="宋体"/>
                      <w:color w:val="auto"/>
                      <w:lang w:eastAsia="zh-CN"/>
                    </w:rPr>
                  </w:pPr>
                  <w:r>
                    <w:rPr>
                      <w:rFonts w:hint="eastAsia"/>
                      <w:color w:val="auto"/>
                      <w:lang w:eastAsia="zh-CN"/>
                    </w:rPr>
                    <w:t>自来水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1" w:hRule="atLeast"/>
                <w:jc w:val="center"/>
              </w:trPr>
              <w:tc>
                <w:tcPr>
                  <w:tcW w:w="657" w:type="dxa"/>
                  <w:vMerge w:val="continue"/>
                  <w:vAlign w:val="center"/>
                </w:tcPr>
                <w:p>
                  <w:pPr>
                    <w:pStyle w:val="42"/>
                    <w:rPr>
                      <w:color w:val="auto"/>
                    </w:rPr>
                  </w:pPr>
                </w:p>
              </w:tc>
              <w:tc>
                <w:tcPr>
                  <w:tcW w:w="990" w:type="dxa"/>
                  <w:vMerge w:val="continue"/>
                  <w:vAlign w:val="center"/>
                </w:tcPr>
                <w:p>
                  <w:pPr>
                    <w:pStyle w:val="42"/>
                    <w:rPr>
                      <w:color w:val="auto"/>
                    </w:rPr>
                  </w:pPr>
                </w:p>
              </w:tc>
              <w:tc>
                <w:tcPr>
                  <w:tcW w:w="1633" w:type="dxa"/>
                  <w:vAlign w:val="center"/>
                </w:tcPr>
                <w:p>
                  <w:pPr>
                    <w:pStyle w:val="42"/>
                    <w:rPr>
                      <w:color w:val="auto"/>
                    </w:rPr>
                  </w:pPr>
                  <w:r>
                    <w:rPr>
                      <w:rFonts w:hint="eastAsia"/>
                      <w:color w:val="auto"/>
                    </w:rPr>
                    <w:t>成型生物质燃料</w:t>
                  </w:r>
                </w:p>
              </w:tc>
              <w:tc>
                <w:tcPr>
                  <w:tcW w:w="1541" w:type="dxa"/>
                  <w:vAlign w:val="center"/>
                </w:tcPr>
                <w:p>
                  <w:pPr>
                    <w:pStyle w:val="42"/>
                    <w:rPr>
                      <w:color w:val="auto"/>
                    </w:rPr>
                  </w:pPr>
                  <w:r>
                    <w:rPr>
                      <w:rFonts w:hint="eastAsia"/>
                      <w:color w:val="auto"/>
                      <w:sz w:val="20"/>
                      <w:szCs w:val="20"/>
                      <w:u w:val="single"/>
                      <w:lang w:val="en-US" w:eastAsia="zh-CN"/>
                    </w:rPr>
                    <w:t>150</w:t>
                  </w:r>
                  <w:r>
                    <w:rPr>
                      <w:rFonts w:hint="eastAsia"/>
                      <w:color w:val="auto"/>
                      <w:sz w:val="20"/>
                      <w:szCs w:val="20"/>
                      <w:u w:val="single"/>
                    </w:rPr>
                    <w:t>t</w:t>
                  </w:r>
                </w:p>
              </w:tc>
              <w:tc>
                <w:tcPr>
                  <w:tcW w:w="1300" w:type="dxa"/>
                  <w:vAlign w:val="center"/>
                </w:tcPr>
                <w:p>
                  <w:pPr>
                    <w:pStyle w:val="42"/>
                    <w:rPr>
                      <w:color w:val="auto"/>
                    </w:rPr>
                  </w:pPr>
                  <w:r>
                    <w:rPr>
                      <w:rFonts w:hint="eastAsia"/>
                      <w:color w:val="auto"/>
                    </w:rPr>
                    <w:t>10</w:t>
                  </w:r>
                  <w:r>
                    <w:rPr>
                      <w:color w:val="auto"/>
                    </w:rPr>
                    <w:t>t</w:t>
                  </w:r>
                </w:p>
              </w:tc>
              <w:tc>
                <w:tcPr>
                  <w:tcW w:w="2875" w:type="dxa"/>
                  <w:vAlign w:val="center"/>
                </w:tcPr>
                <w:p>
                  <w:pPr>
                    <w:pStyle w:val="42"/>
                    <w:rPr>
                      <w:color w:val="auto"/>
                    </w:rPr>
                  </w:pPr>
                  <w:r>
                    <w:rPr>
                      <w:rFonts w:hint="eastAsia" w:ascii="宋体" w:hAnsi="宋体"/>
                      <w:color w:val="auto"/>
                    </w:rPr>
                    <w:t>周边收购</w:t>
                  </w:r>
                </w:p>
              </w:tc>
            </w:tr>
          </w:tbl>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center"/>
              <w:rPr>
                <w:rFonts w:hint="eastAsia" w:ascii="Times New Roman" w:hAnsi="Times New Roman"/>
                <w:b/>
                <w:color w:val="auto"/>
                <w:sz w:val="18"/>
                <w:szCs w:val="18"/>
                <w:u w:val="none"/>
              </w:rPr>
            </w:pPr>
            <w:r>
              <w:rPr>
                <w:rFonts w:hint="eastAsia" w:asciiTheme="minorEastAsia" w:hAnsiTheme="minorEastAsia" w:eastAsiaTheme="minorEastAsia" w:cstheme="minorEastAsia"/>
                <w:color w:val="auto"/>
                <w:sz w:val="18"/>
                <w:szCs w:val="18"/>
                <w:lang w:val="en-US" w:eastAsia="zh-CN"/>
              </w:rPr>
              <w:t xml:space="preserve"> 注：本项目</w:t>
            </w:r>
            <w:r>
              <w:rPr>
                <w:rFonts w:hint="eastAsia"/>
                <w:color w:val="auto"/>
                <w:sz w:val="18"/>
                <w:szCs w:val="18"/>
                <w:lang w:val="en-US" w:eastAsia="zh-CN"/>
              </w:rPr>
              <w:t>生物质原料</w:t>
            </w:r>
            <w:r>
              <w:rPr>
                <w:rFonts w:hint="eastAsia" w:asciiTheme="minorEastAsia" w:hAnsiTheme="minorEastAsia" w:eastAsiaTheme="minorEastAsia" w:cstheme="minorEastAsia"/>
                <w:color w:val="auto"/>
                <w:sz w:val="18"/>
                <w:szCs w:val="18"/>
                <w:lang w:eastAsia="zh-CN"/>
              </w:rPr>
              <w:t>的消耗量与原料种类、含水率有一定关系，上表给出的是</w:t>
            </w:r>
            <w:r>
              <w:rPr>
                <w:rFonts w:hint="eastAsia" w:asciiTheme="minorEastAsia" w:hAnsiTheme="minorEastAsia" w:eastAsiaTheme="minorEastAsia" w:cstheme="minorEastAsia"/>
                <w:color w:val="auto"/>
                <w:sz w:val="18"/>
                <w:szCs w:val="18"/>
                <w:lang w:val="en-US" w:eastAsia="zh-CN"/>
              </w:rPr>
              <w:t>业主根据</w:t>
            </w:r>
            <w:r>
              <w:rPr>
                <w:rFonts w:hint="eastAsia" w:asciiTheme="minorEastAsia" w:hAnsiTheme="minorEastAsia" w:eastAsiaTheme="minorEastAsia" w:cstheme="minorEastAsia"/>
                <w:color w:val="auto"/>
                <w:sz w:val="18"/>
                <w:szCs w:val="18"/>
                <w:lang w:eastAsia="zh-CN"/>
              </w:rPr>
              <w:t>考察的几家机制木炭生产企业的平均数据</w:t>
            </w:r>
            <w:r>
              <w:rPr>
                <w:rFonts w:hint="eastAsia" w:asciiTheme="minorEastAsia" w:hAnsiTheme="minorEastAsia" w:eastAsiaTheme="minorEastAsia" w:cstheme="minorEastAsia"/>
                <w:color w:val="auto"/>
                <w:sz w:val="18"/>
                <w:szCs w:val="18"/>
                <w:lang w:val="en-US" w:eastAsia="zh-CN"/>
              </w:rPr>
              <w:t>确定的消耗指标</w:t>
            </w:r>
            <w:r>
              <w:rPr>
                <w:rFonts w:hint="eastAsia" w:asciiTheme="minorEastAsia" w:hAnsiTheme="minorEastAsia" w:eastAsiaTheme="minorEastAsia" w:cstheme="minorEastAsia"/>
                <w:color w:val="auto"/>
                <w:sz w:val="18"/>
                <w:szCs w:val="18"/>
                <w:lang w:eastAsia="zh-CN"/>
              </w:rPr>
              <w:t>。</w:t>
            </w:r>
          </w:p>
          <w:p>
            <w:pPr>
              <w:spacing w:line="360" w:lineRule="auto"/>
              <w:textAlignment w:val="center"/>
              <w:rPr>
                <w:rFonts w:hint="eastAsia" w:ascii="Times New Roman" w:hAnsi="Times New Roman"/>
                <w:color w:val="auto"/>
                <w:sz w:val="24"/>
                <w:szCs w:val="24"/>
                <w:u w:val="none"/>
              </w:rPr>
            </w:pPr>
            <w:r>
              <w:rPr>
                <w:rFonts w:ascii="Times New Roman" w:hAnsi="Times New Roman"/>
                <w:b/>
                <w:color w:val="auto"/>
                <w:sz w:val="24"/>
                <w:szCs w:val="24"/>
                <w:u w:val="none"/>
              </w:rPr>
              <w:t>1.</w:t>
            </w:r>
            <w:r>
              <w:rPr>
                <w:rFonts w:hint="eastAsia"/>
                <w:b/>
                <w:color w:val="auto"/>
                <w:sz w:val="24"/>
                <w:szCs w:val="24"/>
                <w:u w:val="none"/>
                <w:lang w:val="en-US" w:eastAsia="zh-CN"/>
              </w:rPr>
              <w:t>5</w:t>
            </w:r>
            <w:r>
              <w:rPr>
                <w:rFonts w:hint="eastAsia" w:ascii="宋体" w:hAnsi="宋体"/>
                <w:b/>
                <w:color w:val="auto"/>
                <w:sz w:val="24"/>
                <w:szCs w:val="24"/>
                <w:u w:val="none"/>
              </w:rPr>
              <w:t xml:space="preserve"> 主要配置设备</w:t>
            </w:r>
          </w:p>
          <w:p>
            <w:pPr>
              <w:spacing w:line="360" w:lineRule="auto"/>
              <w:ind w:firstLine="470" w:firstLineChars="196"/>
              <w:textAlignment w:val="center"/>
              <w:rPr>
                <w:rFonts w:hint="eastAsia" w:ascii="宋体" w:hAnsi="宋体"/>
                <w:color w:val="auto"/>
                <w:sz w:val="24"/>
                <w:szCs w:val="24"/>
                <w:u w:val="none"/>
              </w:rPr>
            </w:pPr>
            <w:r>
              <w:rPr>
                <w:rFonts w:hint="eastAsia" w:ascii="宋体" w:hAnsi="宋体"/>
                <w:color w:val="auto"/>
                <w:sz w:val="24"/>
                <w:szCs w:val="24"/>
                <w:u w:val="none"/>
              </w:rPr>
              <w:t>本项目主要设备配备情况见表</w:t>
            </w:r>
            <w:r>
              <w:rPr>
                <w:rFonts w:ascii="Times New Roman" w:hAnsi="Times New Roman"/>
                <w:color w:val="auto"/>
                <w:sz w:val="24"/>
                <w:szCs w:val="24"/>
                <w:u w:val="none"/>
              </w:rPr>
              <w:t>1-</w:t>
            </w:r>
            <w:r>
              <w:rPr>
                <w:rFonts w:hint="eastAsia" w:ascii="Times New Roman" w:hAnsi="Times New Roman"/>
                <w:color w:val="auto"/>
                <w:sz w:val="24"/>
                <w:szCs w:val="24"/>
                <w:u w:val="none"/>
              </w:rPr>
              <w:t>4</w:t>
            </w:r>
            <w:r>
              <w:rPr>
                <w:rFonts w:hint="eastAsia" w:ascii="宋体" w:hAnsi="宋体"/>
                <w:color w:val="auto"/>
                <w:sz w:val="24"/>
                <w:szCs w:val="24"/>
                <w:u w:val="none"/>
              </w:rPr>
              <w:t>。</w:t>
            </w:r>
          </w:p>
          <w:p>
            <w:pPr>
              <w:spacing w:line="360" w:lineRule="auto"/>
              <w:jc w:val="center"/>
              <w:textAlignment w:val="center"/>
              <w:rPr>
                <w:rFonts w:hint="eastAsia" w:ascii="宋体" w:hAnsi="宋体"/>
                <w:b/>
                <w:color w:val="auto"/>
                <w:szCs w:val="21"/>
                <w:u w:val="none"/>
              </w:rPr>
            </w:pPr>
            <w:r>
              <w:rPr>
                <w:rFonts w:hint="eastAsia" w:ascii="宋体" w:hAnsi="宋体"/>
                <w:b/>
                <w:color w:val="auto"/>
                <w:szCs w:val="21"/>
                <w:u w:val="none"/>
              </w:rPr>
              <w:t>表</w:t>
            </w:r>
            <w:r>
              <w:rPr>
                <w:rFonts w:ascii="Times New Roman" w:hAnsi="Times New Roman"/>
                <w:b/>
                <w:color w:val="auto"/>
                <w:szCs w:val="21"/>
                <w:u w:val="none"/>
              </w:rPr>
              <w:t>1-</w:t>
            </w:r>
            <w:r>
              <w:rPr>
                <w:rFonts w:hint="eastAsia" w:ascii="Times New Roman" w:hAnsi="Times New Roman"/>
                <w:b/>
                <w:color w:val="auto"/>
                <w:szCs w:val="21"/>
                <w:u w:val="none"/>
              </w:rPr>
              <w:t>4</w:t>
            </w:r>
            <w:r>
              <w:rPr>
                <w:rFonts w:hint="eastAsia" w:ascii="宋体" w:hAnsi="宋体"/>
                <w:b/>
                <w:color w:val="auto"/>
                <w:szCs w:val="21"/>
                <w:u w:val="none"/>
              </w:rPr>
              <w:t>：建设项目主要设备表</w:t>
            </w:r>
          </w:p>
          <w:tbl>
            <w:tblPr>
              <w:tblStyle w:val="22"/>
              <w:tblW w:w="89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2949"/>
              <w:gridCol w:w="1237"/>
              <w:gridCol w:w="1260"/>
              <w:gridCol w:w="24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041" w:type="dxa"/>
                  <w:tcBorders>
                    <w:top w:val="single" w:color="auto" w:sz="8" w:space="0"/>
                    <w:left w:val="single" w:color="auto" w:sz="0"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b/>
                      <w:color w:val="auto"/>
                      <w:spacing w:val="8"/>
                      <w:sz w:val="21"/>
                      <w:szCs w:val="21"/>
                      <w:u w:val="none"/>
                    </w:rPr>
                  </w:pPr>
                  <w:r>
                    <w:rPr>
                      <w:rFonts w:hint="eastAsia"/>
                      <w:b/>
                      <w:color w:val="auto"/>
                      <w:spacing w:val="8"/>
                      <w:sz w:val="21"/>
                      <w:szCs w:val="21"/>
                      <w:u w:val="none"/>
                      <w:lang w:eastAsia="zh-CN"/>
                    </w:rPr>
                    <w:t>序</w:t>
                  </w:r>
                  <w:r>
                    <w:rPr>
                      <w:rFonts w:hint="default"/>
                      <w:b/>
                      <w:color w:val="auto"/>
                      <w:spacing w:val="8"/>
                      <w:sz w:val="21"/>
                      <w:szCs w:val="21"/>
                      <w:u w:val="none"/>
                    </w:rPr>
                    <w:t>号</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b/>
                      <w:color w:val="auto"/>
                      <w:spacing w:val="8"/>
                      <w:sz w:val="21"/>
                      <w:szCs w:val="21"/>
                      <w:u w:val="none"/>
                    </w:rPr>
                  </w:pPr>
                  <w:r>
                    <w:rPr>
                      <w:rFonts w:hint="default"/>
                      <w:b/>
                      <w:color w:val="auto"/>
                      <w:spacing w:val="8"/>
                      <w:sz w:val="21"/>
                      <w:szCs w:val="21"/>
                      <w:u w:val="none"/>
                    </w:rPr>
                    <w:t>设备名称</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b/>
                      <w:color w:val="auto"/>
                      <w:spacing w:val="8"/>
                      <w:sz w:val="21"/>
                      <w:szCs w:val="21"/>
                      <w:u w:val="none"/>
                    </w:rPr>
                  </w:pPr>
                  <w:r>
                    <w:rPr>
                      <w:rFonts w:hint="default"/>
                      <w:b/>
                      <w:color w:val="auto"/>
                      <w:spacing w:val="8"/>
                      <w:sz w:val="21"/>
                      <w:szCs w:val="21"/>
                      <w:u w:val="none"/>
                    </w:rPr>
                    <w:t>单位</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b/>
                      <w:color w:val="auto"/>
                      <w:spacing w:val="8"/>
                      <w:sz w:val="21"/>
                      <w:szCs w:val="21"/>
                      <w:u w:val="none"/>
                    </w:rPr>
                  </w:pPr>
                  <w:r>
                    <w:rPr>
                      <w:rFonts w:hint="default"/>
                      <w:b/>
                      <w:color w:val="auto"/>
                      <w:spacing w:val="8"/>
                      <w:sz w:val="21"/>
                      <w:szCs w:val="21"/>
                      <w:u w:val="none"/>
                    </w:rPr>
                    <w:t>数量</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b/>
                      <w:color w:val="auto"/>
                      <w:spacing w:val="8"/>
                      <w:sz w:val="21"/>
                      <w:szCs w:val="21"/>
                      <w:u w:val="none"/>
                      <w:lang w:eastAsia="zh-CN"/>
                    </w:rPr>
                  </w:pPr>
                  <w:r>
                    <w:rPr>
                      <w:rFonts w:hint="eastAsia"/>
                      <w:b/>
                      <w:bCs/>
                      <w:color w:val="auto"/>
                      <w:sz w:val="21"/>
                      <w:szCs w:val="21"/>
                      <w:u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1</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绞笼机</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rPr>
                  </w:pPr>
                  <w:r>
                    <w:rPr>
                      <w:rFonts w:hint="eastAsia"/>
                      <w:color w:val="auto"/>
                      <w:spacing w:val="8"/>
                      <w:sz w:val="21"/>
                      <w:szCs w:val="21"/>
                      <w:u w:val="none"/>
                    </w:rPr>
                    <w:t>台</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z w:val="19"/>
                      <w:szCs w:val="20"/>
                      <w:lang w:val="en-US" w:eastAsia="zh-CN"/>
                    </w:rPr>
                  </w:pPr>
                  <w:r>
                    <w:rPr>
                      <w:rFonts w:hint="eastAsia"/>
                      <w:color w:val="auto"/>
                      <w:sz w:val="19"/>
                      <w:szCs w:val="20"/>
                      <w:lang w:val="en-US" w:eastAsia="zh-CN"/>
                    </w:rPr>
                    <w:t>1</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19"/>
                      <w:szCs w:val="20"/>
                      <w:lang w:val="en-US" w:eastAsia="zh-CN"/>
                    </w:rPr>
                  </w:pPr>
                  <w:r>
                    <w:rPr>
                      <w:rFonts w:hint="eastAsia"/>
                      <w:color w:val="auto"/>
                      <w:sz w:val="19"/>
                      <w:szCs w:val="20"/>
                      <w:lang w:val="en-US" w:eastAsia="zh-CN"/>
                    </w:rPr>
                    <w:t>生产能力2.8t/h（1台）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2</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粉碎机</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台</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1</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u w:val="none"/>
                    </w:rPr>
                  </w:pPr>
                  <w:r>
                    <w:rPr>
                      <w:rFonts w:hint="eastAsia"/>
                      <w:color w:val="auto"/>
                      <w:sz w:val="19"/>
                      <w:szCs w:val="20"/>
                      <w:lang w:val="en-US" w:eastAsia="zh-CN"/>
                    </w:rPr>
                    <w:t>生产能力2.8t/h（1台）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3</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pacing w:val="8"/>
                      <w:sz w:val="21"/>
                      <w:szCs w:val="21"/>
                      <w:u w:val="none"/>
                    </w:rPr>
                  </w:pPr>
                  <w:r>
                    <w:rPr>
                      <w:rFonts w:hint="eastAsia"/>
                      <w:color w:val="auto"/>
                      <w:sz w:val="21"/>
                      <w:szCs w:val="21"/>
                      <w:lang w:val="en-US" w:eastAsia="zh-CN"/>
                    </w:rPr>
                    <w:t>滚筒</w:t>
                  </w:r>
                  <w:r>
                    <w:rPr>
                      <w:rFonts w:hint="eastAsia" w:ascii="Times New Roman" w:hAnsi="Times New Roman"/>
                      <w:color w:val="auto"/>
                      <w:sz w:val="21"/>
                      <w:szCs w:val="21"/>
                    </w:rPr>
                    <w:t>烘干机</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pacing w:val="8"/>
                      <w:sz w:val="21"/>
                      <w:szCs w:val="21"/>
                      <w:u w:val="none"/>
                    </w:rPr>
                  </w:pPr>
                  <w:r>
                    <w:rPr>
                      <w:rFonts w:hint="eastAsia"/>
                      <w:color w:val="auto"/>
                      <w:spacing w:val="8"/>
                      <w:sz w:val="21"/>
                      <w:szCs w:val="21"/>
                      <w:u w:val="none"/>
                    </w:rPr>
                    <w:t>台</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1</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u w:val="none"/>
                    </w:rPr>
                  </w:pPr>
                  <w:r>
                    <w:rPr>
                      <w:rFonts w:hint="eastAsia"/>
                      <w:color w:val="auto"/>
                      <w:sz w:val="19"/>
                      <w:szCs w:val="20"/>
                      <w:lang w:val="en-US" w:eastAsia="zh-CN"/>
                    </w:rPr>
                    <w:t>生产能力2.8t/h（1台）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4</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宋体"/>
                      <w:color w:val="auto"/>
                      <w:spacing w:val="8"/>
                      <w:sz w:val="21"/>
                      <w:szCs w:val="21"/>
                      <w:u w:val="none"/>
                      <w:lang w:val="en-US" w:eastAsia="zh-CN"/>
                    </w:rPr>
                  </w:pPr>
                  <w:r>
                    <w:rPr>
                      <w:rFonts w:hint="eastAsia"/>
                      <w:color w:val="auto"/>
                      <w:spacing w:val="8"/>
                      <w:sz w:val="21"/>
                      <w:szCs w:val="21"/>
                      <w:u w:val="none"/>
                      <w:lang w:val="en-US" w:eastAsia="zh-CN"/>
                    </w:rPr>
                    <w:t>螺旋输送装置（提料机）</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pacing w:val="8"/>
                      <w:sz w:val="21"/>
                      <w:szCs w:val="21"/>
                      <w:u w:val="none"/>
                    </w:rPr>
                  </w:pPr>
                  <w:r>
                    <w:rPr>
                      <w:rFonts w:hint="eastAsia"/>
                      <w:color w:val="auto"/>
                      <w:spacing w:val="8"/>
                      <w:sz w:val="21"/>
                      <w:szCs w:val="21"/>
                      <w:u w:val="none"/>
                    </w:rPr>
                    <w:t>台</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2</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u w:val="none"/>
                    </w:rPr>
                  </w:pPr>
                  <w:r>
                    <w:rPr>
                      <w:rFonts w:hint="eastAsia"/>
                      <w:color w:val="auto"/>
                      <w:sz w:val="19"/>
                      <w:szCs w:val="20"/>
                      <w:lang w:val="en-US" w:eastAsia="zh-CN"/>
                    </w:rPr>
                    <w:t>生产能力2.8t/h（1台）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5</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pacing w:val="8"/>
                      <w:sz w:val="21"/>
                      <w:szCs w:val="21"/>
                      <w:u w:val="none"/>
                    </w:rPr>
                  </w:pPr>
                  <w:r>
                    <w:rPr>
                      <w:rFonts w:hint="eastAsia"/>
                      <w:color w:val="auto"/>
                      <w:spacing w:val="8"/>
                      <w:sz w:val="21"/>
                      <w:szCs w:val="21"/>
                      <w:u w:val="none"/>
                    </w:rPr>
                    <w:t>制棒机</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pacing w:val="8"/>
                      <w:sz w:val="21"/>
                      <w:szCs w:val="21"/>
                      <w:u w:val="none"/>
                    </w:rPr>
                  </w:pPr>
                  <w:r>
                    <w:rPr>
                      <w:rFonts w:hint="eastAsia"/>
                      <w:color w:val="auto"/>
                      <w:spacing w:val="8"/>
                      <w:sz w:val="21"/>
                      <w:szCs w:val="21"/>
                      <w:u w:val="none"/>
                    </w:rPr>
                    <w:t>台</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pacing w:val="8"/>
                      <w:sz w:val="21"/>
                      <w:szCs w:val="21"/>
                      <w:u w:val="none"/>
                    </w:rPr>
                  </w:pPr>
                  <w:r>
                    <w:rPr>
                      <w:rFonts w:hint="default"/>
                      <w:color w:val="auto"/>
                      <w:sz w:val="19"/>
                      <w:szCs w:val="20"/>
                    </w:rPr>
                    <w:t>11</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u w:val="none"/>
                    </w:rPr>
                  </w:pPr>
                  <w:r>
                    <w:rPr>
                      <w:rFonts w:hint="eastAsia"/>
                      <w:color w:val="auto"/>
                      <w:sz w:val="19"/>
                      <w:szCs w:val="20"/>
                      <w:lang w:val="en-US" w:eastAsia="zh-CN"/>
                    </w:rPr>
                    <w:t>生产能力5t/d（1台）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6</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pacing w:val="8"/>
                      <w:sz w:val="21"/>
                      <w:szCs w:val="21"/>
                      <w:u w:val="none"/>
                    </w:rPr>
                  </w:pPr>
                  <w:r>
                    <w:rPr>
                      <w:rFonts w:hint="eastAsia"/>
                      <w:color w:val="auto"/>
                      <w:spacing w:val="8"/>
                      <w:sz w:val="21"/>
                      <w:szCs w:val="21"/>
                      <w:u w:val="none"/>
                    </w:rPr>
                    <w:t>炭化窑</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个</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宋体"/>
                      <w:color w:val="auto"/>
                      <w:spacing w:val="8"/>
                      <w:sz w:val="21"/>
                      <w:szCs w:val="21"/>
                      <w:u w:val="none"/>
                      <w:lang w:val="en-US" w:eastAsia="zh-CN"/>
                    </w:rPr>
                  </w:pPr>
                  <w:r>
                    <w:rPr>
                      <w:rFonts w:hint="eastAsia"/>
                      <w:color w:val="auto"/>
                      <w:spacing w:val="8"/>
                      <w:sz w:val="21"/>
                      <w:szCs w:val="21"/>
                      <w:u w:val="none"/>
                      <w:lang w:val="en-US" w:eastAsia="zh-CN"/>
                    </w:rPr>
                    <w:t>36</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z w:val="21"/>
                      <w:szCs w:val="21"/>
                      <w:u w:val="none"/>
                      <w:lang w:val="en-US" w:eastAsia="zh-CN"/>
                    </w:rPr>
                  </w:pPr>
                  <w:r>
                    <w:rPr>
                      <w:rFonts w:hint="eastAsia"/>
                      <w:color w:val="auto"/>
                      <w:sz w:val="19"/>
                      <w:szCs w:val="20"/>
                      <w:lang w:val="en-US" w:eastAsia="zh-CN"/>
                    </w:rPr>
                    <w:t>生产能力0.3t/d（1个窑）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spacing w:val="8"/>
                      <w:sz w:val="21"/>
                      <w:szCs w:val="21"/>
                      <w:u w:val="none"/>
                      <w:lang w:val="en-US" w:eastAsia="zh-CN"/>
                    </w:rPr>
                  </w:pPr>
                  <w:r>
                    <w:rPr>
                      <w:rFonts w:hint="eastAsia" w:eastAsia="宋体"/>
                      <w:color w:val="auto"/>
                      <w:spacing w:val="8"/>
                      <w:sz w:val="21"/>
                      <w:szCs w:val="21"/>
                      <w:u w:val="none"/>
                      <w:lang w:val="en-US" w:eastAsia="zh-CN"/>
                    </w:rPr>
                    <w:t>7</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炭化</w:t>
                  </w:r>
                  <w:r>
                    <w:rPr>
                      <w:rFonts w:hint="eastAsia" w:ascii="Times New Roman" w:hAnsi="Times New Roman"/>
                      <w:color w:val="auto"/>
                      <w:kern w:val="0"/>
                      <w:sz w:val="21"/>
                      <w:szCs w:val="21"/>
                      <w:lang w:eastAsia="zh-CN"/>
                    </w:rPr>
                    <w:t>笼</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个</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宋体"/>
                      <w:color w:val="auto"/>
                      <w:spacing w:val="8"/>
                      <w:sz w:val="21"/>
                      <w:szCs w:val="21"/>
                      <w:u w:val="none"/>
                      <w:lang w:val="en-US" w:eastAsia="zh-CN"/>
                    </w:rPr>
                  </w:pPr>
                  <w:r>
                    <w:rPr>
                      <w:rFonts w:hint="eastAsia"/>
                      <w:color w:val="auto"/>
                      <w:spacing w:val="8"/>
                      <w:sz w:val="21"/>
                      <w:szCs w:val="21"/>
                      <w:u w:val="none"/>
                      <w:lang w:val="en-US" w:eastAsia="zh-CN"/>
                    </w:rPr>
                    <w:t>40</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u w:val="none"/>
                    </w:rPr>
                  </w:pPr>
                  <w:r>
                    <w:rPr>
                      <w:rFonts w:hint="eastAsia"/>
                      <w:color w:val="auto"/>
                      <w:sz w:val="19"/>
                      <w:szCs w:val="20"/>
                      <w:lang w:val="en-US" w:eastAsia="zh-CN"/>
                    </w:rPr>
                    <w:t>钢制，</w:t>
                  </w:r>
                  <w:r>
                    <w:rPr>
                      <w:rFonts w:hint="default"/>
                      <w:color w:val="auto"/>
                      <w:sz w:val="19"/>
                      <w:szCs w:val="20"/>
                    </w:rPr>
                    <w:t>自制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spacing w:val="8"/>
                      <w:sz w:val="21"/>
                      <w:szCs w:val="21"/>
                      <w:u w:val="none"/>
                      <w:lang w:val="en-US" w:eastAsia="zh-CN"/>
                    </w:rPr>
                  </w:pPr>
                  <w:r>
                    <w:rPr>
                      <w:rFonts w:hint="eastAsia" w:eastAsia="宋体"/>
                      <w:color w:val="auto"/>
                      <w:spacing w:val="8"/>
                      <w:sz w:val="21"/>
                      <w:szCs w:val="21"/>
                      <w:u w:val="none"/>
                      <w:lang w:val="en-US" w:eastAsia="zh-CN"/>
                    </w:rPr>
                    <w:t>8</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color w:val="auto"/>
                      <w:sz w:val="21"/>
                      <w:szCs w:val="21"/>
                    </w:rPr>
                  </w:pPr>
                  <w:r>
                    <w:rPr>
                      <w:rFonts w:hint="default"/>
                      <w:color w:val="auto"/>
                      <w:sz w:val="19"/>
                      <w:szCs w:val="20"/>
                    </w:rPr>
                    <w:t>水</w:t>
                  </w:r>
                  <w:r>
                    <w:rPr>
                      <w:rFonts w:hint="eastAsia"/>
                      <w:color w:val="auto"/>
                      <w:sz w:val="19"/>
                      <w:szCs w:val="20"/>
                      <w:lang w:eastAsia="zh-CN"/>
                    </w:rPr>
                    <w:t>雾</w:t>
                  </w:r>
                  <w:r>
                    <w:rPr>
                      <w:rFonts w:hint="default"/>
                      <w:color w:val="auto"/>
                      <w:sz w:val="19"/>
                      <w:szCs w:val="20"/>
                    </w:rPr>
                    <w:t>除尘器</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spacing w:val="8"/>
                      <w:sz w:val="21"/>
                      <w:szCs w:val="21"/>
                      <w:u w:val="none"/>
                      <w:lang w:val="en-US" w:eastAsia="zh-CN"/>
                    </w:rPr>
                  </w:pPr>
                  <w:r>
                    <w:rPr>
                      <w:rFonts w:hint="eastAsia"/>
                      <w:color w:val="auto"/>
                      <w:spacing w:val="8"/>
                      <w:sz w:val="21"/>
                      <w:szCs w:val="21"/>
                      <w:u w:val="none"/>
                      <w:lang w:val="en-US" w:eastAsia="zh-CN"/>
                    </w:rPr>
                    <w:t>套</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rPr>
                  </w:pPr>
                  <w:r>
                    <w:rPr>
                      <w:rFonts w:hint="eastAsia"/>
                      <w:color w:val="auto"/>
                      <w:spacing w:val="8"/>
                      <w:sz w:val="21"/>
                      <w:szCs w:val="21"/>
                      <w:u w:val="none"/>
                      <w:lang w:val="en-US" w:eastAsia="zh-CN"/>
                    </w:rPr>
                    <w:t>1</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u w:val="none"/>
                      <w:lang w:val="en-US" w:eastAsia="zh-CN"/>
                    </w:rPr>
                  </w:pPr>
                  <w:r>
                    <w:rPr>
                      <w:rFonts w:hint="eastAsia"/>
                      <w:color w:val="auto"/>
                      <w:sz w:val="21"/>
                      <w:szCs w:val="21"/>
                      <w:u w:val="none"/>
                      <w:lang w:val="en-US" w:eastAsia="zh-CN"/>
                    </w:rPr>
                    <w:t>环保设备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spacing w:val="8"/>
                      <w:sz w:val="21"/>
                      <w:szCs w:val="21"/>
                      <w:u w:val="none"/>
                      <w:lang w:val="en-US" w:eastAsia="zh-CN"/>
                    </w:rPr>
                  </w:pPr>
                  <w:r>
                    <w:rPr>
                      <w:rFonts w:hint="eastAsia" w:eastAsia="宋体"/>
                      <w:color w:val="auto"/>
                      <w:spacing w:val="8"/>
                      <w:sz w:val="21"/>
                      <w:szCs w:val="21"/>
                      <w:u w:val="none"/>
                      <w:lang w:val="en-US" w:eastAsia="zh-CN"/>
                    </w:rPr>
                    <w:t>9</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rPr>
                  </w:pPr>
                  <w:r>
                    <w:rPr>
                      <w:rFonts w:hint="eastAsia"/>
                      <w:color w:val="auto"/>
                      <w:sz w:val="19"/>
                      <w:szCs w:val="20"/>
                      <w:lang w:eastAsia="zh-CN"/>
                    </w:rPr>
                    <w:t>静</w:t>
                  </w:r>
                  <w:r>
                    <w:rPr>
                      <w:rFonts w:hint="default"/>
                      <w:color w:val="auto"/>
                      <w:sz w:val="19"/>
                      <w:szCs w:val="20"/>
                    </w:rPr>
                    <w:t>电除尘</w:t>
                  </w:r>
                  <w:r>
                    <w:rPr>
                      <w:rFonts w:hint="eastAsia"/>
                      <w:color w:val="auto"/>
                      <w:sz w:val="21"/>
                      <w:szCs w:val="21"/>
                      <w:lang w:eastAsia="zh-CN"/>
                    </w:rPr>
                    <w:t>设备</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rPr>
                  </w:pPr>
                  <w:r>
                    <w:rPr>
                      <w:rFonts w:hint="eastAsia"/>
                      <w:color w:val="auto"/>
                      <w:spacing w:val="8"/>
                      <w:sz w:val="21"/>
                      <w:szCs w:val="21"/>
                      <w:u w:val="none"/>
                      <w:lang w:val="en-US" w:eastAsia="zh-CN"/>
                    </w:rPr>
                    <w:t>套</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spacing w:val="8"/>
                      <w:sz w:val="21"/>
                      <w:szCs w:val="21"/>
                      <w:u w:val="none"/>
                      <w:lang w:val="en-US" w:eastAsia="zh-CN"/>
                    </w:rPr>
                  </w:pPr>
                  <w:r>
                    <w:rPr>
                      <w:rFonts w:hint="default"/>
                      <w:color w:val="auto"/>
                      <w:sz w:val="19"/>
                      <w:szCs w:val="20"/>
                    </w:rPr>
                    <w:t>1</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u w:val="none"/>
                    </w:rPr>
                  </w:pPr>
                  <w:r>
                    <w:rPr>
                      <w:rFonts w:hint="eastAsia"/>
                      <w:color w:val="auto"/>
                      <w:sz w:val="21"/>
                      <w:szCs w:val="21"/>
                      <w:u w:val="none"/>
                      <w:lang w:val="en-US" w:eastAsia="zh-CN"/>
                    </w:rPr>
                    <w:t>环保设备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宋体"/>
                      <w:color w:val="auto"/>
                      <w:spacing w:val="8"/>
                      <w:sz w:val="21"/>
                      <w:szCs w:val="21"/>
                      <w:u w:val="none"/>
                      <w:lang w:val="en-US" w:eastAsia="zh-CN"/>
                    </w:rPr>
                  </w:pPr>
                  <w:r>
                    <w:rPr>
                      <w:rFonts w:hint="eastAsia" w:eastAsia="宋体"/>
                      <w:color w:val="auto"/>
                      <w:spacing w:val="8"/>
                      <w:sz w:val="21"/>
                      <w:szCs w:val="21"/>
                      <w:u w:val="none"/>
                      <w:lang w:val="en-US" w:eastAsia="zh-CN"/>
                    </w:rPr>
                    <w:t>10</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spacing w:val="8"/>
                      <w:sz w:val="21"/>
                      <w:szCs w:val="21"/>
                      <w:u w:val="none"/>
                      <w:lang w:eastAsia="zh-CN"/>
                    </w:rPr>
                  </w:pPr>
                  <w:r>
                    <w:rPr>
                      <w:rFonts w:hint="eastAsia"/>
                      <w:color w:val="auto"/>
                      <w:spacing w:val="8"/>
                      <w:sz w:val="21"/>
                      <w:szCs w:val="21"/>
                      <w:u w:val="none"/>
                      <w:lang w:eastAsia="zh-CN"/>
                    </w:rPr>
                    <w:t>旋风分离器</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spacing w:val="8"/>
                      <w:sz w:val="21"/>
                      <w:szCs w:val="21"/>
                      <w:u w:val="none"/>
                      <w:lang w:eastAsia="zh-CN"/>
                    </w:rPr>
                  </w:pPr>
                  <w:r>
                    <w:rPr>
                      <w:rFonts w:hint="eastAsia"/>
                      <w:color w:val="auto"/>
                      <w:spacing w:val="8"/>
                      <w:sz w:val="21"/>
                      <w:szCs w:val="21"/>
                      <w:u w:val="none"/>
                    </w:rPr>
                    <w:t>台</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rPr>
                  </w:pPr>
                  <w:r>
                    <w:rPr>
                      <w:rFonts w:hint="eastAsia"/>
                      <w:color w:val="auto"/>
                      <w:spacing w:val="8"/>
                      <w:sz w:val="21"/>
                      <w:szCs w:val="21"/>
                      <w:u w:val="none"/>
                      <w:lang w:val="en-US" w:eastAsia="zh-CN"/>
                    </w:rPr>
                    <w:t>3</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color w:val="auto"/>
                      <w:spacing w:val="8"/>
                      <w:sz w:val="21"/>
                      <w:szCs w:val="21"/>
                      <w:u w:val="none"/>
                      <w:lang w:val="en-US" w:eastAsia="zh-CN"/>
                    </w:rPr>
                  </w:pPr>
                  <w:r>
                    <w:rPr>
                      <w:rFonts w:hint="eastAsia"/>
                      <w:color w:val="auto"/>
                      <w:spacing w:val="8"/>
                      <w:sz w:val="21"/>
                      <w:szCs w:val="21"/>
                      <w:u w:val="none"/>
                      <w:lang w:val="en-US" w:eastAsia="zh-CN"/>
                    </w:rPr>
                    <w:t>11</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lang w:val="en-US" w:eastAsia="zh-CN"/>
                    </w:rPr>
                  </w:pPr>
                  <w:r>
                    <w:rPr>
                      <w:rFonts w:hint="eastAsia"/>
                      <w:color w:val="auto"/>
                      <w:spacing w:val="8"/>
                      <w:sz w:val="21"/>
                      <w:szCs w:val="21"/>
                      <w:u w:val="none"/>
                      <w:lang w:val="en-US" w:eastAsia="zh-CN"/>
                    </w:rPr>
                    <w:t>铲车</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rPr>
                  </w:pPr>
                  <w:r>
                    <w:rPr>
                      <w:rFonts w:hint="eastAsia"/>
                      <w:color w:val="auto"/>
                      <w:spacing w:val="8"/>
                      <w:sz w:val="21"/>
                      <w:szCs w:val="21"/>
                      <w:u w:val="none"/>
                    </w:rPr>
                    <w:t>台</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lang w:val="en-US" w:eastAsia="zh-CN"/>
                    </w:rPr>
                  </w:pPr>
                  <w:r>
                    <w:rPr>
                      <w:rFonts w:hint="eastAsia"/>
                      <w:color w:val="auto"/>
                      <w:spacing w:val="8"/>
                      <w:sz w:val="21"/>
                      <w:szCs w:val="21"/>
                      <w:u w:val="none"/>
                      <w:lang w:val="en-US" w:eastAsia="zh-CN"/>
                    </w:rPr>
                    <w:t>1</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41" w:type="dxa"/>
                  <w:tcBorders>
                    <w:top w:val="single" w:color="auto" w:sz="8" w:space="0"/>
                    <w:left w:val="single" w:color="auto" w:sz="4"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color w:val="auto"/>
                      <w:spacing w:val="8"/>
                      <w:sz w:val="21"/>
                      <w:szCs w:val="21"/>
                      <w:u w:val="none"/>
                      <w:lang w:val="en-US" w:eastAsia="zh-CN"/>
                    </w:rPr>
                  </w:pPr>
                  <w:r>
                    <w:rPr>
                      <w:rFonts w:hint="eastAsia"/>
                      <w:color w:val="auto"/>
                      <w:spacing w:val="8"/>
                      <w:sz w:val="21"/>
                      <w:szCs w:val="21"/>
                      <w:u w:val="none"/>
                      <w:lang w:val="en-US" w:eastAsia="zh-CN"/>
                    </w:rPr>
                    <w:t>12</w:t>
                  </w:r>
                </w:p>
              </w:tc>
              <w:tc>
                <w:tcPr>
                  <w:tcW w:w="2949"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lang w:val="en-US" w:eastAsia="zh-CN"/>
                    </w:rPr>
                  </w:pPr>
                  <w:r>
                    <w:rPr>
                      <w:rFonts w:hint="eastAsia"/>
                      <w:color w:val="auto"/>
                      <w:spacing w:val="8"/>
                      <w:sz w:val="21"/>
                      <w:szCs w:val="21"/>
                      <w:u w:val="none"/>
                      <w:lang w:val="en-US" w:eastAsia="zh-CN"/>
                    </w:rPr>
                    <w:t>风机</w:t>
                  </w:r>
                </w:p>
              </w:tc>
              <w:tc>
                <w:tcPr>
                  <w:tcW w:w="123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rPr>
                  </w:pPr>
                  <w:r>
                    <w:rPr>
                      <w:rFonts w:hint="eastAsia"/>
                      <w:color w:val="auto"/>
                      <w:spacing w:val="8"/>
                      <w:sz w:val="21"/>
                      <w:szCs w:val="21"/>
                      <w:u w:val="none"/>
                    </w:rPr>
                    <w:t>台</w:t>
                  </w:r>
                </w:p>
              </w:tc>
              <w:tc>
                <w:tcPr>
                  <w:tcW w:w="12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color w:val="auto"/>
                      <w:spacing w:val="8"/>
                      <w:sz w:val="21"/>
                      <w:szCs w:val="21"/>
                      <w:u w:val="none"/>
                      <w:lang w:val="en-US" w:eastAsia="zh-CN"/>
                    </w:rPr>
                  </w:pPr>
                  <w:r>
                    <w:rPr>
                      <w:rFonts w:hint="eastAsia"/>
                      <w:color w:val="auto"/>
                      <w:spacing w:val="8"/>
                      <w:sz w:val="21"/>
                      <w:szCs w:val="21"/>
                      <w:u w:val="none"/>
                      <w:lang w:val="en-US" w:eastAsia="zh-CN"/>
                    </w:rPr>
                    <w:t>3</w:t>
                  </w:r>
                </w:p>
              </w:tc>
              <w:tc>
                <w:tcPr>
                  <w:tcW w:w="249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u w:val="none"/>
                    </w:rPr>
                  </w:pPr>
                </w:p>
              </w:tc>
            </w:tr>
          </w:tbl>
          <w:p>
            <w:pPr>
              <w:spacing w:line="360" w:lineRule="auto"/>
              <w:textAlignment w:val="center"/>
              <w:rPr>
                <w:rFonts w:hint="eastAsia" w:ascii="Times New Roman" w:hAnsi="Times New Roman"/>
                <w:b/>
                <w:color w:val="auto"/>
                <w:sz w:val="24"/>
                <w:szCs w:val="24"/>
                <w:u w:val="none"/>
              </w:rPr>
            </w:pPr>
          </w:p>
          <w:p>
            <w:pPr>
              <w:spacing w:line="360" w:lineRule="auto"/>
              <w:textAlignment w:val="center"/>
              <w:rPr>
                <w:rFonts w:hint="eastAsia" w:ascii="Times New Roman" w:hAnsi="Times New Roman"/>
                <w:b/>
                <w:color w:val="auto"/>
                <w:sz w:val="24"/>
                <w:szCs w:val="24"/>
                <w:u w:val="none"/>
              </w:rPr>
            </w:pPr>
            <w:r>
              <w:rPr>
                <w:rFonts w:hint="eastAsia" w:ascii="Times New Roman" w:hAnsi="Times New Roman"/>
                <w:b/>
                <w:color w:val="auto"/>
                <w:sz w:val="24"/>
                <w:szCs w:val="24"/>
                <w:u w:val="none"/>
              </w:rPr>
              <w:t>1.</w:t>
            </w:r>
            <w:r>
              <w:rPr>
                <w:rFonts w:hint="eastAsia" w:ascii="Times New Roman" w:hAnsi="Times New Roman"/>
                <w:b/>
                <w:color w:val="auto"/>
                <w:sz w:val="24"/>
                <w:szCs w:val="24"/>
                <w:u w:val="none"/>
                <w:lang w:val="en-US" w:eastAsia="zh-CN"/>
              </w:rPr>
              <w:t>6</w:t>
            </w:r>
            <w:r>
              <w:rPr>
                <w:rFonts w:hint="eastAsia" w:ascii="Times New Roman" w:hAnsi="Times New Roman"/>
                <w:b/>
                <w:color w:val="auto"/>
                <w:sz w:val="24"/>
                <w:szCs w:val="24"/>
                <w:u w:val="none"/>
              </w:rPr>
              <w:t xml:space="preserve"> 项目总图布置</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本项目占地</w:t>
            </w:r>
            <w:r>
              <w:rPr>
                <w:rFonts w:hint="eastAsia" w:cs="Times New Roman"/>
                <w:color w:val="auto"/>
                <w:sz w:val="24"/>
                <w:szCs w:val="24"/>
                <w:lang w:val="en-US" w:eastAsia="zh-CN"/>
              </w:rPr>
              <w:t>3170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，建设内容主要包括炭化窑区、烘干</w:t>
            </w:r>
            <w:r>
              <w:rPr>
                <w:rFonts w:hint="eastAsia" w:cs="Times New Roman"/>
                <w:color w:val="auto"/>
                <w:sz w:val="24"/>
                <w:szCs w:val="24"/>
                <w:lang w:eastAsia="zh-CN"/>
              </w:rPr>
              <w:t>区</w:t>
            </w:r>
            <w:r>
              <w:rPr>
                <w:rFonts w:hint="default" w:ascii="Times New Roman" w:hAnsi="Times New Roman" w:eastAsia="宋体" w:cs="Times New Roman"/>
                <w:color w:val="auto"/>
                <w:sz w:val="24"/>
                <w:szCs w:val="24"/>
              </w:rPr>
              <w:t>、制棒</w:t>
            </w:r>
            <w:r>
              <w:rPr>
                <w:rFonts w:hint="eastAsia" w:cs="Times New Roman"/>
                <w:color w:val="auto"/>
                <w:sz w:val="24"/>
                <w:szCs w:val="24"/>
                <w:lang w:eastAsia="zh-CN"/>
              </w:rPr>
              <w:t>区</w:t>
            </w:r>
            <w:r>
              <w:rPr>
                <w:rFonts w:hint="default" w:ascii="Times New Roman" w:hAnsi="Times New Roman" w:eastAsia="宋体" w:cs="Times New Roman"/>
                <w:color w:val="auto"/>
                <w:sz w:val="24"/>
                <w:szCs w:val="24"/>
              </w:rPr>
              <w:t>、原料仓库、办公住房等构筑物。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厂区拟采取流水线生产布置，即原料仓库、烘干、制棒车间、炭化车间、包装车间、成品仓库依次相连，便于生产。生活办公区位于厂区</w:t>
            </w:r>
            <w:r>
              <w:rPr>
                <w:rFonts w:hint="eastAsia" w:cs="Times New Roman"/>
                <w:color w:val="auto"/>
                <w:sz w:val="24"/>
                <w:szCs w:val="24"/>
                <w:lang w:eastAsia="zh-CN"/>
              </w:rPr>
              <w:t>东</w:t>
            </w:r>
            <w:r>
              <w:rPr>
                <w:rFonts w:hint="default" w:ascii="Times New Roman" w:hAnsi="Times New Roman" w:eastAsia="宋体" w:cs="Times New Roman"/>
                <w:color w:val="auto"/>
                <w:sz w:val="24"/>
                <w:szCs w:val="24"/>
              </w:rPr>
              <w:t>南侧，生产区位于厂区东侧，</w:t>
            </w:r>
            <w:r>
              <w:rPr>
                <w:rFonts w:hint="eastAsia" w:cs="Times New Roman"/>
                <w:color w:val="auto"/>
                <w:sz w:val="24"/>
                <w:szCs w:val="24"/>
                <w:lang w:eastAsia="zh-CN"/>
              </w:rPr>
              <w:t>由东</w:t>
            </w:r>
            <w:r>
              <w:rPr>
                <w:rFonts w:hint="default" w:ascii="Times New Roman" w:hAnsi="Times New Roman" w:eastAsia="宋体" w:cs="Times New Roman"/>
                <w:color w:val="auto"/>
                <w:sz w:val="24"/>
                <w:szCs w:val="24"/>
              </w:rPr>
              <w:t>向</w:t>
            </w:r>
            <w:r>
              <w:rPr>
                <w:rFonts w:hint="eastAsia" w:cs="Times New Roman"/>
                <w:color w:val="auto"/>
                <w:sz w:val="24"/>
                <w:szCs w:val="24"/>
                <w:lang w:eastAsia="zh-CN"/>
              </w:rPr>
              <w:t>西</w:t>
            </w:r>
            <w:r>
              <w:rPr>
                <w:rFonts w:hint="default" w:ascii="Times New Roman" w:hAnsi="Times New Roman" w:eastAsia="宋体" w:cs="Times New Roman"/>
                <w:color w:val="auto"/>
                <w:sz w:val="24"/>
                <w:szCs w:val="24"/>
              </w:rPr>
              <w:t>依次为制棒</w:t>
            </w:r>
            <w:r>
              <w:rPr>
                <w:rFonts w:hint="eastAsia" w:cs="Times New Roman"/>
                <w:color w:val="auto"/>
                <w:sz w:val="24"/>
                <w:szCs w:val="24"/>
                <w:lang w:eastAsia="zh-CN"/>
              </w:rPr>
              <w:t>区</w:t>
            </w:r>
            <w:r>
              <w:rPr>
                <w:rFonts w:hint="default" w:ascii="Times New Roman" w:hAnsi="Times New Roman" w:eastAsia="宋体" w:cs="Times New Roman"/>
                <w:color w:val="auto"/>
                <w:sz w:val="24"/>
                <w:szCs w:val="24"/>
              </w:rPr>
              <w:t>、烘干</w:t>
            </w:r>
            <w:r>
              <w:rPr>
                <w:rFonts w:hint="eastAsia" w:cs="Times New Roman"/>
                <w:color w:val="auto"/>
                <w:sz w:val="24"/>
                <w:szCs w:val="24"/>
                <w:lang w:eastAsia="zh-CN"/>
              </w:rPr>
              <w:t>区</w:t>
            </w:r>
            <w:r>
              <w:rPr>
                <w:rFonts w:hint="default" w:ascii="Times New Roman" w:hAnsi="Times New Roman" w:eastAsia="宋体" w:cs="Times New Roman"/>
                <w:color w:val="auto"/>
                <w:sz w:val="24"/>
                <w:szCs w:val="24"/>
              </w:rPr>
              <w:t>、炭化窑区</w:t>
            </w:r>
            <w:r>
              <w:rPr>
                <w:rFonts w:hint="eastAsia" w:ascii="Times New Roman" w:hAnsi="Times New Roman" w:eastAsia="宋体" w:cs="Times New Roman"/>
                <w:color w:val="auto"/>
                <w:sz w:val="24"/>
                <w:szCs w:val="24"/>
                <w:lang w:eastAsia="zh-CN"/>
              </w:rPr>
              <w:t>、包装区</w:t>
            </w:r>
            <w:r>
              <w:rPr>
                <w:rFonts w:hint="default" w:ascii="Times New Roman" w:hAnsi="Times New Roman" w:eastAsia="宋体" w:cs="Times New Roman"/>
                <w:color w:val="auto"/>
                <w:sz w:val="24"/>
                <w:szCs w:val="24"/>
              </w:rPr>
              <w:t>。项目生活区与生产区距离较远，各种生产设备均位于生产厂房内，生产区噪声、粉尘等对生活区影响较小，布置较合理。项目</w:t>
            </w:r>
            <w:r>
              <w:rPr>
                <w:rFonts w:hint="default" w:ascii="Times New Roman" w:hAnsi="Times New Roman" w:eastAsia="宋体" w:cs="Times New Roman"/>
                <w:color w:val="auto"/>
                <w:kern w:val="24"/>
                <w:sz w:val="24"/>
                <w:szCs w:val="24"/>
              </w:rPr>
              <w:t>其余</w:t>
            </w:r>
            <w:r>
              <w:rPr>
                <w:rFonts w:hint="default" w:ascii="Times New Roman" w:hAnsi="Times New Roman" w:eastAsia="宋体" w:cs="Times New Roman"/>
                <w:color w:val="auto"/>
                <w:sz w:val="24"/>
                <w:szCs w:val="24"/>
              </w:rPr>
              <w:t>各建筑物总体布局基本合理，基本无相互干扰和影响的情况出现。</w:t>
            </w:r>
          </w:p>
          <w:p>
            <w:pPr>
              <w:keepNext w:val="0"/>
              <w:keepLines w:val="0"/>
              <w:pageBreakBefore w:val="0"/>
              <w:widowControl w:val="0"/>
              <w:kinsoku/>
              <w:wordWrap/>
              <w:overflowPunct/>
              <w:topLinePunct w:val="0"/>
              <w:autoSpaceDE/>
              <w:autoSpaceDN/>
              <w:bidi w:val="0"/>
              <w:spacing w:line="360" w:lineRule="auto"/>
              <w:ind w:firstLine="480" w:firstLineChars="200"/>
              <w:textAlignment w:val="center"/>
              <w:rPr>
                <w:rFonts w:hint="eastAsia" w:ascii="Times New Roman" w:hAnsi="Times New Roman"/>
                <w:bCs/>
                <w:color w:val="auto"/>
                <w:sz w:val="24"/>
                <w:szCs w:val="24"/>
                <w:u w:val="none"/>
              </w:rPr>
            </w:pPr>
            <w:r>
              <w:rPr>
                <w:rFonts w:hint="default" w:ascii="Times New Roman" w:hAnsi="Times New Roman" w:eastAsia="宋体" w:cs="Times New Roman"/>
                <w:b w:val="0"/>
                <w:bCs w:val="0"/>
                <w:color w:val="auto"/>
                <w:kern w:val="2"/>
                <w:sz w:val="24"/>
                <w:szCs w:val="24"/>
              </w:rPr>
              <w:t>综上所述，项目的平面布置合理。厂区总平面布置示意图详见附图2</w:t>
            </w:r>
            <w:r>
              <w:rPr>
                <w:rFonts w:hint="default" w:ascii="Times New Roman" w:hAnsi="Times New Roman" w:eastAsia="宋体" w:cs="Times New Roman"/>
                <w:color w:val="auto"/>
                <w:sz w:val="24"/>
                <w:szCs w:val="24"/>
                <w:u w:val="none"/>
              </w:rPr>
              <w:t>。</w:t>
            </w:r>
          </w:p>
          <w:p>
            <w:pPr>
              <w:spacing w:line="360" w:lineRule="auto"/>
              <w:textAlignment w:val="center"/>
              <w:rPr>
                <w:rFonts w:hint="eastAsia" w:ascii="Times New Roman" w:hAnsi="Times New Roman"/>
                <w:b/>
                <w:color w:val="auto"/>
                <w:sz w:val="24"/>
                <w:szCs w:val="24"/>
                <w:u w:val="none"/>
              </w:rPr>
            </w:pPr>
            <w:r>
              <w:rPr>
                <w:rFonts w:hint="eastAsia" w:ascii="Times New Roman" w:hAnsi="Times New Roman"/>
                <w:b/>
                <w:color w:val="auto"/>
                <w:sz w:val="24"/>
                <w:szCs w:val="24"/>
                <w:u w:val="none"/>
              </w:rPr>
              <w:t>1.</w:t>
            </w:r>
            <w:r>
              <w:rPr>
                <w:rFonts w:hint="eastAsia"/>
                <w:b/>
                <w:color w:val="auto"/>
                <w:sz w:val="24"/>
                <w:szCs w:val="24"/>
                <w:u w:val="none"/>
                <w:lang w:val="en-US" w:eastAsia="zh-CN"/>
              </w:rPr>
              <w:t>7</w:t>
            </w:r>
            <w:r>
              <w:rPr>
                <w:rFonts w:hint="eastAsia" w:ascii="Times New Roman" w:hAnsi="Times New Roman"/>
                <w:b/>
                <w:color w:val="auto"/>
                <w:sz w:val="24"/>
                <w:szCs w:val="24"/>
                <w:u w:val="none"/>
              </w:rPr>
              <w:t xml:space="preserve"> 职工定员及工作制度</w:t>
            </w:r>
          </w:p>
          <w:p>
            <w:pPr>
              <w:spacing w:line="360" w:lineRule="auto"/>
              <w:ind w:firstLine="470" w:firstLineChars="196"/>
              <w:textAlignment w:val="center"/>
              <w:rPr>
                <w:rFonts w:hint="eastAsia" w:ascii="Times New Roman" w:hAnsi="Times New Roman"/>
                <w:color w:val="auto"/>
                <w:sz w:val="24"/>
                <w:szCs w:val="24"/>
                <w:u w:val="none"/>
              </w:rPr>
            </w:pPr>
            <w:r>
              <w:rPr>
                <w:rFonts w:hint="eastAsia" w:ascii="Times New Roman" w:hAnsi="Times New Roman"/>
                <w:color w:val="auto"/>
                <w:sz w:val="24"/>
                <w:szCs w:val="24"/>
                <w:u w:val="none"/>
              </w:rPr>
              <w:t>劳动定员：项目营运后，预计劳动定员</w:t>
            </w:r>
            <w:r>
              <w:rPr>
                <w:rFonts w:hint="eastAsia"/>
                <w:color w:val="auto"/>
                <w:sz w:val="24"/>
                <w:szCs w:val="24"/>
                <w:u w:val="none"/>
                <w:lang w:val="en-US" w:eastAsia="zh-CN"/>
              </w:rPr>
              <w:t>8</w:t>
            </w:r>
            <w:r>
              <w:rPr>
                <w:rFonts w:hint="eastAsia" w:ascii="Times New Roman" w:hAnsi="Times New Roman"/>
                <w:color w:val="auto"/>
                <w:sz w:val="24"/>
                <w:szCs w:val="24"/>
                <w:u w:val="none"/>
              </w:rPr>
              <w:t>人，均在厂区</w:t>
            </w:r>
            <w:r>
              <w:rPr>
                <w:rFonts w:hint="eastAsia"/>
                <w:color w:val="auto"/>
                <w:sz w:val="24"/>
                <w:szCs w:val="24"/>
                <w:u w:val="none"/>
                <w:lang w:eastAsia="zh-CN"/>
              </w:rPr>
              <w:t>就餐，仅</w:t>
            </w:r>
            <w:r>
              <w:rPr>
                <w:rFonts w:hint="eastAsia"/>
                <w:color w:val="auto"/>
                <w:sz w:val="24"/>
                <w:szCs w:val="24"/>
                <w:u w:val="none"/>
                <w:lang w:val="en-US" w:eastAsia="zh-CN"/>
              </w:rPr>
              <w:t>2人在厂内住宿</w:t>
            </w:r>
            <w:r>
              <w:rPr>
                <w:rFonts w:hint="eastAsia" w:ascii="Times New Roman" w:hAnsi="Times New Roman"/>
                <w:color w:val="auto"/>
                <w:sz w:val="24"/>
                <w:szCs w:val="24"/>
                <w:u w:val="none"/>
              </w:rPr>
              <w:t>。</w:t>
            </w:r>
          </w:p>
          <w:p>
            <w:pPr>
              <w:spacing w:line="360" w:lineRule="auto"/>
              <w:ind w:firstLine="470" w:firstLineChars="196"/>
              <w:textAlignment w:val="center"/>
              <w:rPr>
                <w:rFonts w:hint="eastAsia" w:ascii="Times New Roman" w:hAnsi="Times New Roman"/>
                <w:color w:val="auto"/>
                <w:sz w:val="24"/>
                <w:szCs w:val="24"/>
                <w:u w:val="none"/>
              </w:rPr>
            </w:pPr>
            <w:r>
              <w:rPr>
                <w:rFonts w:hint="eastAsia" w:ascii="Times New Roman" w:hAnsi="Times New Roman"/>
                <w:color w:val="auto"/>
                <w:sz w:val="24"/>
                <w:szCs w:val="24"/>
                <w:u w:val="none"/>
              </w:rPr>
              <w:t>工作制度：项目年工作日3</w:t>
            </w:r>
            <w:r>
              <w:rPr>
                <w:rFonts w:hint="eastAsia"/>
                <w:color w:val="auto"/>
                <w:sz w:val="24"/>
                <w:szCs w:val="24"/>
                <w:u w:val="none"/>
                <w:lang w:val="en-US" w:eastAsia="zh-CN"/>
              </w:rPr>
              <w:t>00</w:t>
            </w:r>
            <w:r>
              <w:rPr>
                <w:rFonts w:hint="eastAsia" w:ascii="Times New Roman" w:hAnsi="Times New Roman"/>
                <w:color w:val="auto"/>
                <w:sz w:val="24"/>
                <w:szCs w:val="24"/>
                <w:u w:val="none"/>
              </w:rPr>
              <w:t>天，实行</w:t>
            </w:r>
            <w:r>
              <w:rPr>
                <w:rFonts w:hint="eastAsia"/>
                <w:color w:val="auto"/>
                <w:sz w:val="24"/>
                <w:szCs w:val="24"/>
                <w:u w:val="none"/>
                <w:lang w:eastAsia="zh-CN"/>
              </w:rPr>
              <w:t>二</w:t>
            </w:r>
            <w:r>
              <w:rPr>
                <w:rFonts w:hint="eastAsia" w:ascii="Times New Roman" w:hAnsi="Times New Roman"/>
                <w:color w:val="auto"/>
                <w:sz w:val="24"/>
                <w:szCs w:val="24"/>
                <w:u w:val="none"/>
              </w:rPr>
              <w:t>班制，每班工作</w:t>
            </w:r>
            <w:r>
              <w:rPr>
                <w:rFonts w:hint="eastAsia"/>
                <w:color w:val="auto"/>
                <w:sz w:val="24"/>
                <w:szCs w:val="24"/>
                <w:u w:val="none"/>
                <w:lang w:val="en-US" w:eastAsia="zh-CN"/>
              </w:rPr>
              <w:t>12</w:t>
            </w:r>
            <w:r>
              <w:rPr>
                <w:rFonts w:hint="eastAsia" w:ascii="Times New Roman" w:hAnsi="Times New Roman"/>
                <w:color w:val="auto"/>
                <w:sz w:val="24"/>
                <w:szCs w:val="24"/>
                <w:u w:val="none"/>
              </w:rPr>
              <w:t>小时。</w:t>
            </w:r>
          </w:p>
          <w:p>
            <w:pPr>
              <w:spacing w:line="360" w:lineRule="auto"/>
              <w:textAlignment w:val="center"/>
              <w:rPr>
                <w:rFonts w:hint="eastAsia" w:ascii="Times New Roman" w:hAnsi="Times New Roman"/>
                <w:b/>
                <w:color w:val="auto"/>
                <w:sz w:val="24"/>
                <w:szCs w:val="24"/>
                <w:u w:val="none"/>
              </w:rPr>
            </w:pPr>
            <w:r>
              <w:rPr>
                <w:rFonts w:hint="eastAsia" w:ascii="Times New Roman" w:hAnsi="Times New Roman"/>
                <w:b/>
                <w:color w:val="auto"/>
                <w:sz w:val="24"/>
                <w:szCs w:val="24"/>
                <w:u w:val="none"/>
              </w:rPr>
              <w:t>1.</w:t>
            </w:r>
            <w:r>
              <w:rPr>
                <w:rFonts w:hint="eastAsia"/>
                <w:b/>
                <w:color w:val="auto"/>
                <w:sz w:val="24"/>
                <w:szCs w:val="24"/>
                <w:u w:val="none"/>
                <w:lang w:val="en-US" w:eastAsia="zh-CN"/>
              </w:rPr>
              <w:t>8</w:t>
            </w:r>
            <w:r>
              <w:rPr>
                <w:rFonts w:hint="eastAsia" w:ascii="Times New Roman" w:hAnsi="Times New Roman"/>
                <w:b/>
                <w:color w:val="auto"/>
                <w:sz w:val="24"/>
                <w:szCs w:val="24"/>
                <w:u w:val="none"/>
              </w:rPr>
              <w:t xml:space="preserve"> 公用工程</w:t>
            </w:r>
          </w:p>
          <w:p>
            <w:pPr>
              <w:keepNext w:val="0"/>
              <w:keepLines w:val="0"/>
              <w:suppressLineNumbers w:val="0"/>
              <w:spacing w:before="0" w:beforeAutospacing="0" w:after="0" w:afterAutospacing="0" w:line="360" w:lineRule="auto"/>
              <w:ind w:left="0" w:right="0" w:firstLine="480" w:firstLineChars="200"/>
              <w:rPr>
                <w:rFonts w:hint="default"/>
                <w:color w:val="auto"/>
                <w:spacing w:val="-4"/>
                <w:sz w:val="24"/>
                <w:szCs w:val="20"/>
              </w:rPr>
            </w:pPr>
            <w:r>
              <w:rPr>
                <w:rFonts w:hint="default"/>
                <w:color w:val="auto"/>
                <w:sz w:val="24"/>
                <w:szCs w:val="20"/>
              </w:rPr>
              <w:t>（1）供水</w:t>
            </w:r>
          </w:p>
          <w:p>
            <w:pPr>
              <w:keepNext w:val="0"/>
              <w:keepLines w:val="0"/>
              <w:widowControl/>
              <w:suppressLineNumbers w:val="0"/>
              <w:spacing w:before="0" w:beforeAutospacing="0" w:after="0" w:afterAutospacing="0" w:line="360" w:lineRule="auto"/>
              <w:ind w:left="0" w:right="0" w:firstLine="480" w:firstLineChars="200"/>
              <w:rPr>
                <w:rFonts w:hint="default" w:hAnsi="Calibri"/>
                <w:color w:val="auto"/>
                <w:sz w:val="24"/>
                <w:szCs w:val="24"/>
                <w:u w:val="single"/>
              </w:rPr>
            </w:pPr>
            <w:r>
              <w:rPr>
                <w:rFonts w:hint="eastAsia" w:hAnsi="Calibri"/>
                <w:color w:val="auto"/>
                <w:sz w:val="24"/>
                <w:szCs w:val="24"/>
              </w:rPr>
              <w:t>项目用水</w:t>
            </w:r>
            <w:r>
              <w:rPr>
                <w:rFonts w:hint="eastAsia" w:asciiTheme="minorEastAsia" w:hAnsiTheme="minorEastAsia" w:eastAsiaTheme="minorEastAsia" w:cstheme="minorEastAsia"/>
                <w:color w:val="auto"/>
                <w:kern w:val="0"/>
                <w:sz w:val="24"/>
                <w:szCs w:val="24"/>
                <w:highlight w:val="none"/>
                <w:u w:val="none"/>
                <w:lang w:val="en-US" w:eastAsia="zh-CN"/>
              </w:rPr>
              <w:t>市政自来水管网</w:t>
            </w:r>
            <w:r>
              <w:rPr>
                <w:rFonts w:hint="eastAsia" w:hAnsi="Calibri"/>
                <w:color w:val="auto"/>
                <w:sz w:val="24"/>
                <w:szCs w:val="24"/>
              </w:rPr>
              <w:t>，总用水量</w:t>
            </w:r>
            <w:r>
              <w:rPr>
                <w:rFonts w:hint="eastAsia" w:hAnsi="Calibri"/>
                <w:color w:val="auto"/>
                <w:sz w:val="24"/>
                <w:szCs w:val="24"/>
                <w:lang w:eastAsia="zh-CN"/>
              </w:rPr>
              <w:t>约</w:t>
            </w:r>
            <w:r>
              <w:rPr>
                <w:rFonts w:hint="eastAsia" w:hAnsi="Calibri"/>
                <w:color w:val="auto"/>
                <w:sz w:val="24"/>
                <w:szCs w:val="24"/>
                <w:u w:val="single"/>
                <w:lang w:val="en-US" w:eastAsia="zh-CN"/>
              </w:rPr>
              <w:t>3675</w:t>
            </w:r>
            <w:r>
              <w:rPr>
                <w:rFonts w:hint="eastAsia" w:hAnsi="Calibri"/>
                <w:color w:val="auto"/>
                <w:sz w:val="24"/>
                <w:szCs w:val="24"/>
                <w:u w:val="single"/>
              </w:rPr>
              <w:t>t/a</w:t>
            </w:r>
            <w:r>
              <w:rPr>
                <w:rFonts w:hint="eastAsia" w:hAnsi="Calibri"/>
                <w:color w:val="auto"/>
                <w:sz w:val="24"/>
                <w:szCs w:val="24"/>
              </w:rPr>
              <w:t>，主要为</w:t>
            </w:r>
            <w:r>
              <w:rPr>
                <w:rFonts w:hint="eastAsia" w:hAnsi="Calibri"/>
                <w:color w:val="auto"/>
                <w:sz w:val="24"/>
                <w:szCs w:val="24"/>
                <w:lang w:eastAsia="zh-CN"/>
              </w:rPr>
              <w:t>水雾</w:t>
            </w:r>
            <w:r>
              <w:rPr>
                <w:rFonts w:hint="eastAsia" w:hAnsi="Calibri"/>
                <w:color w:val="auto"/>
                <w:sz w:val="24"/>
                <w:szCs w:val="24"/>
              </w:rPr>
              <w:t>除尘器</w:t>
            </w:r>
            <w:r>
              <w:rPr>
                <w:rFonts w:hint="eastAsia" w:hAnsi="Calibri"/>
                <w:color w:val="auto"/>
                <w:sz w:val="24"/>
                <w:szCs w:val="24"/>
                <w:lang w:eastAsia="zh-CN"/>
              </w:rPr>
              <w:t>用水及产品冷却水</w:t>
            </w:r>
            <w:r>
              <w:rPr>
                <w:rFonts w:hint="eastAsia" w:hAnsi="Calibri"/>
                <w:color w:val="auto"/>
                <w:sz w:val="24"/>
                <w:szCs w:val="24"/>
                <w:lang w:val="en-US" w:eastAsia="zh-CN"/>
              </w:rPr>
              <w:t>基本</w:t>
            </w:r>
            <w:r>
              <w:rPr>
                <w:rFonts w:hint="eastAsia" w:hAnsi="Calibri"/>
                <w:color w:val="auto"/>
                <w:sz w:val="24"/>
                <w:szCs w:val="24"/>
              </w:rPr>
              <w:t>补充用水。</w:t>
            </w:r>
          </w:p>
          <w:p>
            <w:pPr>
              <w:pStyle w:val="44"/>
              <w:keepNext w:val="0"/>
              <w:keepLines w:val="0"/>
              <w:suppressLineNumbers w:val="0"/>
              <w:spacing w:before="0" w:beforeAutospacing="0" w:after="0" w:afterAutospacing="0" w:line="360" w:lineRule="auto"/>
              <w:ind w:left="0" w:right="0" w:firstLine="480"/>
              <w:rPr>
                <w:rFonts w:hint="default" w:ascii="Times New Roman" w:hAnsi="Times New Roman"/>
                <w:color w:val="auto"/>
                <w:sz w:val="24"/>
                <w:szCs w:val="24"/>
              </w:rPr>
            </w:pPr>
            <w:r>
              <w:rPr>
                <w:rFonts w:hint="default" w:ascii="Times New Roman"/>
                <w:color w:val="auto"/>
                <w:sz w:val="24"/>
                <w:szCs w:val="24"/>
              </w:rPr>
              <w:t>（</w:t>
            </w:r>
            <w:r>
              <w:rPr>
                <w:rFonts w:hint="default" w:ascii="Times New Roman" w:hAnsi="Times New Roman"/>
                <w:color w:val="auto"/>
                <w:sz w:val="24"/>
                <w:szCs w:val="24"/>
              </w:rPr>
              <w:t>2</w:t>
            </w:r>
            <w:r>
              <w:rPr>
                <w:rFonts w:hint="default" w:ascii="Times New Roman"/>
                <w:color w:val="auto"/>
                <w:sz w:val="24"/>
                <w:szCs w:val="24"/>
              </w:rPr>
              <w:t>）排水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24"/>
                <w:u w:val="single"/>
              </w:rPr>
            </w:pPr>
            <w:r>
              <w:rPr>
                <w:rFonts w:hint="eastAsia" w:asciiTheme="minorEastAsia" w:hAnsiTheme="minorEastAsia" w:eastAsiaTheme="minorEastAsia" w:cstheme="minorEastAsia"/>
                <w:bCs/>
                <w:color w:val="auto"/>
                <w:kern w:val="0"/>
                <w:sz w:val="24"/>
                <w:szCs w:val="24"/>
              </w:rPr>
              <w:t>实行雨污分流</w:t>
            </w:r>
            <w:r>
              <w:rPr>
                <w:rFonts w:hint="eastAsia" w:asciiTheme="minorEastAsia" w:hAnsiTheme="minorEastAsia" w:eastAsiaTheme="minorEastAsia" w:cstheme="minorEastAsia"/>
                <w:bCs/>
                <w:color w:val="auto"/>
                <w:kern w:val="0"/>
                <w:sz w:val="24"/>
                <w:szCs w:val="24"/>
                <w:lang w:val="en-US" w:eastAsia="zh-CN"/>
              </w:rPr>
              <w:t>制</w:t>
            </w:r>
            <w:r>
              <w:rPr>
                <w:rFonts w:hint="eastAsia" w:asciiTheme="minorEastAsia" w:hAnsiTheme="minorEastAsia" w:eastAsiaTheme="minorEastAsia" w:cstheme="minorEastAsia"/>
                <w:bCs/>
                <w:color w:val="auto"/>
                <w:kern w:val="0"/>
                <w:sz w:val="24"/>
                <w:szCs w:val="24"/>
                <w:lang w:eastAsia="zh-CN"/>
              </w:rPr>
              <w:t>。</w:t>
            </w:r>
            <w:r>
              <w:rPr>
                <w:rFonts w:hint="eastAsia" w:asciiTheme="minorEastAsia" w:hAnsiTheme="minorEastAsia" w:eastAsiaTheme="minorEastAsia" w:cstheme="minorEastAsia"/>
                <w:bCs/>
                <w:color w:val="auto"/>
                <w:kern w:val="0"/>
                <w:sz w:val="24"/>
                <w:szCs w:val="24"/>
                <w:lang w:val="en-US" w:eastAsia="zh-CN"/>
              </w:rPr>
              <w:t>在厂区四周设置截排水沟，厂房棚顶</w:t>
            </w:r>
            <w:r>
              <w:rPr>
                <w:rFonts w:hint="eastAsia" w:asciiTheme="minorEastAsia" w:hAnsiTheme="minorEastAsia" w:eastAsiaTheme="minorEastAsia" w:cstheme="minorEastAsia"/>
                <w:bCs/>
                <w:color w:val="auto"/>
                <w:kern w:val="0"/>
                <w:sz w:val="24"/>
                <w:szCs w:val="24"/>
              </w:rPr>
              <w:t>雨水</w:t>
            </w:r>
            <w:r>
              <w:rPr>
                <w:rFonts w:hint="eastAsia" w:asciiTheme="minorEastAsia" w:hAnsiTheme="minorEastAsia" w:eastAsiaTheme="minorEastAsia" w:cstheme="minorEastAsia"/>
                <w:bCs/>
                <w:color w:val="auto"/>
                <w:kern w:val="0"/>
                <w:sz w:val="24"/>
                <w:szCs w:val="24"/>
                <w:lang w:eastAsia="zh-CN"/>
              </w:rPr>
              <w:t>经</w:t>
            </w:r>
            <w:r>
              <w:rPr>
                <w:rFonts w:hint="eastAsia" w:asciiTheme="minorEastAsia" w:hAnsiTheme="minorEastAsia" w:eastAsiaTheme="minorEastAsia" w:cstheme="minorEastAsia"/>
                <w:bCs/>
                <w:color w:val="auto"/>
                <w:kern w:val="0"/>
                <w:sz w:val="24"/>
                <w:szCs w:val="24"/>
                <w:lang w:val="en-US" w:eastAsia="zh-CN"/>
              </w:rPr>
              <w:t>截排水沟</w:t>
            </w:r>
            <w:r>
              <w:rPr>
                <w:rFonts w:hint="eastAsia" w:asciiTheme="minorEastAsia" w:hAnsiTheme="minorEastAsia" w:eastAsiaTheme="minorEastAsia" w:cstheme="minorEastAsia"/>
                <w:bCs/>
                <w:color w:val="auto"/>
                <w:kern w:val="0"/>
                <w:sz w:val="24"/>
                <w:szCs w:val="24"/>
              </w:rPr>
              <w:t>收集后</w:t>
            </w:r>
            <w:r>
              <w:rPr>
                <w:rFonts w:hint="eastAsia" w:asciiTheme="minorEastAsia" w:hAnsiTheme="minorEastAsia" w:eastAsiaTheme="minorEastAsia" w:cstheme="minorEastAsia"/>
                <w:bCs/>
                <w:color w:val="auto"/>
                <w:kern w:val="0"/>
                <w:sz w:val="24"/>
                <w:szCs w:val="24"/>
                <w:lang w:val="en-US" w:eastAsia="zh-CN"/>
              </w:rPr>
              <w:t>排入周边小溪</w:t>
            </w:r>
            <w:r>
              <w:rPr>
                <w:rFonts w:hint="eastAsia" w:asciiTheme="minorEastAsia" w:hAnsiTheme="minorEastAsia" w:eastAsiaTheme="minorEastAsia" w:cstheme="minorEastAsia"/>
                <w:bCs/>
                <w:color w:val="auto"/>
                <w:kern w:val="0"/>
                <w:sz w:val="24"/>
                <w:szCs w:val="24"/>
                <w:lang w:eastAsia="zh-CN"/>
              </w:rPr>
              <w:t>；生产废水（水雾</w:t>
            </w:r>
            <w:r>
              <w:rPr>
                <w:rFonts w:hint="eastAsia" w:asciiTheme="minorEastAsia" w:hAnsiTheme="minorEastAsia" w:eastAsiaTheme="minorEastAsia" w:cstheme="minorEastAsia"/>
                <w:bCs/>
                <w:color w:val="auto"/>
                <w:kern w:val="0"/>
                <w:sz w:val="24"/>
                <w:szCs w:val="24"/>
                <w:lang w:val="en-US" w:eastAsia="zh-CN"/>
              </w:rPr>
              <w:t>除尘废水</w:t>
            </w:r>
            <w:r>
              <w:rPr>
                <w:rFonts w:hint="eastAsia" w:asciiTheme="minorEastAsia" w:hAnsiTheme="minorEastAsia" w:eastAsiaTheme="minorEastAsia" w:cstheme="minorEastAsia"/>
                <w:bCs/>
                <w:color w:val="auto"/>
                <w:kern w:val="0"/>
                <w:sz w:val="24"/>
                <w:szCs w:val="24"/>
                <w:lang w:eastAsia="zh-CN"/>
              </w:rPr>
              <w:t>）经</w:t>
            </w:r>
            <w:r>
              <w:rPr>
                <w:rFonts w:hint="eastAsia" w:asciiTheme="minorEastAsia" w:hAnsiTheme="minorEastAsia" w:eastAsiaTheme="minorEastAsia" w:cstheme="minorEastAsia"/>
                <w:bCs/>
                <w:color w:val="auto"/>
                <w:kern w:val="0"/>
                <w:sz w:val="24"/>
                <w:szCs w:val="24"/>
                <w:lang w:val="en-US" w:eastAsia="zh-CN"/>
              </w:rPr>
              <w:t>循环水</w:t>
            </w:r>
            <w:r>
              <w:rPr>
                <w:rFonts w:hint="eastAsia" w:asciiTheme="minorEastAsia" w:hAnsiTheme="minorEastAsia" w:eastAsiaTheme="minorEastAsia" w:cstheme="minorEastAsia"/>
                <w:bCs/>
                <w:color w:val="auto"/>
                <w:kern w:val="0"/>
                <w:sz w:val="24"/>
                <w:szCs w:val="24"/>
                <w:lang w:eastAsia="zh-CN"/>
              </w:rPr>
              <w:t>池沉淀后循环使用不外排；</w:t>
            </w:r>
            <w:r>
              <w:rPr>
                <w:rFonts w:hint="eastAsia" w:asciiTheme="minorEastAsia" w:hAnsiTheme="minorEastAsia" w:eastAsiaTheme="minorEastAsia" w:cstheme="minorEastAsia"/>
                <w:bCs/>
                <w:color w:val="auto"/>
                <w:kern w:val="0"/>
                <w:sz w:val="24"/>
                <w:szCs w:val="24"/>
                <w:u w:val="single"/>
                <w:lang w:eastAsia="zh-CN"/>
              </w:rPr>
              <w:t>员工洗手洗脸、如厕均借用附近居民家用洗手间。厂区无生活污水产生。</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szCs w:val="24"/>
              </w:rPr>
              <w:t>（3）供电</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lang w:val="en-US" w:eastAsia="zh-CN"/>
              </w:rPr>
              <w:t>项目用电</w:t>
            </w:r>
            <w:r>
              <w:rPr>
                <w:rFonts w:hint="eastAsia"/>
                <w:color w:val="auto"/>
                <w:sz w:val="24"/>
                <w:szCs w:val="24"/>
              </w:rPr>
              <w:t>由</w:t>
            </w:r>
            <w:r>
              <w:rPr>
                <w:rFonts w:hint="eastAsia"/>
                <w:color w:val="auto"/>
                <w:sz w:val="24"/>
                <w:szCs w:val="24"/>
                <w:lang w:eastAsia="zh-CN"/>
              </w:rPr>
              <w:t>当地电网</w:t>
            </w:r>
            <w:r>
              <w:rPr>
                <w:rFonts w:hint="eastAsia"/>
                <w:color w:val="auto"/>
                <w:sz w:val="24"/>
                <w:szCs w:val="24"/>
              </w:rPr>
              <w:t>提供，年用电量</w:t>
            </w:r>
            <w:r>
              <w:rPr>
                <w:rFonts w:hint="eastAsia"/>
                <w:color w:val="auto"/>
                <w:sz w:val="24"/>
                <w:szCs w:val="24"/>
                <w:lang w:val="en-US" w:eastAsia="zh-CN"/>
              </w:rPr>
              <w:t>约</w:t>
            </w:r>
            <w:r>
              <w:rPr>
                <w:rFonts w:hint="eastAsia"/>
                <w:color w:val="auto"/>
                <w:sz w:val="24"/>
                <w:szCs w:val="24"/>
                <w:highlight w:val="none"/>
                <w:lang w:val="en-US" w:eastAsia="zh-CN"/>
              </w:rPr>
              <w:t>38</w:t>
            </w:r>
            <w:r>
              <w:rPr>
                <w:rFonts w:hint="eastAsia"/>
                <w:color w:val="auto"/>
                <w:sz w:val="24"/>
                <w:szCs w:val="24"/>
              </w:rPr>
              <w:t>万度。</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20"/>
                <w:u w:val="none"/>
              </w:rPr>
            </w:pPr>
            <w:r>
              <w:rPr>
                <w:rFonts w:hint="default"/>
                <w:color w:val="auto"/>
                <w:sz w:val="24"/>
                <w:szCs w:val="20"/>
                <w:u w:val="none"/>
              </w:rPr>
              <w:t>（</w:t>
            </w:r>
            <w:r>
              <w:rPr>
                <w:rFonts w:hint="eastAsia"/>
                <w:color w:val="auto"/>
                <w:sz w:val="24"/>
                <w:szCs w:val="20"/>
                <w:u w:val="none"/>
              </w:rPr>
              <w:t>4</w:t>
            </w:r>
            <w:r>
              <w:rPr>
                <w:rFonts w:hint="default"/>
                <w:color w:val="auto"/>
                <w:sz w:val="24"/>
                <w:szCs w:val="20"/>
                <w:u w:val="none"/>
              </w:rPr>
              <w:t>）消防</w:t>
            </w:r>
          </w:p>
          <w:p>
            <w:pPr>
              <w:spacing w:line="360" w:lineRule="auto"/>
              <w:ind w:firstLine="470" w:firstLineChars="196"/>
              <w:textAlignment w:val="center"/>
              <w:rPr>
                <w:rFonts w:hint="eastAsia" w:ascii="Times New Roman" w:hAnsi="Times New Roman"/>
                <w:color w:val="auto"/>
                <w:sz w:val="24"/>
                <w:szCs w:val="24"/>
                <w:u w:val="none"/>
              </w:rPr>
            </w:pPr>
            <w:r>
              <w:rPr>
                <w:rFonts w:hint="eastAsia"/>
                <w:color w:val="auto"/>
                <w:sz w:val="24"/>
                <w:szCs w:val="20"/>
                <w:u w:val="none"/>
              </w:rPr>
              <w:t>项目</w:t>
            </w:r>
            <w:r>
              <w:rPr>
                <w:rFonts w:hint="eastAsia"/>
                <w:color w:val="auto"/>
                <w:sz w:val="24"/>
                <w:szCs w:val="20"/>
                <w:u w:val="none"/>
                <w:lang w:eastAsia="zh-CN"/>
              </w:rPr>
              <w:t>拟按消防规范和当地消防管理部门的要求配置消防设施，主要包括消防通道、消防应急灯、灭火器、消防水池等。</w:t>
            </w:r>
          </w:p>
          <w:p>
            <w:pPr>
              <w:spacing w:line="360" w:lineRule="auto"/>
              <w:textAlignment w:val="center"/>
              <w:rPr>
                <w:rFonts w:hint="eastAsia" w:ascii="Times New Roman" w:hAnsi="Times New Roman"/>
                <w:b/>
                <w:color w:val="auto"/>
                <w:sz w:val="24"/>
                <w:szCs w:val="24"/>
                <w:u w:val="none"/>
              </w:rPr>
            </w:pPr>
            <w:r>
              <w:rPr>
                <w:rFonts w:hint="eastAsia" w:ascii="Times New Roman" w:hAnsi="Times New Roman"/>
                <w:b/>
                <w:color w:val="auto"/>
                <w:sz w:val="24"/>
                <w:szCs w:val="24"/>
                <w:u w:val="none"/>
              </w:rPr>
              <w:t>1.</w:t>
            </w:r>
            <w:r>
              <w:rPr>
                <w:rFonts w:hint="eastAsia"/>
                <w:b/>
                <w:color w:val="auto"/>
                <w:sz w:val="24"/>
                <w:szCs w:val="24"/>
                <w:u w:val="none"/>
                <w:lang w:val="en-US" w:eastAsia="zh-CN"/>
              </w:rPr>
              <w:t>9</w:t>
            </w:r>
            <w:r>
              <w:rPr>
                <w:rFonts w:hint="eastAsia" w:ascii="Times New Roman" w:hAnsi="Times New Roman"/>
                <w:b/>
                <w:color w:val="auto"/>
                <w:sz w:val="24"/>
                <w:szCs w:val="24"/>
                <w:u w:val="none"/>
              </w:rPr>
              <w:t xml:space="preserve"> 本项目土石方平衡</w:t>
            </w:r>
          </w:p>
          <w:p>
            <w:pPr>
              <w:spacing w:line="360" w:lineRule="auto"/>
              <w:ind w:firstLine="470" w:firstLineChars="196"/>
              <w:textAlignment w:val="center"/>
              <w:rPr>
                <w:rFonts w:hint="eastAsia" w:ascii="Times New Roman" w:hAnsi="Times New Roman" w:eastAsia="宋体" w:cs="Times New Roman"/>
                <w:color w:val="auto"/>
                <w:sz w:val="24"/>
                <w:szCs w:val="20"/>
                <w:u w:val="none"/>
                <w:lang w:eastAsia="zh-CN"/>
              </w:rPr>
            </w:pPr>
            <w:r>
              <w:rPr>
                <w:rFonts w:hint="eastAsia" w:cs="Times New Roman"/>
                <w:color w:val="auto"/>
                <w:sz w:val="24"/>
                <w:szCs w:val="20"/>
                <w:u w:val="single"/>
                <w:lang w:eastAsia="zh-CN"/>
              </w:rPr>
              <w:t>本</w:t>
            </w:r>
            <w:r>
              <w:rPr>
                <w:rFonts w:hint="eastAsia" w:ascii="Times New Roman" w:hAnsi="Times New Roman" w:eastAsia="宋体" w:cs="Times New Roman"/>
                <w:color w:val="auto"/>
                <w:sz w:val="24"/>
                <w:szCs w:val="20"/>
                <w:u w:val="single"/>
              </w:rPr>
              <w:t>项目地</w:t>
            </w:r>
            <w:r>
              <w:rPr>
                <w:rFonts w:hint="eastAsia" w:cs="Times New Roman"/>
                <w:color w:val="auto"/>
                <w:sz w:val="24"/>
                <w:szCs w:val="20"/>
                <w:u w:val="single"/>
                <w:lang w:eastAsia="zh-CN"/>
              </w:rPr>
              <w:t>位于</w:t>
            </w:r>
            <w:r>
              <w:rPr>
                <w:rFonts w:hint="eastAsia" w:asciiTheme="minorEastAsia" w:hAnsiTheme="minorEastAsia" w:eastAsiaTheme="minorEastAsia" w:cstheme="minorEastAsia"/>
                <w:b w:val="0"/>
                <w:bCs/>
                <w:color w:val="auto"/>
                <w:sz w:val="24"/>
                <w:szCs w:val="24"/>
                <w:u w:val="single"/>
                <w:lang w:val="en-US" w:eastAsia="zh-CN"/>
              </w:rPr>
              <w:t>怀化市</w:t>
            </w:r>
            <w:r>
              <w:rPr>
                <w:rFonts w:hint="eastAsia" w:asciiTheme="minorEastAsia" w:hAnsiTheme="minorEastAsia" w:eastAsiaTheme="minorEastAsia" w:cstheme="minorEastAsia"/>
                <w:b w:val="0"/>
                <w:bCs/>
                <w:color w:val="auto"/>
                <w:sz w:val="24"/>
                <w:szCs w:val="24"/>
                <w:u w:val="single"/>
              </w:rPr>
              <w:t>洪江区长寨英明山</w:t>
            </w:r>
            <w:r>
              <w:rPr>
                <w:rFonts w:hint="eastAsia" w:cs="Times New Roman"/>
                <w:color w:val="auto"/>
                <w:sz w:val="24"/>
                <w:szCs w:val="20"/>
                <w:u w:val="single"/>
                <w:lang w:eastAsia="zh-CN"/>
              </w:rPr>
              <w:t>，</w:t>
            </w:r>
            <w:r>
              <w:rPr>
                <w:rFonts w:hint="eastAsia" w:ascii="Times New Roman" w:hAnsi="Times New Roman" w:eastAsia="宋体" w:cs="Times New Roman"/>
                <w:color w:val="auto"/>
                <w:sz w:val="24"/>
                <w:szCs w:val="20"/>
                <w:u w:val="none"/>
              </w:rPr>
              <w:t>场地整体较为平整，项目施工主要</w:t>
            </w:r>
            <w:r>
              <w:rPr>
                <w:rFonts w:hint="eastAsia" w:cs="Times New Roman"/>
                <w:color w:val="auto"/>
                <w:sz w:val="24"/>
                <w:szCs w:val="20"/>
                <w:u w:val="none"/>
                <w:lang w:eastAsia="zh-CN"/>
              </w:rPr>
              <w:t>是拆除原有破旧的</w:t>
            </w:r>
            <w:r>
              <w:rPr>
                <w:rFonts w:hint="eastAsia" w:ascii="Times New Roman" w:hAnsi="Times New Roman" w:eastAsia="宋体" w:cs="Times New Roman"/>
                <w:color w:val="auto"/>
                <w:sz w:val="24"/>
                <w:szCs w:val="20"/>
                <w:u w:val="none"/>
                <w:lang w:eastAsia="zh-CN"/>
              </w:rPr>
              <w:t>钢结构</w:t>
            </w:r>
            <w:r>
              <w:rPr>
                <w:rFonts w:hint="eastAsia" w:cs="Times New Roman"/>
                <w:color w:val="auto"/>
                <w:sz w:val="24"/>
                <w:szCs w:val="20"/>
                <w:u w:val="none"/>
                <w:lang w:eastAsia="zh-CN"/>
              </w:rPr>
              <w:t>厂房，</w:t>
            </w:r>
            <w:r>
              <w:rPr>
                <w:rFonts w:hint="eastAsia" w:ascii="Times New Roman" w:hAnsi="Times New Roman" w:eastAsia="宋体" w:cs="Times New Roman"/>
                <w:color w:val="auto"/>
                <w:sz w:val="24"/>
                <w:szCs w:val="20"/>
                <w:u w:val="none"/>
                <w:lang w:eastAsia="zh-CN"/>
              </w:rPr>
              <w:t>新搭建钢结构</w:t>
            </w:r>
            <w:r>
              <w:rPr>
                <w:rFonts w:hint="eastAsia" w:cs="Times New Roman"/>
                <w:color w:val="auto"/>
                <w:sz w:val="24"/>
                <w:szCs w:val="20"/>
                <w:u w:val="none"/>
                <w:lang w:eastAsia="zh-CN"/>
              </w:rPr>
              <w:t>厂房、办公楼</w:t>
            </w:r>
            <w:r>
              <w:rPr>
                <w:rFonts w:hint="eastAsia"/>
                <w:color w:val="auto"/>
                <w:sz w:val="24"/>
                <w:szCs w:val="28"/>
              </w:rPr>
              <w:t>以及安装调试生产设备、环保设备</w:t>
            </w:r>
            <w:r>
              <w:rPr>
                <w:rFonts w:hint="eastAsia" w:cs="Times New Roman"/>
                <w:color w:val="auto"/>
                <w:sz w:val="24"/>
                <w:szCs w:val="20"/>
                <w:u w:val="none"/>
                <w:lang w:eastAsia="zh-CN"/>
              </w:rPr>
              <w:t>，</w:t>
            </w:r>
            <w:r>
              <w:rPr>
                <w:rFonts w:hint="default" w:ascii="Times New Roman" w:hAnsi="Times New Roman" w:eastAsia="宋体" w:cs="Times New Roman"/>
                <w:color w:val="auto"/>
                <w:sz w:val="24"/>
                <w:szCs w:val="24"/>
                <w:u w:val="none" w:color="auto"/>
                <w:lang w:eastAsia="zh-CN"/>
              </w:rPr>
              <w:t>本</w:t>
            </w:r>
            <w:r>
              <w:rPr>
                <w:rFonts w:hint="default" w:ascii="Times New Roman" w:hAnsi="Times New Roman" w:eastAsia="宋体" w:cs="Times New Roman"/>
                <w:color w:val="auto"/>
                <w:sz w:val="24"/>
                <w:szCs w:val="24"/>
                <w:u w:val="none" w:color="auto"/>
              </w:rPr>
              <w:t>项目</w:t>
            </w:r>
            <w:r>
              <w:rPr>
                <w:rFonts w:hint="default" w:ascii="Times New Roman" w:hAnsi="Times New Roman" w:eastAsia="宋体" w:cs="Times New Roman"/>
                <w:color w:val="auto"/>
                <w:sz w:val="24"/>
                <w:szCs w:val="24"/>
                <w:u w:val="none" w:color="auto"/>
                <w:lang w:val="en-US" w:eastAsia="zh-CN"/>
              </w:rPr>
              <w:t>挖方主要为36座炭化窑，</w:t>
            </w:r>
            <w:r>
              <w:rPr>
                <w:rFonts w:hint="default" w:ascii="Times New Roman" w:hAnsi="Times New Roman" w:eastAsia="宋体" w:cs="Times New Roman"/>
                <w:color w:val="auto"/>
                <w:sz w:val="24"/>
                <w:szCs w:val="24"/>
                <w:u w:val="none" w:color="auto"/>
              </w:rPr>
              <w:t>共需开挖土石方约</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00m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开挖土方</w:t>
            </w:r>
            <w:r>
              <w:rPr>
                <w:rFonts w:hint="eastAsia" w:ascii="Times New Roman" w:hAnsi="Times New Roman" w:eastAsia="宋体" w:cs="Times New Roman"/>
                <w:color w:val="auto"/>
                <w:sz w:val="24"/>
                <w:szCs w:val="24"/>
                <w:u w:val="none" w:color="auto"/>
                <w:lang w:val="en-US" w:eastAsia="zh-CN"/>
              </w:rPr>
              <w:t>全部</w:t>
            </w:r>
            <w:r>
              <w:rPr>
                <w:rFonts w:hint="default" w:ascii="Times New Roman" w:hAnsi="Times New Roman" w:eastAsia="宋体" w:cs="Times New Roman"/>
                <w:color w:val="auto"/>
                <w:sz w:val="24"/>
                <w:szCs w:val="24"/>
                <w:u w:val="none" w:color="auto"/>
                <w:lang w:val="en-US" w:eastAsia="zh-CN"/>
              </w:rPr>
              <w:t>用于场地</w:t>
            </w:r>
            <w:r>
              <w:rPr>
                <w:rFonts w:hint="default" w:ascii="Times New Roman" w:hAnsi="Times New Roman" w:eastAsia="宋体" w:cs="Times New Roman"/>
                <w:color w:val="auto"/>
                <w:sz w:val="24"/>
                <w:szCs w:val="24"/>
                <w:u w:val="none" w:color="auto"/>
                <w:lang w:eastAsia="zh-CN"/>
              </w:rPr>
              <w:t>回填平整</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0"/>
                <w:u w:val="none"/>
              </w:rPr>
              <w:t>基本可以做到挖填方平衡</w:t>
            </w:r>
            <w:r>
              <w:rPr>
                <w:rFonts w:hint="eastAsia" w:ascii="Times New Roman" w:hAnsi="Times New Roman" w:eastAsia="宋体" w:cs="Times New Roman"/>
                <w:color w:val="auto"/>
                <w:sz w:val="24"/>
                <w:szCs w:val="20"/>
                <w:u w:val="none"/>
                <w:lang w:eastAsia="zh-CN"/>
              </w:rPr>
              <w:t>。</w:t>
            </w:r>
          </w:p>
          <w:p>
            <w:pPr>
              <w:spacing w:line="360" w:lineRule="auto"/>
              <w:textAlignment w:val="center"/>
              <w:rPr>
                <w:rFonts w:hint="eastAsia" w:ascii="Times New Roman" w:hAnsi="Times New Roman"/>
                <w:b/>
                <w:color w:val="auto"/>
                <w:sz w:val="24"/>
                <w:szCs w:val="24"/>
                <w:u w:val="none"/>
              </w:rPr>
            </w:pPr>
            <w:r>
              <w:rPr>
                <w:rFonts w:hint="eastAsia" w:ascii="Times New Roman" w:hAnsi="Times New Roman"/>
                <w:b/>
                <w:color w:val="auto"/>
                <w:sz w:val="24"/>
                <w:szCs w:val="24"/>
                <w:u w:val="none"/>
              </w:rPr>
              <w:t>1.1</w:t>
            </w:r>
            <w:r>
              <w:rPr>
                <w:rFonts w:hint="eastAsia"/>
                <w:b/>
                <w:color w:val="auto"/>
                <w:sz w:val="24"/>
                <w:szCs w:val="24"/>
                <w:u w:val="none"/>
                <w:lang w:val="en-US" w:eastAsia="zh-CN"/>
              </w:rPr>
              <w:t>0</w:t>
            </w:r>
            <w:r>
              <w:rPr>
                <w:rFonts w:hint="eastAsia" w:ascii="Times New Roman" w:hAnsi="Times New Roman"/>
                <w:b/>
                <w:color w:val="auto"/>
                <w:sz w:val="24"/>
                <w:szCs w:val="24"/>
                <w:u w:val="none"/>
              </w:rPr>
              <w:t xml:space="preserve"> 施工进度</w:t>
            </w:r>
          </w:p>
          <w:p>
            <w:pPr>
              <w:spacing w:line="360" w:lineRule="auto"/>
              <w:ind w:firstLine="470" w:firstLineChars="196"/>
              <w:textAlignment w:val="center"/>
              <w:rPr>
                <w:rFonts w:ascii="Times New Roman" w:hAnsi="Times New Roman"/>
                <w:color w:val="auto"/>
                <w:kern w:val="0"/>
                <w:sz w:val="24"/>
                <w:u w:val="none"/>
              </w:rPr>
            </w:pPr>
            <w:r>
              <w:rPr>
                <w:rFonts w:ascii="Times New Roman" w:hAnsi="Times New Roman"/>
                <w:color w:val="auto"/>
                <w:kern w:val="0"/>
                <w:sz w:val="24"/>
                <w:u w:val="none"/>
              </w:rPr>
              <w:t>工期约</w:t>
            </w:r>
            <w:r>
              <w:rPr>
                <w:rFonts w:hint="eastAsia"/>
                <w:color w:val="auto"/>
                <w:kern w:val="0"/>
                <w:sz w:val="24"/>
                <w:u w:val="none"/>
                <w:lang w:val="en-US" w:eastAsia="zh-CN"/>
              </w:rPr>
              <w:t>2</w:t>
            </w:r>
            <w:r>
              <w:rPr>
                <w:rFonts w:ascii="Times New Roman" w:hAnsi="Times New Roman"/>
                <w:color w:val="auto"/>
                <w:kern w:val="0"/>
                <w:sz w:val="24"/>
                <w:u w:val="none"/>
              </w:rPr>
              <w:t>个月，预计20</w:t>
            </w:r>
            <w:r>
              <w:rPr>
                <w:rFonts w:hint="eastAsia"/>
                <w:color w:val="auto"/>
                <w:kern w:val="0"/>
                <w:sz w:val="24"/>
                <w:u w:val="none"/>
                <w:lang w:val="en-US" w:eastAsia="zh-CN"/>
              </w:rPr>
              <w:t>20</w:t>
            </w:r>
            <w:r>
              <w:rPr>
                <w:rFonts w:ascii="Times New Roman" w:hAnsi="Times New Roman"/>
                <w:color w:val="auto"/>
                <w:kern w:val="0"/>
                <w:sz w:val="24"/>
                <w:u w:val="none"/>
              </w:rPr>
              <w:t>年</w:t>
            </w:r>
            <w:r>
              <w:rPr>
                <w:rFonts w:hint="eastAsia"/>
                <w:color w:val="auto"/>
                <w:kern w:val="0"/>
                <w:sz w:val="24"/>
                <w:u w:val="none"/>
                <w:lang w:val="en-US" w:eastAsia="zh-CN"/>
              </w:rPr>
              <w:t>9</w:t>
            </w:r>
            <w:r>
              <w:rPr>
                <w:rFonts w:ascii="Times New Roman" w:hAnsi="Times New Roman"/>
                <w:color w:val="auto"/>
                <w:kern w:val="0"/>
                <w:sz w:val="24"/>
                <w:u w:val="none"/>
              </w:rPr>
              <w:t>月份开工，20</w:t>
            </w:r>
            <w:r>
              <w:rPr>
                <w:rFonts w:hint="eastAsia" w:ascii="Times New Roman" w:hAnsi="Times New Roman"/>
                <w:color w:val="auto"/>
                <w:kern w:val="0"/>
                <w:sz w:val="24"/>
                <w:u w:val="none"/>
              </w:rPr>
              <w:t>20</w:t>
            </w:r>
            <w:r>
              <w:rPr>
                <w:rFonts w:ascii="Times New Roman" w:hAnsi="Times New Roman"/>
                <w:color w:val="auto"/>
                <w:kern w:val="0"/>
                <w:sz w:val="24"/>
                <w:u w:val="none"/>
              </w:rPr>
              <w:t>年</w:t>
            </w:r>
            <w:r>
              <w:rPr>
                <w:rFonts w:hint="eastAsia"/>
                <w:color w:val="auto"/>
                <w:kern w:val="0"/>
                <w:sz w:val="24"/>
                <w:u w:val="none"/>
                <w:lang w:val="en-US" w:eastAsia="zh-CN"/>
              </w:rPr>
              <w:t>10</w:t>
            </w:r>
            <w:r>
              <w:rPr>
                <w:rFonts w:ascii="Times New Roman" w:hAnsi="Times New Roman"/>
                <w:color w:val="auto"/>
                <w:kern w:val="0"/>
                <w:sz w:val="24"/>
                <w:u w:val="none"/>
              </w:rPr>
              <w:t>月竣工。</w:t>
            </w:r>
          </w:p>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（二）</w:t>
            </w:r>
            <w:r>
              <w:rPr>
                <w:rFonts w:hint="eastAsia" w:ascii="宋体" w:hAnsi="宋体" w:eastAsia="宋体" w:cs="宋体"/>
                <w:b/>
                <w:color w:val="auto"/>
                <w:sz w:val="28"/>
                <w:szCs w:val="28"/>
                <w:lang w:val="en-US" w:eastAsia="zh-CN"/>
              </w:rPr>
              <w:t>政策</w:t>
            </w:r>
            <w:r>
              <w:rPr>
                <w:rFonts w:hint="eastAsia" w:ascii="宋体" w:hAnsi="宋体" w:eastAsia="宋体" w:cs="宋体"/>
                <w:b/>
                <w:color w:val="auto"/>
                <w:sz w:val="28"/>
                <w:szCs w:val="28"/>
                <w:lang w:eastAsia="zh-CN"/>
              </w:rPr>
              <w:t>相符</w:t>
            </w:r>
            <w:r>
              <w:rPr>
                <w:rFonts w:hint="eastAsia" w:ascii="宋体" w:hAnsi="宋体" w:eastAsia="宋体" w:cs="宋体"/>
                <w:b/>
                <w:color w:val="auto"/>
                <w:sz w:val="28"/>
                <w:szCs w:val="28"/>
              </w:rPr>
              <w:t>性分析</w:t>
            </w:r>
            <w:r>
              <w:rPr>
                <w:rFonts w:hint="eastAsia" w:ascii="宋体" w:hAnsi="宋体" w:eastAsia="宋体" w:cs="宋体"/>
                <w:b/>
                <w:color w:val="auto"/>
                <w:sz w:val="28"/>
                <w:szCs w:val="28"/>
                <w:lang w:val="en-US" w:eastAsia="zh-CN"/>
              </w:rPr>
              <w:t>及选址合理性分析</w:t>
            </w:r>
          </w:p>
          <w:p>
            <w:pPr>
              <w:keepNext w:val="0"/>
              <w:keepLines w:val="0"/>
              <w:suppressLineNumbers w:val="0"/>
              <w:spacing w:before="0" w:beforeAutospacing="0" w:after="0" w:afterAutospacing="0" w:line="360" w:lineRule="auto"/>
              <w:ind w:left="0" w:right="0"/>
              <w:rPr>
                <w:rFonts w:hint="default" w:hAnsi="宋体" w:eastAsia="宋体"/>
                <w:b/>
                <w:color w:val="auto"/>
                <w:sz w:val="24"/>
                <w:szCs w:val="24"/>
                <w:lang w:val="en-US" w:eastAsia="zh-CN"/>
              </w:rPr>
            </w:pPr>
            <w:r>
              <w:rPr>
                <w:rFonts w:hint="eastAsia" w:hAnsi="宋体"/>
                <w:b/>
                <w:color w:val="auto"/>
                <w:sz w:val="24"/>
                <w:szCs w:val="24"/>
                <w:lang w:val="en-US" w:eastAsia="zh-CN"/>
              </w:rPr>
              <w:t>1、</w:t>
            </w:r>
            <w:r>
              <w:rPr>
                <w:rFonts w:hint="eastAsia" w:hAnsi="宋体"/>
                <w:b/>
                <w:color w:val="auto"/>
                <w:sz w:val="24"/>
                <w:szCs w:val="24"/>
              </w:rPr>
              <w:t>产业政策符合性分析</w:t>
            </w:r>
          </w:p>
          <w:p>
            <w:pPr>
              <w:keepNext w:val="0"/>
              <w:keepLines w:val="0"/>
              <w:suppressLineNumbers w:val="0"/>
              <w:spacing w:before="0" w:beforeAutospacing="0" w:after="0" w:afterAutospacing="0" w:line="360" w:lineRule="auto"/>
              <w:ind w:left="0" w:right="0" w:firstLine="480" w:firstLineChars="200"/>
              <w:rPr>
                <w:color w:val="auto"/>
                <w:sz w:val="24"/>
              </w:rPr>
            </w:pPr>
            <w:r>
              <w:rPr>
                <w:rFonts w:hint="eastAsia"/>
                <w:color w:val="auto"/>
                <w:sz w:val="24"/>
                <w:u w:val="single"/>
              </w:rPr>
              <w:t>本项目</w:t>
            </w:r>
            <w:r>
              <w:rPr>
                <w:color w:val="auto"/>
                <w:sz w:val="24"/>
                <w:u w:val="single"/>
              </w:rPr>
              <w:t>属于</w:t>
            </w:r>
            <w:r>
              <w:rPr>
                <w:rFonts w:hint="eastAsia" w:ascii="Times New Roman" w:hAnsi="Times New Roman"/>
                <w:color w:val="auto"/>
                <w:sz w:val="24"/>
                <w:szCs w:val="24"/>
                <w:u w:val="single"/>
              </w:rPr>
              <w:t>非金属废料和碎屑的加工处理</w:t>
            </w:r>
            <w:r>
              <w:rPr>
                <w:color w:val="auto"/>
                <w:sz w:val="24"/>
                <w:u w:val="single"/>
              </w:rPr>
              <w:t>。</w:t>
            </w:r>
            <w:r>
              <w:rPr>
                <w:color w:val="auto"/>
                <w:sz w:val="24"/>
              </w:rPr>
              <w:t>根据《产业结构调整指导目录（2019年本）》（中华人民共和国国家发展和改革委员会令 第29号）：本项目属于鼓励类中第四十三条“环境保护与资源节约综合利用”中第五款“区域性废旧汽车、废旧电器电子产品、废旧船舶、废钢铁、废旧木材等资源循环利用基地建设”类别。</w:t>
            </w:r>
          </w:p>
          <w:p>
            <w:pPr>
              <w:keepNext w:val="0"/>
              <w:keepLines w:val="0"/>
              <w:suppressLineNumbers w:val="0"/>
              <w:spacing w:before="0" w:beforeAutospacing="0" w:after="0" w:afterAutospacing="0" w:line="360" w:lineRule="auto"/>
              <w:ind w:left="0" w:right="0" w:firstLine="480" w:firstLineChars="200"/>
              <w:rPr>
                <w:rFonts w:hint="default" w:hAnsi="宋体"/>
                <w:bCs/>
                <w:color w:val="auto"/>
                <w:sz w:val="24"/>
                <w:szCs w:val="20"/>
              </w:rPr>
            </w:pPr>
            <w:r>
              <w:rPr>
                <w:rFonts w:hint="eastAsia" w:ascii="Times New Roman" w:hAnsi="Times New Roman"/>
                <w:bCs/>
                <w:color w:val="auto"/>
                <w:kern w:val="0"/>
                <w:sz w:val="24"/>
                <w:szCs w:val="20"/>
              </w:rPr>
              <w:t>因此，</w:t>
            </w:r>
            <w:r>
              <w:rPr>
                <w:color w:val="auto"/>
                <w:sz w:val="24"/>
              </w:rPr>
              <w:t>故本项目为鼓励类，</w:t>
            </w:r>
            <w:r>
              <w:rPr>
                <w:rFonts w:hint="default" w:hAnsi="宋体"/>
                <w:bCs/>
                <w:color w:val="auto"/>
                <w:sz w:val="24"/>
                <w:szCs w:val="20"/>
              </w:rPr>
              <w:t>符合国家产业政策。</w:t>
            </w:r>
          </w:p>
          <w:p>
            <w:pPr>
              <w:keepNext w:val="0"/>
              <w:keepLines w:val="0"/>
              <w:suppressLineNumbers w:val="0"/>
              <w:spacing w:before="0" w:beforeAutospacing="0" w:after="0" w:afterAutospacing="0" w:line="360" w:lineRule="auto"/>
              <w:ind w:left="0" w:right="0"/>
              <w:rPr>
                <w:rFonts w:hint="default" w:hAnsi="宋体"/>
                <w:b/>
                <w:color w:val="auto"/>
                <w:sz w:val="24"/>
                <w:szCs w:val="24"/>
                <w:lang w:val="en-US"/>
              </w:rPr>
            </w:pPr>
            <w:r>
              <w:rPr>
                <w:rFonts w:hint="eastAsia" w:hAnsi="宋体"/>
                <w:b/>
                <w:color w:val="auto"/>
                <w:sz w:val="24"/>
                <w:szCs w:val="24"/>
                <w:lang w:val="en-US" w:eastAsia="zh-CN"/>
              </w:rPr>
              <w:t>2、</w:t>
            </w:r>
            <w:r>
              <w:rPr>
                <w:rFonts w:hint="eastAsia"/>
                <w:b/>
                <w:bCs/>
                <w:color w:val="auto"/>
                <w:sz w:val="24"/>
                <w:szCs w:val="24"/>
                <w:lang w:val="en-US" w:eastAsia="zh-CN"/>
              </w:rPr>
              <w:t>与“三线一单”的相符性分析</w:t>
            </w:r>
          </w:p>
          <w:p>
            <w:pPr>
              <w:keepNext w:val="0"/>
              <w:keepLines w:val="0"/>
              <w:suppressLineNumbers w:val="0"/>
              <w:bidi w:val="0"/>
              <w:spacing w:before="0" w:beforeAutospacing="0" w:after="0" w:afterAutospacing="0" w:line="360" w:lineRule="auto"/>
              <w:ind w:left="0" w:right="0" w:firstLine="210" w:firstLineChars="100"/>
              <w:rPr>
                <w:rFonts w:hint="eastAsia"/>
                <w:color w:val="auto"/>
                <w:sz w:val="24"/>
                <w:szCs w:val="24"/>
                <w:lang w:val="en-US" w:eastAsia="zh-CN"/>
              </w:rPr>
            </w:pPr>
            <w:r>
              <w:rPr>
                <w:rFonts w:hint="eastAsia"/>
                <w:color w:val="auto"/>
                <w:szCs w:val="20"/>
                <w:lang w:val="en-US" w:eastAsia="zh-CN"/>
              </w:rPr>
              <w:t xml:space="preserve"> “</w:t>
            </w:r>
            <w:r>
              <w:rPr>
                <w:rFonts w:hint="default" w:hAnsi="宋体"/>
                <w:color w:val="auto"/>
                <w:kern w:val="0"/>
                <w:sz w:val="24"/>
                <w:szCs w:val="20"/>
              </w:rPr>
              <w:t>三线一单</w:t>
            </w:r>
            <w:r>
              <w:rPr>
                <w:rFonts w:hint="eastAsia"/>
                <w:color w:val="auto"/>
                <w:szCs w:val="20"/>
                <w:lang w:val="en-US" w:eastAsia="zh-CN"/>
              </w:rPr>
              <w:t>”</w:t>
            </w:r>
            <w:r>
              <w:rPr>
                <w:rFonts w:hint="default" w:hAnsi="宋体"/>
                <w:color w:val="auto"/>
                <w:kern w:val="0"/>
                <w:sz w:val="24"/>
                <w:szCs w:val="20"/>
              </w:rPr>
              <w:t>是生态保护红线、环境质量底线、资源利用上线和环境准入负面清单的简称。</w:t>
            </w:r>
            <w:r>
              <w:rPr>
                <w:rFonts w:hint="eastAsia"/>
                <w:color w:val="auto"/>
                <w:sz w:val="24"/>
                <w:szCs w:val="24"/>
                <w:lang w:eastAsia="zh-CN"/>
              </w:rPr>
              <w:t>本</w:t>
            </w:r>
            <w:r>
              <w:rPr>
                <w:rFonts w:hint="default"/>
                <w:color w:val="auto"/>
                <w:sz w:val="24"/>
                <w:szCs w:val="24"/>
              </w:rPr>
              <w:t>项目</w:t>
            </w:r>
            <w:r>
              <w:rPr>
                <w:rFonts w:hint="eastAsia"/>
                <w:color w:val="auto"/>
                <w:sz w:val="24"/>
                <w:szCs w:val="24"/>
                <w:lang w:val="en-US" w:eastAsia="zh-CN"/>
              </w:rPr>
              <w:t>位于</w:t>
            </w:r>
            <w:r>
              <w:rPr>
                <w:rFonts w:hint="eastAsia" w:ascii="Times New Roman" w:hAnsi="Times New Roman"/>
                <w:color w:val="auto"/>
                <w:sz w:val="24"/>
                <w:szCs w:val="20"/>
                <w:u w:val="none"/>
                <w:lang w:eastAsia="zh-CN"/>
              </w:rPr>
              <w:t>怀化市洪江区欣隆竹胶板厂</w:t>
            </w:r>
            <w:r>
              <w:rPr>
                <w:rFonts w:hint="eastAsia"/>
                <w:color w:val="auto"/>
                <w:sz w:val="24"/>
                <w:szCs w:val="20"/>
                <w:u w:val="none"/>
                <w:lang w:eastAsia="zh-CN"/>
              </w:rPr>
              <w:t>场地内</w:t>
            </w:r>
            <w:r>
              <w:rPr>
                <w:rFonts w:hint="eastAsia"/>
                <w:color w:val="auto"/>
                <w:sz w:val="24"/>
                <w:szCs w:val="24"/>
                <w:lang w:val="en-US" w:eastAsia="zh-CN"/>
              </w:rPr>
              <w:t>的闲置用地，</w:t>
            </w:r>
            <w:r>
              <w:rPr>
                <w:rFonts w:hint="eastAsia"/>
                <w:color w:val="auto"/>
                <w:sz w:val="24"/>
                <w:szCs w:val="24"/>
                <w:lang w:eastAsia="zh-CN"/>
              </w:rPr>
              <w:t>项目用地性质为</w:t>
            </w:r>
            <w:r>
              <w:rPr>
                <w:rFonts w:hint="eastAsia"/>
                <w:color w:val="auto"/>
                <w:sz w:val="24"/>
                <w:szCs w:val="24"/>
                <w:lang w:val="en-US" w:eastAsia="zh-CN"/>
              </w:rPr>
              <w:t>工</w:t>
            </w:r>
            <w:r>
              <w:rPr>
                <w:rFonts w:hint="eastAsia"/>
                <w:color w:val="auto"/>
                <w:sz w:val="24"/>
                <w:szCs w:val="24"/>
                <w:lang w:eastAsia="zh-CN"/>
              </w:rPr>
              <w:t>业用地，</w:t>
            </w:r>
            <w:r>
              <w:rPr>
                <w:rFonts w:hint="eastAsia"/>
                <w:color w:val="auto"/>
                <w:sz w:val="24"/>
                <w:szCs w:val="24"/>
                <w:lang w:val="en-US" w:eastAsia="zh-CN"/>
              </w:rPr>
              <w:t>不属于洪江区生态红线内的管控区域，因此，本项目建设符合生态保护红线要求。</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环境质量底线是国家和地方设置的大气、水和土壤环境质量目标，也是改善环境质量的基准线。本项目</w:t>
            </w:r>
            <w:r>
              <w:rPr>
                <w:rFonts w:hint="eastAsia"/>
                <w:color w:val="auto"/>
                <w:sz w:val="24"/>
                <w:szCs w:val="24"/>
                <w:lang w:eastAsia="zh-CN"/>
              </w:rPr>
              <w:t>所在区域工业活动较少，区域</w:t>
            </w:r>
            <w:r>
              <w:rPr>
                <w:rFonts w:hint="eastAsia"/>
                <w:color w:val="auto"/>
                <w:sz w:val="24"/>
                <w:szCs w:val="24"/>
              </w:rPr>
              <w:t>大气环境</w:t>
            </w:r>
            <w:r>
              <w:rPr>
                <w:rFonts w:hint="eastAsia"/>
                <w:color w:val="auto"/>
                <w:sz w:val="24"/>
                <w:szCs w:val="24"/>
                <w:lang w:eastAsia="zh-CN"/>
              </w:rPr>
              <w:t>质量</w:t>
            </w:r>
            <w:r>
              <w:rPr>
                <w:rFonts w:hint="eastAsia"/>
                <w:color w:val="auto"/>
                <w:sz w:val="24"/>
                <w:szCs w:val="24"/>
              </w:rPr>
              <w:t>、</w:t>
            </w:r>
            <w:r>
              <w:rPr>
                <w:rFonts w:hint="eastAsia"/>
                <w:color w:val="auto"/>
                <w:sz w:val="24"/>
                <w:szCs w:val="24"/>
                <w:lang w:eastAsia="zh-CN"/>
              </w:rPr>
              <w:t>地表水和</w:t>
            </w:r>
            <w:r>
              <w:rPr>
                <w:rFonts w:hint="eastAsia"/>
                <w:color w:val="auto"/>
                <w:sz w:val="24"/>
                <w:szCs w:val="24"/>
              </w:rPr>
              <w:t>地下水环境</w:t>
            </w:r>
            <w:r>
              <w:rPr>
                <w:rFonts w:hint="eastAsia"/>
                <w:color w:val="auto"/>
                <w:sz w:val="24"/>
                <w:szCs w:val="24"/>
                <w:lang w:eastAsia="zh-CN"/>
              </w:rPr>
              <w:t>质量</w:t>
            </w:r>
            <w:r>
              <w:rPr>
                <w:rFonts w:hint="eastAsia"/>
                <w:color w:val="auto"/>
                <w:sz w:val="24"/>
                <w:szCs w:val="24"/>
              </w:rPr>
              <w:t>能够满足相应的标准要求。本项目运营过程中排放的污染物经</w:t>
            </w:r>
            <w:r>
              <w:rPr>
                <w:rFonts w:hint="eastAsia"/>
                <w:color w:val="auto"/>
                <w:sz w:val="24"/>
                <w:szCs w:val="24"/>
                <w:lang w:eastAsia="zh-CN"/>
              </w:rPr>
              <w:t>采取</w:t>
            </w:r>
            <w:r>
              <w:rPr>
                <w:rFonts w:hint="eastAsia"/>
                <w:color w:val="auto"/>
                <w:sz w:val="24"/>
                <w:szCs w:val="24"/>
              </w:rPr>
              <w:t>合理的处理措施后</w:t>
            </w:r>
            <w:r>
              <w:rPr>
                <w:rFonts w:hint="eastAsia"/>
                <w:color w:val="auto"/>
                <w:sz w:val="24"/>
                <w:szCs w:val="24"/>
                <w:lang w:eastAsia="zh-CN"/>
              </w:rPr>
              <w:t>，能达标排放，</w:t>
            </w:r>
            <w:r>
              <w:rPr>
                <w:rFonts w:hint="eastAsia"/>
                <w:color w:val="auto"/>
                <w:sz w:val="24"/>
                <w:szCs w:val="24"/>
              </w:rPr>
              <w:t>对周边环境</w:t>
            </w:r>
            <w:r>
              <w:rPr>
                <w:rFonts w:hint="eastAsia"/>
                <w:color w:val="auto"/>
                <w:sz w:val="24"/>
                <w:szCs w:val="24"/>
                <w:lang w:eastAsia="zh-CN"/>
              </w:rPr>
              <w:t>质量</w:t>
            </w:r>
            <w:r>
              <w:rPr>
                <w:rFonts w:hint="eastAsia"/>
                <w:color w:val="auto"/>
                <w:sz w:val="24"/>
                <w:szCs w:val="24"/>
              </w:rPr>
              <w:t>影响很小，</w:t>
            </w:r>
            <w:r>
              <w:rPr>
                <w:rFonts w:hint="eastAsia"/>
                <w:color w:val="auto"/>
                <w:sz w:val="24"/>
                <w:szCs w:val="24"/>
                <w:lang w:eastAsia="zh-CN"/>
              </w:rPr>
              <w:t>不会造成区域环境质量的恶化，</w:t>
            </w:r>
            <w:r>
              <w:rPr>
                <w:rFonts w:hint="eastAsia"/>
                <w:color w:val="auto"/>
                <w:sz w:val="24"/>
                <w:szCs w:val="24"/>
                <w:lang w:val="en-US" w:eastAsia="zh-CN"/>
              </w:rPr>
              <w:t>因此，</w:t>
            </w:r>
            <w:r>
              <w:rPr>
                <w:rFonts w:hint="eastAsia"/>
                <w:color w:val="auto"/>
                <w:sz w:val="24"/>
                <w:szCs w:val="24"/>
                <w:lang w:eastAsia="zh-CN"/>
              </w:rPr>
              <w:t>项目建设</w:t>
            </w:r>
            <w:r>
              <w:rPr>
                <w:rFonts w:hint="eastAsia"/>
                <w:color w:val="auto"/>
                <w:sz w:val="24"/>
                <w:szCs w:val="24"/>
              </w:rPr>
              <w:t>符合环境质量底线要求。</w:t>
            </w:r>
          </w:p>
          <w:p>
            <w:pPr>
              <w:keepNext w:val="0"/>
              <w:keepLines w:val="0"/>
              <w:suppressLineNumbers w:val="0"/>
              <w:bidi w:val="0"/>
              <w:spacing w:before="0" w:beforeAutospacing="0" w:after="0" w:afterAutospacing="0" w:line="360" w:lineRule="auto"/>
              <w:ind w:left="0" w:right="0" w:firstLine="480"/>
              <w:jc w:val="both"/>
              <w:rPr>
                <w:rFonts w:hint="eastAsia"/>
                <w:color w:val="auto"/>
                <w:sz w:val="24"/>
                <w:szCs w:val="24"/>
              </w:rPr>
            </w:pPr>
            <w:r>
              <w:rPr>
                <w:rFonts w:hint="eastAsia"/>
                <w:color w:val="auto"/>
                <w:sz w:val="24"/>
                <w:szCs w:val="24"/>
              </w:rPr>
              <w:t>资源利用上线是各地区能源、水、土地等资源消耗不得突破的</w:t>
            </w:r>
            <w:r>
              <w:rPr>
                <w:rFonts w:hint="eastAsia"/>
                <w:color w:val="auto"/>
                <w:sz w:val="24"/>
                <w:szCs w:val="24"/>
                <w:lang w:eastAsia="zh-CN"/>
              </w:rPr>
              <w:t>“</w:t>
            </w:r>
            <w:r>
              <w:rPr>
                <w:rFonts w:hint="eastAsia"/>
                <w:color w:val="auto"/>
                <w:sz w:val="24"/>
                <w:szCs w:val="24"/>
              </w:rPr>
              <w:t>天花板</w:t>
            </w:r>
            <w:r>
              <w:rPr>
                <w:rFonts w:hint="eastAsia"/>
                <w:color w:val="auto"/>
                <w:sz w:val="24"/>
                <w:szCs w:val="24"/>
                <w:lang w:eastAsia="zh-CN"/>
              </w:rPr>
              <w:t>”。</w:t>
            </w:r>
            <w:r>
              <w:rPr>
                <w:rFonts w:hint="eastAsia"/>
                <w:color w:val="auto"/>
                <w:sz w:val="24"/>
                <w:szCs w:val="24"/>
              </w:rPr>
              <w:t>本项目</w:t>
            </w:r>
            <w:r>
              <w:rPr>
                <w:rFonts w:hint="eastAsia"/>
                <w:color w:val="auto"/>
                <w:sz w:val="24"/>
                <w:szCs w:val="24"/>
                <w:lang w:val="en-US" w:eastAsia="zh-CN"/>
              </w:rPr>
              <w:t>主要</w:t>
            </w:r>
            <w:r>
              <w:rPr>
                <w:rFonts w:hint="eastAsia"/>
                <w:color w:val="auto"/>
                <w:sz w:val="24"/>
                <w:szCs w:val="24"/>
                <w:lang w:eastAsia="zh-CN"/>
              </w:rPr>
              <w:t>原料</w:t>
            </w:r>
            <w:r>
              <w:rPr>
                <w:rFonts w:hint="eastAsia"/>
                <w:color w:val="auto"/>
                <w:sz w:val="24"/>
                <w:szCs w:val="24"/>
                <w:lang w:eastAsia="zh-CN"/>
              </w:rPr>
              <w:t>为</w:t>
            </w:r>
            <w:r>
              <w:rPr>
                <w:rFonts w:hint="eastAsia" w:asciiTheme="minorEastAsia" w:hAnsiTheme="minorEastAsia" w:eastAsiaTheme="minorEastAsia" w:cstheme="minorEastAsia"/>
                <w:b w:val="0"/>
                <w:bCs w:val="0"/>
                <w:color w:val="auto"/>
                <w:sz w:val="24"/>
                <w:szCs w:val="24"/>
                <w:lang w:val="en-US" w:eastAsia="zh-CN"/>
              </w:rPr>
              <w:t>竹材木材加工废物</w:t>
            </w:r>
            <w:r>
              <w:rPr>
                <w:rFonts w:hint="eastAsia"/>
                <w:color w:val="auto"/>
                <w:sz w:val="24"/>
                <w:szCs w:val="24"/>
                <w:lang w:eastAsia="zh-CN"/>
              </w:rPr>
              <w:t>，</w:t>
            </w:r>
            <w:r>
              <w:rPr>
                <w:rFonts w:hint="eastAsia"/>
                <w:color w:val="auto"/>
                <w:sz w:val="24"/>
                <w:szCs w:val="24"/>
              </w:rPr>
              <w:t>运营过程中</w:t>
            </w:r>
            <w:r>
              <w:rPr>
                <w:rFonts w:hint="eastAsia"/>
                <w:color w:val="auto"/>
                <w:sz w:val="24"/>
                <w:szCs w:val="24"/>
                <w:lang w:val="en-US" w:eastAsia="zh-CN"/>
              </w:rPr>
              <w:t>仅</w:t>
            </w:r>
            <w:r>
              <w:rPr>
                <w:rFonts w:hint="eastAsia"/>
                <w:color w:val="auto"/>
                <w:sz w:val="24"/>
                <w:szCs w:val="24"/>
                <w:lang w:eastAsia="zh-CN"/>
              </w:rPr>
              <w:t>需</w:t>
            </w:r>
            <w:r>
              <w:rPr>
                <w:rFonts w:hint="eastAsia"/>
                <w:color w:val="auto"/>
                <w:sz w:val="24"/>
                <w:szCs w:val="24"/>
              </w:rPr>
              <w:t>消耗一定的电、水资源</w:t>
            </w:r>
            <w:r>
              <w:rPr>
                <w:rFonts w:hint="eastAsia"/>
                <w:color w:val="auto"/>
                <w:sz w:val="24"/>
                <w:szCs w:val="24"/>
                <w:lang w:eastAsia="zh-CN"/>
              </w:rPr>
              <w:t>。项目所在区域有充足的水、电资源供应。项目建设不会导致区域资源消耗突破资源利用上线</w:t>
            </w:r>
            <w:r>
              <w:rPr>
                <w:rFonts w:hint="eastAsia"/>
                <w:color w:val="auto"/>
                <w:sz w:val="24"/>
                <w:szCs w:val="24"/>
              </w:rPr>
              <w:t>。</w:t>
            </w:r>
          </w:p>
          <w:p>
            <w:pPr>
              <w:keepNext w:val="0"/>
              <w:keepLines w:val="0"/>
              <w:suppressLineNumbers w:val="0"/>
              <w:bidi w:val="0"/>
              <w:spacing w:before="0" w:beforeAutospacing="0" w:after="0" w:afterAutospacing="0" w:line="360" w:lineRule="auto"/>
              <w:ind w:left="0" w:right="0" w:firstLine="480" w:firstLineChars="200"/>
              <w:rPr>
                <w:rFonts w:hint="default"/>
                <w:color w:val="auto"/>
                <w:sz w:val="24"/>
                <w:szCs w:val="24"/>
                <w:lang w:val="en-US" w:eastAsia="zh-CN"/>
              </w:rPr>
            </w:pPr>
            <w:r>
              <w:rPr>
                <w:rFonts w:hint="eastAsia"/>
                <w:color w:val="auto"/>
                <w:sz w:val="24"/>
                <w:szCs w:val="24"/>
              </w:rPr>
              <w:t>环境准入负面清单是基于生态保护红线、环境质量底线和资源利用上线</w:t>
            </w:r>
            <w:r>
              <w:rPr>
                <w:rFonts w:hint="eastAsia"/>
                <w:color w:val="auto"/>
                <w:sz w:val="24"/>
                <w:szCs w:val="24"/>
                <w:lang w:eastAsia="zh-CN"/>
              </w:rPr>
              <w:t>，</w:t>
            </w:r>
            <w:r>
              <w:rPr>
                <w:rFonts w:hint="eastAsia"/>
                <w:color w:val="auto"/>
                <w:sz w:val="24"/>
                <w:szCs w:val="24"/>
              </w:rPr>
              <w:t>以清单方式列出的禁止、限制等差别化环境准入条件和要求。本项</w:t>
            </w:r>
            <w:r>
              <w:rPr>
                <w:rFonts w:hint="eastAsia"/>
                <w:color w:val="auto"/>
                <w:sz w:val="24"/>
                <w:szCs w:val="24"/>
              </w:rPr>
              <w:t>目</w:t>
            </w:r>
            <w:r>
              <w:rPr>
                <w:rFonts w:hint="eastAsia"/>
                <w:color w:val="auto"/>
                <w:sz w:val="24"/>
                <w:szCs w:val="24"/>
                <w:lang w:val="en-US" w:eastAsia="zh-CN"/>
              </w:rPr>
              <w:t>不属于项目</w:t>
            </w:r>
            <w:r>
              <w:rPr>
                <w:rFonts w:hint="eastAsia"/>
                <w:color w:val="auto"/>
                <w:sz w:val="24"/>
                <w:szCs w:val="24"/>
                <w:lang w:eastAsia="zh-CN"/>
              </w:rPr>
              <w:t>所在区域</w:t>
            </w:r>
            <w:r>
              <w:rPr>
                <w:rFonts w:hint="eastAsia"/>
                <w:color w:val="auto"/>
                <w:sz w:val="24"/>
                <w:szCs w:val="24"/>
                <w:lang w:val="en-US" w:eastAsia="zh-CN"/>
              </w:rPr>
              <w:t>环境</w:t>
            </w:r>
            <w:r>
              <w:rPr>
                <w:rFonts w:hint="eastAsia"/>
                <w:color w:val="auto"/>
                <w:sz w:val="24"/>
                <w:szCs w:val="24"/>
                <w:lang w:eastAsia="zh-CN"/>
              </w:rPr>
              <w:t>准入</w:t>
            </w:r>
            <w:r>
              <w:rPr>
                <w:rFonts w:hint="eastAsia"/>
                <w:color w:val="auto"/>
                <w:sz w:val="24"/>
                <w:szCs w:val="24"/>
              </w:rPr>
              <w:t>负面清单</w:t>
            </w:r>
            <w:r>
              <w:rPr>
                <w:rFonts w:hint="eastAsia"/>
                <w:color w:val="auto"/>
                <w:sz w:val="24"/>
                <w:szCs w:val="24"/>
                <w:lang w:val="en-US" w:eastAsia="zh-CN"/>
              </w:rPr>
              <w:t>之内</w:t>
            </w:r>
            <w:r>
              <w:rPr>
                <w:rFonts w:hint="eastAsia"/>
                <w:color w:val="auto"/>
                <w:sz w:val="24"/>
                <w:szCs w:val="24"/>
              </w:rPr>
              <w:t>。</w:t>
            </w:r>
          </w:p>
          <w:p>
            <w:pPr>
              <w:keepNext w:val="0"/>
              <w:keepLines w:val="0"/>
              <w:suppressLineNumbers w:val="0"/>
              <w:bidi w:val="0"/>
              <w:spacing w:before="0" w:beforeAutospacing="0" w:after="0" w:afterAutospacing="0" w:line="360" w:lineRule="auto"/>
              <w:ind w:left="0" w:right="0"/>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bCs/>
                <w:color w:val="auto"/>
                <w:sz w:val="24"/>
                <w:szCs w:val="24"/>
                <w:lang w:val="en-US" w:eastAsia="zh-CN"/>
              </w:rPr>
              <w:t>3、</w:t>
            </w:r>
            <w:r>
              <w:rPr>
                <w:rFonts w:hint="eastAsia" w:asciiTheme="minorEastAsia" w:hAnsiTheme="minorEastAsia" w:eastAsiaTheme="minorEastAsia" w:cstheme="minorEastAsia"/>
                <w:b/>
                <w:bCs/>
                <w:color w:val="auto"/>
                <w:sz w:val="24"/>
                <w:szCs w:val="24"/>
              </w:rPr>
              <w:t>项目选址</w:t>
            </w:r>
            <w:r>
              <w:rPr>
                <w:rFonts w:hint="eastAsia" w:asciiTheme="minorEastAsia" w:hAnsiTheme="minorEastAsia" w:eastAsiaTheme="minorEastAsia" w:cstheme="minorEastAsia"/>
                <w:b/>
                <w:bCs/>
                <w:color w:val="auto"/>
                <w:sz w:val="24"/>
                <w:szCs w:val="24"/>
                <w:lang w:eastAsia="zh-CN"/>
              </w:rPr>
              <w:t>合理</w:t>
            </w:r>
            <w:r>
              <w:rPr>
                <w:rFonts w:hint="eastAsia" w:asciiTheme="minorEastAsia" w:hAnsiTheme="minorEastAsia" w:eastAsiaTheme="minorEastAsia" w:cstheme="minorEastAsia"/>
                <w:b/>
                <w:bCs/>
                <w:color w:val="auto"/>
                <w:sz w:val="24"/>
                <w:szCs w:val="24"/>
              </w:rPr>
              <w:t>性</w:t>
            </w:r>
            <w:r>
              <w:rPr>
                <w:rFonts w:hint="eastAsia" w:asciiTheme="minorEastAsia" w:hAnsiTheme="minorEastAsia" w:eastAsiaTheme="minorEastAsia" w:cstheme="minorEastAsia"/>
                <w:b/>
                <w:bCs/>
                <w:color w:val="auto"/>
                <w:sz w:val="24"/>
                <w:szCs w:val="24"/>
                <w:lang w:eastAsia="zh-CN"/>
              </w:rPr>
              <w:t>分析</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本项目位于</w:t>
            </w:r>
            <w:r>
              <w:rPr>
                <w:rFonts w:hint="eastAsia"/>
                <w:color w:val="auto"/>
                <w:sz w:val="24"/>
                <w:szCs w:val="24"/>
              </w:rPr>
              <w:t>湖南省</w:t>
            </w:r>
            <w:r>
              <w:rPr>
                <w:rFonts w:hint="eastAsia"/>
                <w:color w:val="auto"/>
                <w:sz w:val="24"/>
                <w:szCs w:val="24"/>
                <w:lang w:eastAsia="zh-CN"/>
              </w:rPr>
              <w:t>怀化市洪江区</w:t>
            </w:r>
            <w:r>
              <w:rPr>
                <w:rFonts w:hint="eastAsia" w:asciiTheme="minorEastAsia" w:hAnsiTheme="minorEastAsia" w:eastAsiaTheme="minorEastAsia" w:cstheme="minorEastAsia"/>
                <w:color w:val="auto"/>
                <w:sz w:val="24"/>
                <w:szCs w:val="24"/>
              </w:rPr>
              <w:t>长寨</w:t>
            </w:r>
            <w:r>
              <w:rPr>
                <w:rFonts w:hint="eastAsia" w:asciiTheme="minorEastAsia" w:hAnsiTheme="minorEastAsia" w:eastAsiaTheme="minorEastAsia" w:cstheme="minorEastAsia"/>
                <w:color w:val="auto"/>
                <w:sz w:val="24"/>
                <w:szCs w:val="24"/>
                <w:lang w:eastAsia="zh-CN"/>
              </w:rPr>
              <w:t>社区，</w:t>
            </w:r>
            <w:r>
              <w:rPr>
                <w:rFonts w:hint="eastAsia"/>
                <w:color w:val="auto"/>
                <w:sz w:val="24"/>
                <w:szCs w:val="24"/>
                <w:lang w:eastAsia="zh-CN"/>
              </w:rPr>
              <w:t>厂址周边200m内无学校、医院、养老院、无自然保护区、风景名胜区、饮用水源地和其他需特殊保护的区域，位置较好。本项目地土地性质为工业用地（国土证详见附件），项目建设符合用地性质。本项目生产过程中排放的废气、噪声、固废、废水等经采取有效措施处理后均可做到达标排放，影响可被环境所接受。</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综上所述，项目选址可行。</w:t>
            </w:r>
          </w:p>
          <w:p>
            <w:pPr>
              <w:keepNext w:val="0"/>
              <w:keepLines w:val="0"/>
              <w:suppressLineNumbers w:val="0"/>
              <w:bidi w:val="0"/>
              <w:spacing w:before="0" w:beforeAutospacing="0" w:after="0" w:afterAutospacing="0" w:line="360" w:lineRule="auto"/>
              <w:ind w:left="0" w:right="0"/>
              <w:rPr>
                <w:rFonts w:hint="default" w:ascii="Times New Roman" w:cs="Times New Roman" w:hAnsiTheme="minorEastAsia" w:eastAsiaTheme="minorEastAsia"/>
                <w:color w:val="auto"/>
                <w:kern w:val="0"/>
                <w:sz w:val="24"/>
                <w:szCs w:val="20"/>
                <w:lang w:eastAsia="zh-CN"/>
              </w:rPr>
            </w:pPr>
            <w:r>
              <w:rPr>
                <w:rFonts w:hint="eastAsia" w:asciiTheme="minorEastAsia" w:hAnsiTheme="minorEastAsia" w:eastAsiaTheme="minorEastAsia" w:cstheme="minorEastAsia"/>
                <w:b/>
                <w:bCs/>
                <w:color w:val="auto"/>
                <w:sz w:val="24"/>
                <w:szCs w:val="24"/>
                <w:lang w:val="en-US" w:eastAsia="zh-CN"/>
              </w:rPr>
              <w:t>4、</w:t>
            </w:r>
            <w:r>
              <w:rPr>
                <w:rFonts w:hint="eastAsia" w:asciiTheme="minorEastAsia" w:hAnsiTheme="minorEastAsia" w:eastAsiaTheme="minorEastAsia" w:cstheme="minorEastAsia"/>
                <w:b/>
                <w:bCs/>
                <w:color w:val="auto"/>
                <w:sz w:val="24"/>
                <w:szCs w:val="24"/>
              </w:rPr>
              <w:t>项目</w:t>
            </w:r>
            <w:r>
              <w:rPr>
                <w:rFonts w:hint="eastAsia" w:asciiTheme="minorEastAsia" w:hAnsiTheme="minorEastAsia" w:eastAsiaTheme="minorEastAsia" w:cstheme="minorEastAsia"/>
                <w:b/>
                <w:bCs/>
                <w:color w:val="auto"/>
                <w:sz w:val="24"/>
                <w:szCs w:val="24"/>
                <w:lang w:eastAsia="zh-CN"/>
              </w:rPr>
              <w:t>总平面布局合理</w:t>
            </w:r>
            <w:r>
              <w:rPr>
                <w:rFonts w:hint="eastAsia" w:asciiTheme="minorEastAsia" w:hAnsiTheme="minorEastAsia" w:eastAsiaTheme="minorEastAsia" w:cstheme="minorEastAsia"/>
                <w:b/>
                <w:bCs/>
                <w:color w:val="auto"/>
                <w:sz w:val="24"/>
                <w:szCs w:val="24"/>
              </w:rPr>
              <w:t>性</w:t>
            </w:r>
            <w:r>
              <w:rPr>
                <w:rFonts w:hint="eastAsia" w:asciiTheme="minorEastAsia" w:hAnsiTheme="minorEastAsia" w:eastAsiaTheme="minorEastAsia" w:cstheme="minorEastAsia"/>
                <w:b/>
                <w:bCs/>
                <w:color w:val="auto"/>
                <w:sz w:val="24"/>
                <w:szCs w:val="24"/>
                <w:lang w:eastAsia="zh-CN"/>
              </w:rPr>
              <w:t>分析</w:t>
            </w:r>
          </w:p>
          <w:p>
            <w:pPr>
              <w:spacing w:line="360" w:lineRule="auto"/>
              <w:ind w:firstLine="470" w:firstLineChars="196"/>
              <w:textAlignment w:val="center"/>
              <w:rPr>
                <w:rFonts w:hint="eastAsia" w:ascii="Times New Roman" w:cs="Times New Roman" w:hAnsiTheme="minorEastAsia" w:eastAsiaTheme="minorEastAsia"/>
                <w:color w:val="auto"/>
                <w:kern w:val="0"/>
                <w:sz w:val="24"/>
                <w:szCs w:val="20"/>
                <w:lang w:eastAsia="zh-CN"/>
              </w:rPr>
            </w:pPr>
            <w:r>
              <w:rPr>
                <w:rFonts w:hint="default" w:ascii="Times New Roman" w:cs="Times New Roman" w:hAnsiTheme="minorEastAsia" w:eastAsiaTheme="minorEastAsia"/>
                <w:color w:val="auto"/>
                <w:kern w:val="0"/>
                <w:sz w:val="24"/>
                <w:szCs w:val="20"/>
                <w:lang w:eastAsia="zh-CN"/>
              </w:rPr>
              <w:t>厂区拟采取流水线生产布置，即原料仓库、烘干、制棒车间、炭化车间、包装车间、成品仓库依次相连，便于生产。生活办公区位于厂区</w:t>
            </w:r>
            <w:r>
              <w:rPr>
                <w:rFonts w:hint="eastAsia" w:ascii="Times New Roman" w:cs="Times New Roman" w:hAnsiTheme="minorEastAsia" w:eastAsiaTheme="minorEastAsia"/>
                <w:color w:val="auto"/>
                <w:kern w:val="0"/>
                <w:sz w:val="24"/>
                <w:szCs w:val="20"/>
                <w:lang w:eastAsia="zh-CN"/>
              </w:rPr>
              <w:t>东</w:t>
            </w:r>
            <w:r>
              <w:rPr>
                <w:rFonts w:hint="default" w:ascii="Times New Roman" w:cs="Times New Roman" w:hAnsiTheme="minorEastAsia" w:eastAsiaTheme="minorEastAsia"/>
                <w:color w:val="auto"/>
                <w:kern w:val="0"/>
                <w:sz w:val="24"/>
                <w:szCs w:val="20"/>
                <w:lang w:eastAsia="zh-CN"/>
              </w:rPr>
              <w:t>南侧，生产区位于厂区东侧，</w:t>
            </w:r>
            <w:r>
              <w:rPr>
                <w:rFonts w:hint="eastAsia" w:ascii="Times New Roman" w:cs="Times New Roman" w:hAnsiTheme="minorEastAsia" w:eastAsiaTheme="minorEastAsia"/>
                <w:color w:val="auto"/>
                <w:kern w:val="0"/>
                <w:sz w:val="24"/>
                <w:szCs w:val="20"/>
                <w:lang w:eastAsia="zh-CN"/>
              </w:rPr>
              <w:t>由东</w:t>
            </w:r>
            <w:r>
              <w:rPr>
                <w:rFonts w:hint="default" w:ascii="Times New Roman" w:cs="Times New Roman" w:hAnsiTheme="minorEastAsia" w:eastAsiaTheme="minorEastAsia"/>
                <w:color w:val="auto"/>
                <w:kern w:val="0"/>
                <w:sz w:val="24"/>
                <w:szCs w:val="20"/>
                <w:lang w:eastAsia="zh-CN"/>
              </w:rPr>
              <w:t>向</w:t>
            </w:r>
            <w:r>
              <w:rPr>
                <w:rFonts w:hint="eastAsia" w:ascii="Times New Roman" w:cs="Times New Roman" w:hAnsiTheme="minorEastAsia" w:eastAsiaTheme="minorEastAsia"/>
                <w:color w:val="auto"/>
                <w:kern w:val="0"/>
                <w:sz w:val="24"/>
                <w:szCs w:val="20"/>
                <w:lang w:eastAsia="zh-CN"/>
              </w:rPr>
              <w:t>西</w:t>
            </w:r>
            <w:r>
              <w:rPr>
                <w:rFonts w:hint="default" w:ascii="Times New Roman" w:cs="Times New Roman" w:hAnsiTheme="minorEastAsia" w:eastAsiaTheme="minorEastAsia"/>
                <w:color w:val="auto"/>
                <w:kern w:val="0"/>
                <w:sz w:val="24"/>
                <w:szCs w:val="20"/>
                <w:lang w:eastAsia="zh-CN"/>
              </w:rPr>
              <w:t>依次为制棒</w:t>
            </w:r>
            <w:r>
              <w:rPr>
                <w:rFonts w:hint="eastAsia" w:ascii="Times New Roman" w:cs="Times New Roman" w:hAnsiTheme="minorEastAsia" w:eastAsiaTheme="minorEastAsia"/>
                <w:color w:val="auto"/>
                <w:kern w:val="0"/>
                <w:sz w:val="24"/>
                <w:szCs w:val="20"/>
                <w:lang w:eastAsia="zh-CN"/>
              </w:rPr>
              <w:t>区</w:t>
            </w:r>
            <w:r>
              <w:rPr>
                <w:rFonts w:hint="default" w:ascii="Times New Roman" w:cs="Times New Roman" w:hAnsiTheme="minorEastAsia" w:eastAsiaTheme="minorEastAsia"/>
                <w:color w:val="auto"/>
                <w:kern w:val="0"/>
                <w:sz w:val="24"/>
                <w:szCs w:val="20"/>
                <w:lang w:eastAsia="zh-CN"/>
              </w:rPr>
              <w:t>、烘干</w:t>
            </w:r>
            <w:r>
              <w:rPr>
                <w:rFonts w:hint="eastAsia" w:ascii="Times New Roman" w:cs="Times New Roman" w:hAnsiTheme="minorEastAsia" w:eastAsiaTheme="minorEastAsia"/>
                <w:color w:val="auto"/>
                <w:kern w:val="0"/>
                <w:sz w:val="24"/>
                <w:szCs w:val="20"/>
                <w:lang w:eastAsia="zh-CN"/>
              </w:rPr>
              <w:t>区</w:t>
            </w:r>
            <w:r>
              <w:rPr>
                <w:rFonts w:hint="default" w:ascii="Times New Roman" w:cs="Times New Roman" w:hAnsiTheme="minorEastAsia" w:eastAsiaTheme="minorEastAsia"/>
                <w:color w:val="auto"/>
                <w:kern w:val="0"/>
                <w:sz w:val="24"/>
                <w:szCs w:val="20"/>
                <w:lang w:eastAsia="zh-CN"/>
              </w:rPr>
              <w:t>、炭化窑区</w:t>
            </w:r>
            <w:r>
              <w:rPr>
                <w:rFonts w:hint="eastAsia" w:ascii="Times New Roman" w:cs="Times New Roman" w:hAnsiTheme="minorEastAsia" w:eastAsiaTheme="minorEastAsia"/>
                <w:color w:val="auto"/>
                <w:kern w:val="0"/>
                <w:sz w:val="24"/>
                <w:szCs w:val="20"/>
                <w:lang w:eastAsia="zh-CN"/>
              </w:rPr>
              <w:t>、包装区</w:t>
            </w:r>
            <w:r>
              <w:rPr>
                <w:rFonts w:hint="default" w:ascii="Times New Roman" w:cs="Times New Roman" w:hAnsiTheme="minorEastAsia" w:eastAsiaTheme="minorEastAsia"/>
                <w:color w:val="auto"/>
                <w:kern w:val="0"/>
                <w:sz w:val="24"/>
                <w:szCs w:val="20"/>
                <w:lang w:eastAsia="zh-CN"/>
              </w:rPr>
              <w:t>。项目生活区与生产区距离较远，各种生产设备均位于生产厂房内，生产区噪声、粉尘等对生活区影响较小，布置较合理</w:t>
            </w:r>
            <w:r>
              <w:rPr>
                <w:rFonts w:hint="eastAsia" w:ascii="Times New Roman" w:cs="Times New Roman" w:hAnsiTheme="minorEastAsia" w:eastAsiaTheme="minorEastAsia"/>
                <w:color w:val="auto"/>
                <w:kern w:val="0"/>
                <w:sz w:val="24"/>
                <w:szCs w:val="20"/>
                <w:lang w:eastAsia="zh-CN"/>
              </w:rPr>
              <w:t>。</w:t>
            </w:r>
          </w:p>
          <w:p>
            <w:pPr>
              <w:spacing w:line="360" w:lineRule="auto"/>
              <w:ind w:firstLine="470" w:firstLineChars="196"/>
              <w:textAlignment w:val="center"/>
              <w:rPr>
                <w:rFonts w:hint="eastAsia" w:ascii="Times New Roman" w:hAnsi="Times New Roman" w:eastAsia="宋体"/>
                <w:color w:val="auto"/>
                <w:kern w:val="0"/>
                <w:sz w:val="24"/>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5" w:type="dxa"/>
            <w:gridSpan w:val="12"/>
            <w:noWrap w:val="0"/>
            <w:vAlign w:val="center"/>
          </w:tcPr>
          <w:p>
            <w:pPr>
              <w:spacing w:line="60" w:lineRule="auto"/>
              <w:jc w:val="left"/>
              <w:rPr>
                <w:rStyle w:val="27"/>
                <w:rFonts w:hint="eastAsia" w:eastAsia="宋体"/>
                <w:color w:val="auto"/>
                <w:u w:val="none"/>
              </w:rPr>
            </w:pPr>
            <w:r>
              <w:rPr>
                <w:rStyle w:val="27"/>
                <w:rFonts w:hint="eastAsia" w:eastAsia="宋体"/>
                <w:color w:val="auto"/>
                <w:u w:val="none"/>
              </w:rPr>
              <w:t>与本项目有关的原有污染情况及主要问题</w:t>
            </w:r>
          </w:p>
          <w:p>
            <w:pPr>
              <w:spacing w:line="360" w:lineRule="auto"/>
              <w:ind w:firstLine="482"/>
              <w:rPr>
                <w:rFonts w:hint="eastAsia" w:asciiTheme="minorEastAsia" w:hAnsiTheme="minorEastAsia" w:eastAsiaTheme="minorEastAsia" w:cstheme="minorEastAsia"/>
                <w:b/>
                <w:bCs w:val="0"/>
                <w:color w:val="auto"/>
                <w:sz w:val="24"/>
                <w:szCs w:val="24"/>
                <w:u w:val="none"/>
                <w:lang w:eastAsia="zh-CN"/>
              </w:rPr>
            </w:pPr>
            <w:r>
              <w:rPr>
                <w:rFonts w:hint="eastAsia" w:asciiTheme="minorEastAsia" w:hAnsiTheme="minorEastAsia" w:eastAsiaTheme="minorEastAsia" w:cstheme="minorEastAsia"/>
                <w:b/>
                <w:bCs w:val="0"/>
                <w:color w:val="auto"/>
                <w:sz w:val="24"/>
                <w:szCs w:val="24"/>
                <w:u w:val="none"/>
                <w:lang w:eastAsia="zh-CN"/>
              </w:rPr>
              <w:t>现有工程基本概况</w:t>
            </w:r>
          </w:p>
          <w:p>
            <w:pPr>
              <w:spacing w:line="360" w:lineRule="auto"/>
              <w:ind w:firstLine="482"/>
              <w:rPr>
                <w:rFonts w:hint="default" w:ascii="Times New Roman" w:hAnsi="Times New Roman" w:cs="Times New Roman"/>
                <w:b w:val="0"/>
                <w:bCs w:val="0"/>
                <w:color w:val="auto"/>
                <w:sz w:val="24"/>
                <w:szCs w:val="24"/>
                <w:u w:val="none"/>
                <w:lang w:val="en-US" w:eastAsia="zh-CN"/>
              </w:rPr>
            </w:pPr>
            <w:r>
              <w:rPr>
                <w:rFonts w:hint="eastAsia" w:asciiTheme="minorEastAsia" w:hAnsiTheme="minorEastAsia" w:eastAsiaTheme="minorEastAsia" w:cstheme="minorEastAsia"/>
                <w:b w:val="0"/>
                <w:bCs/>
                <w:color w:val="auto"/>
                <w:sz w:val="24"/>
                <w:szCs w:val="24"/>
                <w:u w:val="none"/>
                <w:lang w:eastAsia="zh-CN"/>
              </w:rPr>
              <w:t>怀化市洪江区欣隆竹胶板厂已在怀化市洪江区长寨路</w:t>
            </w:r>
            <w:r>
              <w:rPr>
                <w:rFonts w:hint="eastAsia" w:asciiTheme="minorEastAsia" w:hAnsiTheme="minorEastAsia" w:eastAsiaTheme="minorEastAsia" w:cstheme="minorEastAsia"/>
                <w:b w:val="0"/>
                <w:bCs/>
                <w:color w:val="auto"/>
                <w:sz w:val="24"/>
                <w:szCs w:val="24"/>
                <w:u w:val="none"/>
                <w:lang w:val="en-US" w:eastAsia="zh-CN"/>
              </w:rPr>
              <w:t>62号建成</w:t>
            </w:r>
            <w:r>
              <w:rPr>
                <w:rFonts w:hint="eastAsia" w:ascii="Times New Roman" w:hAnsi="Times New Roman" w:cs="Times New Roman"/>
                <w:b w:val="0"/>
                <w:bCs w:val="0"/>
                <w:color w:val="auto"/>
                <w:sz w:val="24"/>
                <w:szCs w:val="24"/>
                <w:u w:val="none"/>
                <w:lang w:val="en-US" w:eastAsia="zh-CN"/>
              </w:rPr>
              <w:t>怀化市</w:t>
            </w:r>
            <w:r>
              <w:rPr>
                <w:rFonts w:hint="eastAsia" w:asciiTheme="minorEastAsia" w:hAnsiTheme="minorEastAsia" w:eastAsiaTheme="minorEastAsia" w:cstheme="minorEastAsia"/>
                <w:b w:val="0"/>
                <w:bCs/>
                <w:color w:val="auto"/>
                <w:sz w:val="24"/>
                <w:szCs w:val="24"/>
                <w:u w:val="none"/>
                <w:lang w:eastAsia="zh-CN"/>
              </w:rPr>
              <w:t>洪江区欣隆竹胶板厂年产</w:t>
            </w:r>
            <w:r>
              <w:rPr>
                <w:rFonts w:hint="eastAsia" w:asciiTheme="minorEastAsia" w:hAnsiTheme="minorEastAsia" w:eastAsiaTheme="minorEastAsia" w:cstheme="minorEastAsia"/>
                <w:b w:val="0"/>
                <w:bCs/>
                <w:color w:val="auto"/>
                <w:sz w:val="24"/>
                <w:szCs w:val="24"/>
                <w:u w:val="none"/>
                <w:lang w:val="en-US" w:eastAsia="zh-CN"/>
              </w:rPr>
              <w:t>2000立方米竹胶合板生产线</w:t>
            </w:r>
            <w:r>
              <w:rPr>
                <w:rFonts w:hint="eastAsia" w:ascii="Times New Roman" w:hAnsi="Times New Roman" w:cs="Times New Roman"/>
                <w:b w:val="0"/>
                <w:bCs w:val="0"/>
                <w:color w:val="auto"/>
                <w:sz w:val="24"/>
                <w:szCs w:val="24"/>
                <w:u w:val="none"/>
                <w:lang w:val="en-US" w:eastAsia="zh-CN"/>
              </w:rPr>
              <w:t>，于2011年8月5日获得《怀化市</w:t>
            </w:r>
            <w:r>
              <w:rPr>
                <w:rFonts w:hint="eastAsia" w:asciiTheme="minorEastAsia" w:hAnsiTheme="minorEastAsia" w:eastAsiaTheme="minorEastAsia" w:cstheme="minorEastAsia"/>
                <w:b w:val="0"/>
                <w:bCs/>
                <w:color w:val="auto"/>
                <w:sz w:val="24"/>
                <w:szCs w:val="24"/>
                <w:u w:val="none"/>
                <w:lang w:eastAsia="zh-CN"/>
              </w:rPr>
              <w:t>洪江区欣隆竹胶板厂年产</w:t>
            </w:r>
            <w:r>
              <w:rPr>
                <w:rFonts w:hint="eastAsia" w:asciiTheme="minorEastAsia" w:hAnsiTheme="minorEastAsia" w:eastAsiaTheme="minorEastAsia" w:cstheme="minorEastAsia"/>
                <w:b w:val="0"/>
                <w:bCs/>
                <w:color w:val="auto"/>
                <w:sz w:val="24"/>
                <w:szCs w:val="24"/>
                <w:u w:val="none"/>
                <w:lang w:val="en-US" w:eastAsia="zh-CN"/>
              </w:rPr>
              <w:t>2000立方米竹胶合板生产线</w:t>
            </w:r>
            <w:r>
              <w:rPr>
                <w:rFonts w:hint="eastAsia" w:ascii="Times New Roman" w:hAnsi="Times New Roman" w:cs="Times New Roman"/>
                <w:b w:val="0"/>
                <w:bCs w:val="0"/>
                <w:color w:val="auto"/>
                <w:sz w:val="24"/>
                <w:szCs w:val="24"/>
                <w:u w:val="none"/>
                <w:lang w:val="en-US" w:eastAsia="zh-CN"/>
              </w:rPr>
              <w:t>》的建设项目环境影响登记表。</w:t>
            </w:r>
            <w:r>
              <w:rPr>
                <w:rFonts w:hint="eastAsia" w:cs="Times New Roman"/>
                <w:b w:val="0"/>
                <w:bCs w:val="0"/>
                <w:color w:val="auto"/>
                <w:sz w:val="24"/>
                <w:szCs w:val="24"/>
                <w:u w:val="single"/>
                <w:lang w:val="en-US" w:eastAsia="zh-CN"/>
              </w:rPr>
              <w:t>于2012年4月进行竣工环境保护验收，取得建设项目竣工环境保护验收申请登记卡（见附件11）。</w:t>
            </w:r>
          </w:p>
          <w:p>
            <w:pPr>
              <w:spacing w:line="360" w:lineRule="auto"/>
              <w:ind w:firstLine="482"/>
              <w:rPr>
                <w:rFonts w:hint="eastAsia"/>
                <w:color w:val="auto"/>
              </w:rPr>
            </w:pPr>
            <w:r>
              <w:rPr>
                <w:rFonts w:hint="eastAsia" w:cs="Times New Roman"/>
                <w:b w:val="0"/>
                <w:bCs w:val="0"/>
                <w:color w:val="auto"/>
                <w:sz w:val="24"/>
                <w:szCs w:val="24"/>
                <w:u w:val="none"/>
                <w:lang w:val="en-US" w:eastAsia="zh-CN"/>
              </w:rPr>
              <w:t>厂区总占地面积约</w:t>
            </w:r>
            <w:r>
              <w:rPr>
                <w:rFonts w:hint="eastAsia" w:cs="Times New Roman"/>
                <w:b w:val="0"/>
                <w:bCs w:val="0"/>
                <w:color w:val="auto"/>
                <w:sz w:val="24"/>
                <w:szCs w:val="24"/>
                <w:u w:val="none"/>
                <w:lang w:val="en-US" w:eastAsia="zh-CN"/>
              </w:rPr>
              <w:t>为8000平方米</w:t>
            </w:r>
            <w:r>
              <w:rPr>
                <w:rFonts w:hint="eastAsia"/>
                <w:color w:val="auto"/>
              </w:rPr>
              <w:t>，</w:t>
            </w:r>
            <w:r>
              <w:rPr>
                <w:rFonts w:hint="eastAsia"/>
                <w:color w:val="auto"/>
                <w:sz w:val="24"/>
                <w:szCs w:val="28"/>
              </w:rPr>
              <w:t>项目厂区设置厂区公路、生活区、成品仓库、</w:t>
            </w:r>
            <w:r>
              <w:rPr>
                <w:rFonts w:hint="eastAsia"/>
                <w:color w:val="auto"/>
                <w:sz w:val="24"/>
                <w:szCs w:val="28"/>
                <w:lang w:eastAsia="zh-CN"/>
              </w:rPr>
              <w:t>生产</w:t>
            </w:r>
            <w:r>
              <w:rPr>
                <w:rFonts w:hint="eastAsia"/>
                <w:color w:val="auto"/>
                <w:sz w:val="24"/>
                <w:szCs w:val="28"/>
              </w:rPr>
              <w:t>车间等基础设施，配套辅助工程、公用工程、环保工程等。</w:t>
            </w:r>
          </w:p>
          <w:p>
            <w:pPr>
              <w:spacing w:line="360" w:lineRule="auto"/>
              <w:ind w:firstLine="482"/>
              <w:rPr>
                <w:rFonts w:hint="eastAsia" w:asciiTheme="minorEastAsia" w:hAnsiTheme="minorEastAsia" w:eastAsiaTheme="minorEastAsia" w:cstheme="minorEastAsia"/>
                <w:b w:val="0"/>
                <w:bCs/>
                <w:color w:val="auto"/>
                <w:sz w:val="24"/>
                <w:szCs w:val="24"/>
                <w:u w:val="none"/>
                <w:lang w:eastAsia="zh-CN"/>
              </w:rPr>
            </w:pPr>
            <w:r>
              <w:rPr>
                <w:rFonts w:hint="default" w:ascii="Times New Roman" w:hAnsi="Times New Roman" w:eastAsia="宋体" w:cs="Times New Roman"/>
                <w:color w:val="auto"/>
                <w:sz w:val="24"/>
                <w:szCs w:val="24"/>
              </w:rPr>
              <w:t>项目现有组成见下</w:t>
            </w:r>
            <w:r>
              <w:rPr>
                <w:rFonts w:hint="default" w:ascii="Times New Roman" w:hAnsi="Times New Roman" w:eastAsia="宋体" w:cs="Times New Roman"/>
                <w:color w:val="auto"/>
                <w:sz w:val="24"/>
                <w:szCs w:val="24"/>
              </w:rPr>
              <w:t>表1-</w:t>
            </w:r>
            <w:r>
              <w:rPr>
                <w:rFonts w:hint="eastAsia" w:cs="Times New Roman"/>
                <w:color w:val="auto"/>
                <w:sz w:val="24"/>
                <w:szCs w:val="24"/>
                <w:lang w:val="en-US" w:eastAsia="zh-CN"/>
              </w:rPr>
              <w:t>5</w:t>
            </w:r>
            <w:r>
              <w:rPr>
                <w:rFonts w:hint="eastAsia" w:asciiTheme="minorEastAsia" w:hAnsiTheme="minorEastAsia" w:eastAsiaTheme="minorEastAsia" w:cstheme="minorEastAsia"/>
                <w:b w:val="0"/>
                <w:bCs/>
                <w:color w:val="auto"/>
                <w:sz w:val="24"/>
                <w:szCs w:val="24"/>
                <w:u w:val="none"/>
                <w:lang w:eastAsia="zh-CN"/>
              </w:rPr>
              <w:t>。</w:t>
            </w:r>
          </w:p>
          <w:p>
            <w:pPr>
              <w:spacing w:line="360" w:lineRule="auto"/>
              <w:ind w:firstLine="482"/>
              <w:jc w:val="center"/>
              <w:rPr>
                <w:rFonts w:hint="eastAsia" w:asciiTheme="minorEastAsia" w:hAnsiTheme="minorEastAsia" w:eastAsiaTheme="minorEastAsia" w:cstheme="minorEastAsia"/>
                <w:b w:val="0"/>
                <w:bCs/>
                <w:color w:val="auto"/>
                <w:sz w:val="24"/>
                <w:szCs w:val="24"/>
                <w:u w:val="none"/>
                <w:lang w:eastAsia="zh-CN"/>
              </w:rPr>
            </w:pPr>
            <w:r>
              <w:rPr>
                <w:rFonts w:hint="eastAsia" w:hAnsi="宋体"/>
                <w:b/>
                <w:bCs/>
                <w:color w:val="auto"/>
                <w:sz w:val="21"/>
                <w:szCs w:val="21"/>
                <w:lang w:eastAsia="zh-CN"/>
              </w:rPr>
              <w:t>表</w:t>
            </w:r>
            <w:r>
              <w:rPr>
                <w:rFonts w:hint="eastAsia" w:hAnsi="宋体"/>
                <w:b/>
                <w:bCs/>
                <w:color w:val="auto"/>
                <w:sz w:val="21"/>
                <w:szCs w:val="21"/>
                <w:lang w:val="en-US" w:eastAsia="zh-CN"/>
              </w:rPr>
              <w:t>1-5  现有项目组成</w:t>
            </w:r>
          </w:p>
          <w:tbl>
            <w:tblPr>
              <w:tblStyle w:val="22"/>
              <w:tblW w:w="90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1233"/>
              <w:gridCol w:w="1696"/>
              <w:gridCol w:w="3282"/>
              <w:gridCol w:w="20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trPr>
              <w:tc>
                <w:tcPr>
                  <w:tcW w:w="765" w:type="dxa"/>
                  <w:noWrap w:val="0"/>
                  <w:vAlign w:val="center"/>
                </w:tcPr>
                <w:p>
                  <w:pPr>
                    <w:jc w:val="center"/>
                    <w:rPr>
                      <w:color w:val="auto"/>
                      <w:sz w:val="21"/>
                      <w:szCs w:val="21"/>
                    </w:rPr>
                  </w:pPr>
                  <w:r>
                    <w:rPr>
                      <w:color w:val="auto"/>
                      <w:sz w:val="21"/>
                      <w:szCs w:val="21"/>
                    </w:rPr>
                    <w:t>序号</w:t>
                  </w:r>
                </w:p>
              </w:tc>
              <w:tc>
                <w:tcPr>
                  <w:tcW w:w="1233" w:type="dxa"/>
                  <w:noWrap w:val="0"/>
                  <w:vAlign w:val="center"/>
                </w:tcPr>
                <w:p>
                  <w:pPr>
                    <w:jc w:val="center"/>
                    <w:rPr>
                      <w:color w:val="auto"/>
                      <w:sz w:val="21"/>
                      <w:szCs w:val="21"/>
                    </w:rPr>
                  </w:pPr>
                  <w:r>
                    <w:rPr>
                      <w:color w:val="auto"/>
                      <w:sz w:val="21"/>
                      <w:szCs w:val="21"/>
                    </w:rPr>
                    <w:t>项</w:t>
                  </w:r>
                  <w:r>
                    <w:rPr>
                      <w:rFonts w:hint="eastAsia"/>
                      <w:color w:val="auto"/>
                      <w:sz w:val="21"/>
                      <w:szCs w:val="21"/>
                    </w:rPr>
                    <w:t xml:space="preserve">  </w:t>
                  </w:r>
                  <w:r>
                    <w:rPr>
                      <w:color w:val="auto"/>
                      <w:sz w:val="21"/>
                      <w:szCs w:val="21"/>
                    </w:rPr>
                    <w:t>目</w:t>
                  </w:r>
                </w:p>
              </w:tc>
              <w:tc>
                <w:tcPr>
                  <w:tcW w:w="1696" w:type="dxa"/>
                  <w:noWrap w:val="0"/>
                  <w:vAlign w:val="center"/>
                </w:tcPr>
                <w:p>
                  <w:pPr>
                    <w:jc w:val="center"/>
                    <w:rPr>
                      <w:color w:val="auto"/>
                      <w:sz w:val="21"/>
                      <w:szCs w:val="21"/>
                    </w:rPr>
                  </w:pPr>
                  <w:r>
                    <w:rPr>
                      <w:color w:val="auto"/>
                      <w:sz w:val="21"/>
                      <w:szCs w:val="21"/>
                    </w:rPr>
                    <w:t>单项工程名称</w:t>
                  </w:r>
                </w:p>
              </w:tc>
              <w:tc>
                <w:tcPr>
                  <w:tcW w:w="3282" w:type="dxa"/>
                  <w:noWrap w:val="0"/>
                  <w:vAlign w:val="center"/>
                </w:tcPr>
                <w:p>
                  <w:pPr>
                    <w:jc w:val="center"/>
                    <w:rPr>
                      <w:color w:val="auto"/>
                      <w:sz w:val="21"/>
                      <w:szCs w:val="21"/>
                    </w:rPr>
                  </w:pPr>
                  <w:r>
                    <w:rPr>
                      <w:color w:val="auto"/>
                      <w:sz w:val="21"/>
                      <w:szCs w:val="21"/>
                    </w:rPr>
                    <w:t>工程内容</w:t>
                  </w:r>
                </w:p>
              </w:tc>
              <w:tc>
                <w:tcPr>
                  <w:tcW w:w="2042" w:type="dxa"/>
                  <w:noWrap w:val="0"/>
                  <w:vAlign w:val="center"/>
                </w:tcPr>
                <w:p>
                  <w:pPr>
                    <w:jc w:val="center"/>
                    <w:rPr>
                      <w:color w:val="auto"/>
                      <w:sz w:val="21"/>
                      <w:szCs w:val="21"/>
                    </w:rPr>
                  </w:pPr>
                  <w:r>
                    <w:rPr>
                      <w:color w:val="auto"/>
                      <w:sz w:val="21"/>
                      <w:szCs w:val="21"/>
                    </w:rPr>
                    <w:t>工程规模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trPr>
              <w:tc>
                <w:tcPr>
                  <w:tcW w:w="765" w:type="dxa"/>
                  <w:noWrap w:val="0"/>
                  <w:vAlign w:val="center"/>
                </w:tcPr>
                <w:p>
                  <w:pPr>
                    <w:jc w:val="center"/>
                    <w:rPr>
                      <w:color w:val="auto"/>
                      <w:sz w:val="21"/>
                      <w:szCs w:val="21"/>
                    </w:rPr>
                  </w:pPr>
                  <w:r>
                    <w:rPr>
                      <w:color w:val="auto"/>
                      <w:sz w:val="21"/>
                      <w:szCs w:val="21"/>
                    </w:rPr>
                    <w:t>1</w:t>
                  </w:r>
                </w:p>
              </w:tc>
              <w:tc>
                <w:tcPr>
                  <w:tcW w:w="1233" w:type="dxa"/>
                  <w:noWrap w:val="0"/>
                  <w:vAlign w:val="center"/>
                </w:tcPr>
                <w:p>
                  <w:pPr>
                    <w:jc w:val="center"/>
                    <w:rPr>
                      <w:color w:val="auto"/>
                      <w:sz w:val="21"/>
                      <w:szCs w:val="21"/>
                    </w:rPr>
                  </w:pPr>
                  <w:r>
                    <w:rPr>
                      <w:color w:val="auto"/>
                      <w:sz w:val="21"/>
                      <w:szCs w:val="21"/>
                    </w:rPr>
                    <w:t>主体工程</w:t>
                  </w:r>
                </w:p>
              </w:tc>
              <w:tc>
                <w:tcPr>
                  <w:tcW w:w="1696" w:type="dxa"/>
                  <w:noWrap w:val="0"/>
                  <w:vAlign w:val="center"/>
                </w:tcPr>
                <w:p>
                  <w:pPr>
                    <w:jc w:val="center"/>
                    <w:rPr>
                      <w:color w:val="auto"/>
                      <w:sz w:val="21"/>
                      <w:szCs w:val="21"/>
                    </w:rPr>
                  </w:pPr>
                  <w:r>
                    <w:rPr>
                      <w:color w:val="auto"/>
                      <w:sz w:val="21"/>
                      <w:szCs w:val="21"/>
                    </w:rPr>
                    <w:t>生产车间</w:t>
                  </w:r>
                </w:p>
              </w:tc>
              <w:tc>
                <w:tcPr>
                  <w:tcW w:w="3282" w:type="dxa"/>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1</w:t>
                  </w:r>
                  <w:r>
                    <w:rPr>
                      <w:rFonts w:hint="eastAsia"/>
                      <w:color w:val="auto"/>
                      <w:sz w:val="21"/>
                      <w:szCs w:val="21"/>
                    </w:rPr>
                    <w:t>栋</w:t>
                  </w:r>
                  <w:r>
                    <w:rPr>
                      <w:rFonts w:hint="eastAsia"/>
                      <w:color w:val="auto"/>
                      <w:sz w:val="21"/>
                      <w:szCs w:val="21"/>
                      <w:lang w:val="en-US" w:eastAsia="zh-CN"/>
                    </w:rPr>
                    <w:t>2</w:t>
                  </w:r>
                  <w:r>
                    <w:rPr>
                      <w:rFonts w:hint="eastAsia"/>
                      <w:color w:val="auto"/>
                      <w:sz w:val="21"/>
                      <w:szCs w:val="21"/>
                    </w:rPr>
                    <w:t>层</w:t>
                  </w:r>
                  <w:r>
                    <w:rPr>
                      <w:color w:val="auto"/>
                      <w:sz w:val="21"/>
                      <w:szCs w:val="21"/>
                    </w:rPr>
                    <w:t>，</w:t>
                  </w:r>
                  <w:r>
                    <w:rPr>
                      <w:rFonts w:hint="eastAsia"/>
                      <w:color w:val="auto"/>
                      <w:sz w:val="21"/>
                      <w:szCs w:val="21"/>
                      <w:lang w:eastAsia="zh-CN"/>
                    </w:rPr>
                    <w:t>一层为</w:t>
                  </w:r>
                  <w:r>
                    <w:rPr>
                      <w:rFonts w:hint="eastAsia"/>
                      <w:color w:val="auto"/>
                      <w:sz w:val="21"/>
                      <w:szCs w:val="21"/>
                    </w:rPr>
                    <w:t>竹胶板生产车间，生产线</w:t>
                  </w:r>
                  <w:r>
                    <w:rPr>
                      <w:rFonts w:hint="eastAsia"/>
                      <w:color w:val="auto"/>
                      <w:sz w:val="21"/>
                      <w:szCs w:val="21"/>
                      <w:lang w:val="en-US" w:eastAsia="zh-CN"/>
                    </w:rPr>
                    <w:t>2</w:t>
                  </w:r>
                  <w:r>
                    <w:rPr>
                      <w:rFonts w:hint="eastAsia"/>
                      <w:color w:val="auto"/>
                      <w:sz w:val="21"/>
                      <w:szCs w:val="21"/>
                    </w:rPr>
                    <w:t>条</w:t>
                  </w:r>
                  <w:r>
                    <w:rPr>
                      <w:rFonts w:hint="eastAsia"/>
                      <w:color w:val="auto"/>
                      <w:sz w:val="21"/>
                      <w:szCs w:val="21"/>
                      <w:lang w:eastAsia="zh-CN"/>
                    </w:rPr>
                    <w:t>，二层为办公区域</w:t>
                  </w:r>
                </w:p>
              </w:tc>
              <w:tc>
                <w:tcPr>
                  <w:tcW w:w="2042" w:type="dxa"/>
                  <w:noWrap w:val="0"/>
                  <w:vAlign w:val="center"/>
                </w:tcPr>
                <w:p>
                  <w:pPr>
                    <w:jc w:val="center"/>
                    <w:rPr>
                      <w:color w:val="auto"/>
                      <w:sz w:val="21"/>
                      <w:szCs w:val="21"/>
                    </w:rPr>
                  </w:pPr>
                  <w:r>
                    <w:rPr>
                      <w:rFonts w:hint="eastAsia"/>
                      <w:color w:val="auto"/>
                      <w:sz w:val="21"/>
                      <w:szCs w:val="21"/>
                      <w:lang w:eastAsia="zh-CN"/>
                    </w:rPr>
                    <w:t>占地</w:t>
                  </w:r>
                  <w:r>
                    <w:rPr>
                      <w:color w:val="auto"/>
                      <w:sz w:val="21"/>
                      <w:szCs w:val="21"/>
                    </w:rPr>
                    <w:t>面积约</w:t>
                  </w:r>
                  <w:r>
                    <w:rPr>
                      <w:rFonts w:hint="eastAsia"/>
                      <w:color w:val="auto"/>
                      <w:sz w:val="21"/>
                      <w:szCs w:val="21"/>
                      <w:lang w:val="en-US" w:eastAsia="zh-CN"/>
                    </w:rPr>
                    <w:t>57</w:t>
                  </w:r>
                  <w:r>
                    <w:rPr>
                      <w:rFonts w:hint="eastAsia"/>
                      <w:color w:val="auto"/>
                      <w:sz w:val="21"/>
                      <w:szCs w:val="21"/>
                    </w:rPr>
                    <w:t>0</w:t>
                  </w:r>
                  <w:r>
                    <w:rPr>
                      <w:color w:val="auto"/>
                      <w:sz w:val="21"/>
                      <w:szCs w:val="21"/>
                    </w:rPr>
                    <w:t>m</w:t>
                  </w:r>
                  <w:r>
                    <w:rPr>
                      <w:color w:val="auto"/>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restart"/>
                  <w:noWrap w:val="0"/>
                  <w:vAlign w:val="center"/>
                </w:tcPr>
                <w:p>
                  <w:pPr>
                    <w:jc w:val="center"/>
                    <w:rPr>
                      <w:color w:val="auto"/>
                      <w:sz w:val="21"/>
                      <w:szCs w:val="21"/>
                    </w:rPr>
                  </w:pPr>
                  <w:r>
                    <w:rPr>
                      <w:color w:val="auto"/>
                      <w:sz w:val="21"/>
                      <w:szCs w:val="21"/>
                    </w:rPr>
                    <w:t>2</w:t>
                  </w:r>
                </w:p>
              </w:tc>
              <w:tc>
                <w:tcPr>
                  <w:tcW w:w="1233" w:type="dxa"/>
                  <w:vMerge w:val="restart"/>
                  <w:noWrap w:val="0"/>
                  <w:vAlign w:val="center"/>
                </w:tcPr>
                <w:p>
                  <w:pPr>
                    <w:jc w:val="center"/>
                    <w:rPr>
                      <w:color w:val="auto"/>
                      <w:sz w:val="21"/>
                      <w:szCs w:val="21"/>
                    </w:rPr>
                  </w:pPr>
                  <w:r>
                    <w:rPr>
                      <w:color w:val="auto"/>
                      <w:sz w:val="21"/>
                      <w:szCs w:val="21"/>
                    </w:rPr>
                    <w:t>辅助工程</w:t>
                  </w:r>
                </w:p>
              </w:tc>
              <w:tc>
                <w:tcPr>
                  <w:tcW w:w="1696" w:type="dxa"/>
                  <w:noWrap w:val="0"/>
                  <w:vAlign w:val="center"/>
                </w:tcPr>
                <w:p>
                  <w:pPr>
                    <w:jc w:val="center"/>
                    <w:rPr>
                      <w:rFonts w:hint="eastAsia" w:eastAsia="宋体"/>
                      <w:color w:val="auto"/>
                      <w:sz w:val="21"/>
                      <w:szCs w:val="21"/>
                      <w:lang w:eastAsia="zh-CN"/>
                    </w:rPr>
                  </w:pPr>
                  <w:r>
                    <w:rPr>
                      <w:rFonts w:hint="eastAsia"/>
                      <w:color w:val="auto"/>
                      <w:sz w:val="21"/>
                      <w:szCs w:val="21"/>
                      <w:lang w:eastAsia="zh-CN"/>
                    </w:rPr>
                    <w:t>食堂及仓库</w:t>
                  </w:r>
                </w:p>
              </w:tc>
              <w:tc>
                <w:tcPr>
                  <w:tcW w:w="3282" w:type="dxa"/>
                  <w:noWrap w:val="0"/>
                  <w:vAlign w:val="center"/>
                </w:tcPr>
                <w:p>
                  <w:pPr>
                    <w:jc w:val="center"/>
                    <w:rPr>
                      <w:color w:val="auto"/>
                      <w:sz w:val="21"/>
                      <w:szCs w:val="21"/>
                    </w:rPr>
                  </w:pPr>
                  <w:r>
                    <w:rPr>
                      <w:color w:val="auto"/>
                      <w:sz w:val="21"/>
                      <w:szCs w:val="21"/>
                    </w:rPr>
                    <w:t>1栋</w:t>
                  </w:r>
                  <w:r>
                    <w:rPr>
                      <w:rFonts w:hint="eastAsia"/>
                      <w:color w:val="auto"/>
                      <w:sz w:val="21"/>
                      <w:szCs w:val="21"/>
                      <w:lang w:val="en-US" w:eastAsia="zh-CN"/>
                    </w:rPr>
                    <w:t>2</w:t>
                  </w:r>
                  <w:r>
                    <w:rPr>
                      <w:color w:val="auto"/>
                      <w:sz w:val="21"/>
                      <w:szCs w:val="21"/>
                    </w:rPr>
                    <w:t>层</w:t>
                  </w:r>
                </w:p>
              </w:tc>
              <w:tc>
                <w:tcPr>
                  <w:tcW w:w="2042" w:type="dxa"/>
                  <w:noWrap w:val="0"/>
                  <w:vAlign w:val="center"/>
                </w:tcPr>
                <w:p>
                  <w:pPr>
                    <w:jc w:val="center"/>
                    <w:rPr>
                      <w:rFonts w:hint="eastAsia" w:eastAsia="宋体"/>
                      <w:color w:val="auto"/>
                      <w:sz w:val="21"/>
                      <w:szCs w:val="21"/>
                      <w:lang w:eastAsia="zh-CN"/>
                    </w:rPr>
                  </w:pPr>
                  <w:r>
                    <w:rPr>
                      <w:rFonts w:hint="eastAsia"/>
                      <w:color w:val="auto"/>
                      <w:sz w:val="21"/>
                      <w:szCs w:val="21"/>
                      <w:lang w:eastAsia="zh-CN"/>
                    </w:rPr>
                    <w:t>占地</w:t>
                  </w:r>
                  <w:r>
                    <w:rPr>
                      <w:color w:val="auto"/>
                      <w:sz w:val="21"/>
                      <w:szCs w:val="21"/>
                    </w:rPr>
                    <w:t>面积约</w:t>
                  </w:r>
                  <w:r>
                    <w:rPr>
                      <w:rFonts w:hint="eastAsia"/>
                      <w:color w:val="auto"/>
                      <w:sz w:val="21"/>
                      <w:szCs w:val="21"/>
                      <w:lang w:val="en-US" w:eastAsia="zh-CN"/>
                    </w:rPr>
                    <w:t>1</w:t>
                  </w:r>
                  <w:r>
                    <w:rPr>
                      <w:rFonts w:hint="eastAsia"/>
                      <w:color w:val="auto"/>
                      <w:sz w:val="21"/>
                      <w:szCs w:val="21"/>
                    </w:rPr>
                    <w:t>00</w:t>
                  </w:r>
                  <w:r>
                    <w:rPr>
                      <w:color w:val="auto"/>
                      <w:sz w:val="21"/>
                      <w:szCs w:val="21"/>
                    </w:rPr>
                    <w:t>m</w:t>
                  </w:r>
                  <w:r>
                    <w:rPr>
                      <w:color w:val="auto"/>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noWrap w:val="0"/>
                  <w:vAlign w:val="center"/>
                </w:tcPr>
                <w:p>
                  <w:pPr>
                    <w:jc w:val="center"/>
                    <w:rPr>
                      <w:color w:val="auto"/>
                      <w:sz w:val="21"/>
                      <w:szCs w:val="21"/>
                    </w:rPr>
                  </w:pPr>
                </w:p>
              </w:tc>
              <w:tc>
                <w:tcPr>
                  <w:tcW w:w="1233" w:type="dxa"/>
                  <w:vMerge w:val="continue"/>
                  <w:noWrap w:val="0"/>
                  <w:vAlign w:val="center"/>
                </w:tcPr>
                <w:p>
                  <w:pPr>
                    <w:jc w:val="center"/>
                    <w:rPr>
                      <w:color w:val="auto"/>
                      <w:sz w:val="21"/>
                      <w:szCs w:val="21"/>
                    </w:rPr>
                  </w:pPr>
                </w:p>
              </w:tc>
              <w:tc>
                <w:tcPr>
                  <w:tcW w:w="1696" w:type="dxa"/>
                  <w:noWrap w:val="0"/>
                  <w:vAlign w:val="center"/>
                </w:tcPr>
                <w:p>
                  <w:pPr>
                    <w:jc w:val="center"/>
                    <w:rPr>
                      <w:rFonts w:hint="eastAsia" w:eastAsia="宋体"/>
                      <w:color w:val="auto"/>
                      <w:sz w:val="21"/>
                      <w:szCs w:val="21"/>
                      <w:lang w:eastAsia="zh-CN"/>
                    </w:rPr>
                  </w:pPr>
                  <w:r>
                    <w:rPr>
                      <w:rFonts w:hint="eastAsia"/>
                      <w:color w:val="auto"/>
                      <w:sz w:val="21"/>
                      <w:szCs w:val="21"/>
                      <w:lang w:eastAsia="zh-CN"/>
                    </w:rPr>
                    <w:t>成品仓库</w:t>
                  </w:r>
                </w:p>
              </w:tc>
              <w:tc>
                <w:tcPr>
                  <w:tcW w:w="3282" w:type="dxa"/>
                  <w:noWrap w:val="0"/>
                  <w:vAlign w:val="center"/>
                </w:tcPr>
                <w:p>
                  <w:pPr>
                    <w:jc w:val="center"/>
                    <w:rPr>
                      <w:color w:val="auto"/>
                      <w:sz w:val="21"/>
                      <w:szCs w:val="21"/>
                    </w:rPr>
                  </w:pPr>
                  <w:r>
                    <w:rPr>
                      <w:color w:val="auto"/>
                      <w:sz w:val="21"/>
                      <w:szCs w:val="21"/>
                    </w:rPr>
                    <w:t>1栋</w:t>
                  </w:r>
                  <w:r>
                    <w:rPr>
                      <w:rFonts w:hint="eastAsia"/>
                      <w:color w:val="auto"/>
                      <w:sz w:val="21"/>
                      <w:szCs w:val="21"/>
                      <w:lang w:val="en-US" w:eastAsia="zh-CN"/>
                    </w:rPr>
                    <w:t>1</w:t>
                  </w:r>
                  <w:r>
                    <w:rPr>
                      <w:color w:val="auto"/>
                      <w:sz w:val="21"/>
                      <w:szCs w:val="21"/>
                    </w:rPr>
                    <w:t>层</w:t>
                  </w:r>
                </w:p>
              </w:tc>
              <w:tc>
                <w:tcPr>
                  <w:tcW w:w="2042" w:type="dxa"/>
                  <w:noWrap w:val="0"/>
                  <w:vAlign w:val="center"/>
                </w:tcPr>
                <w:p>
                  <w:pPr>
                    <w:jc w:val="center"/>
                    <w:rPr>
                      <w:color w:val="auto"/>
                      <w:sz w:val="21"/>
                      <w:szCs w:val="21"/>
                    </w:rPr>
                  </w:pPr>
                  <w:r>
                    <w:rPr>
                      <w:rFonts w:hint="eastAsia"/>
                      <w:color w:val="auto"/>
                      <w:sz w:val="21"/>
                      <w:szCs w:val="21"/>
                      <w:lang w:eastAsia="zh-CN"/>
                    </w:rPr>
                    <w:t>占地</w:t>
                  </w:r>
                  <w:r>
                    <w:rPr>
                      <w:color w:val="auto"/>
                      <w:sz w:val="21"/>
                      <w:szCs w:val="21"/>
                    </w:rPr>
                    <w:t>面积约</w:t>
                  </w:r>
                  <w:r>
                    <w:rPr>
                      <w:rFonts w:hint="eastAsia"/>
                      <w:color w:val="auto"/>
                      <w:sz w:val="21"/>
                      <w:szCs w:val="21"/>
                      <w:lang w:val="en-US" w:eastAsia="zh-CN"/>
                    </w:rPr>
                    <w:t>3</w:t>
                  </w:r>
                  <w:r>
                    <w:rPr>
                      <w:rFonts w:hint="eastAsia"/>
                      <w:color w:val="auto"/>
                      <w:sz w:val="21"/>
                      <w:szCs w:val="21"/>
                    </w:rPr>
                    <w:t>00</w:t>
                  </w:r>
                  <w:r>
                    <w:rPr>
                      <w:color w:val="auto"/>
                      <w:sz w:val="21"/>
                      <w:szCs w:val="21"/>
                    </w:rPr>
                    <w:t>m</w:t>
                  </w:r>
                  <w:r>
                    <w:rPr>
                      <w:color w:val="auto"/>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restart"/>
                  <w:noWrap w:val="0"/>
                  <w:vAlign w:val="center"/>
                </w:tcPr>
                <w:p>
                  <w:pPr>
                    <w:jc w:val="center"/>
                    <w:rPr>
                      <w:color w:val="auto"/>
                      <w:sz w:val="21"/>
                      <w:szCs w:val="21"/>
                    </w:rPr>
                  </w:pPr>
                  <w:r>
                    <w:rPr>
                      <w:color w:val="auto"/>
                      <w:sz w:val="21"/>
                      <w:szCs w:val="21"/>
                    </w:rPr>
                    <w:t>3</w:t>
                  </w:r>
                </w:p>
              </w:tc>
              <w:tc>
                <w:tcPr>
                  <w:tcW w:w="1233" w:type="dxa"/>
                  <w:vMerge w:val="restart"/>
                  <w:noWrap w:val="0"/>
                  <w:vAlign w:val="center"/>
                </w:tcPr>
                <w:p>
                  <w:pPr>
                    <w:jc w:val="center"/>
                    <w:rPr>
                      <w:color w:val="auto"/>
                      <w:sz w:val="21"/>
                      <w:szCs w:val="21"/>
                    </w:rPr>
                  </w:pPr>
                  <w:r>
                    <w:rPr>
                      <w:color w:val="auto"/>
                      <w:sz w:val="21"/>
                      <w:szCs w:val="21"/>
                    </w:rPr>
                    <w:t>公用工程</w:t>
                  </w:r>
                </w:p>
              </w:tc>
              <w:tc>
                <w:tcPr>
                  <w:tcW w:w="1696" w:type="dxa"/>
                  <w:noWrap w:val="0"/>
                  <w:vAlign w:val="center"/>
                </w:tcPr>
                <w:p>
                  <w:pPr>
                    <w:jc w:val="center"/>
                    <w:rPr>
                      <w:color w:val="auto"/>
                      <w:sz w:val="21"/>
                      <w:szCs w:val="21"/>
                    </w:rPr>
                  </w:pPr>
                  <w:r>
                    <w:rPr>
                      <w:color w:val="auto"/>
                      <w:sz w:val="21"/>
                      <w:szCs w:val="21"/>
                    </w:rPr>
                    <w:t>供水</w:t>
                  </w:r>
                </w:p>
              </w:tc>
              <w:tc>
                <w:tcPr>
                  <w:tcW w:w="5324" w:type="dxa"/>
                  <w:gridSpan w:val="2"/>
                  <w:noWrap w:val="0"/>
                  <w:vAlign w:val="center"/>
                </w:tcPr>
                <w:p>
                  <w:pPr>
                    <w:jc w:val="center"/>
                    <w:rPr>
                      <w:color w:val="auto"/>
                      <w:sz w:val="21"/>
                      <w:szCs w:val="21"/>
                    </w:rPr>
                  </w:pPr>
                  <w:r>
                    <w:rPr>
                      <w:rFonts w:hint="eastAsia"/>
                      <w:color w:val="auto"/>
                      <w:sz w:val="21"/>
                      <w:szCs w:val="21"/>
                      <w:lang w:eastAsia="zh-CN"/>
                    </w:rPr>
                    <w:t>市</w:t>
                  </w:r>
                  <w:r>
                    <w:rPr>
                      <w:rFonts w:hint="eastAsia"/>
                      <w:color w:val="auto"/>
                      <w:sz w:val="21"/>
                      <w:szCs w:val="21"/>
                    </w:rPr>
                    <w:t>镇</w:t>
                  </w:r>
                  <w:r>
                    <w:rPr>
                      <w:color w:val="auto"/>
                      <w:sz w:val="21"/>
                      <w:szCs w:val="21"/>
                    </w:rPr>
                    <w:t>供水管网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noWrap w:val="0"/>
                  <w:vAlign w:val="center"/>
                </w:tcPr>
                <w:p>
                  <w:pPr>
                    <w:jc w:val="center"/>
                    <w:rPr>
                      <w:color w:val="auto"/>
                      <w:sz w:val="21"/>
                      <w:szCs w:val="21"/>
                    </w:rPr>
                  </w:pPr>
                </w:p>
              </w:tc>
              <w:tc>
                <w:tcPr>
                  <w:tcW w:w="1233" w:type="dxa"/>
                  <w:vMerge w:val="continue"/>
                  <w:noWrap w:val="0"/>
                  <w:vAlign w:val="center"/>
                </w:tcPr>
                <w:p>
                  <w:pPr>
                    <w:jc w:val="center"/>
                    <w:rPr>
                      <w:color w:val="auto"/>
                      <w:sz w:val="21"/>
                      <w:szCs w:val="21"/>
                    </w:rPr>
                  </w:pPr>
                </w:p>
              </w:tc>
              <w:tc>
                <w:tcPr>
                  <w:tcW w:w="1696" w:type="dxa"/>
                  <w:noWrap w:val="0"/>
                  <w:vAlign w:val="center"/>
                </w:tcPr>
                <w:p>
                  <w:pPr>
                    <w:jc w:val="center"/>
                    <w:rPr>
                      <w:color w:val="auto"/>
                      <w:sz w:val="21"/>
                      <w:szCs w:val="21"/>
                    </w:rPr>
                  </w:pPr>
                  <w:r>
                    <w:rPr>
                      <w:color w:val="auto"/>
                      <w:sz w:val="21"/>
                      <w:szCs w:val="21"/>
                    </w:rPr>
                    <w:t>排水</w:t>
                  </w:r>
                </w:p>
              </w:tc>
              <w:tc>
                <w:tcPr>
                  <w:tcW w:w="5324" w:type="dxa"/>
                  <w:gridSpan w:val="2"/>
                  <w:noWrap w:val="0"/>
                  <w:vAlign w:val="center"/>
                </w:tcPr>
                <w:p>
                  <w:pPr>
                    <w:rPr>
                      <w:rFonts w:hint="eastAsia" w:eastAsia="宋体"/>
                      <w:color w:val="auto"/>
                      <w:sz w:val="21"/>
                      <w:szCs w:val="21"/>
                      <w:lang w:eastAsia="zh-CN"/>
                    </w:rPr>
                  </w:pPr>
                  <w:r>
                    <w:rPr>
                      <w:rFonts w:hint="eastAsia"/>
                      <w:color w:val="auto"/>
                      <w:sz w:val="21"/>
                      <w:szCs w:val="21"/>
                    </w:rPr>
                    <w:t>生活</w:t>
                  </w:r>
                  <w:r>
                    <w:rPr>
                      <w:color w:val="auto"/>
                      <w:sz w:val="21"/>
                      <w:szCs w:val="21"/>
                    </w:rPr>
                    <w:t>废水经化粪池处理后</w:t>
                  </w:r>
                  <w:r>
                    <w:rPr>
                      <w:rFonts w:hint="eastAsia"/>
                      <w:color w:val="auto"/>
                      <w:sz w:val="21"/>
                      <w:szCs w:val="21"/>
                      <w:u w:val="single"/>
                      <w:lang w:eastAsia="zh-CN"/>
                    </w:rPr>
                    <w:t>接入市政污水管网</w:t>
                  </w:r>
                  <w:r>
                    <w:rPr>
                      <w:rFonts w:hint="eastAsia"/>
                      <w:color w:val="auto"/>
                      <w:sz w:val="21"/>
                      <w:szCs w:val="21"/>
                      <w:lang w:eastAsia="zh-CN"/>
                    </w:rPr>
                    <w:t>。</w:t>
                  </w:r>
                  <w:r>
                    <w:rPr>
                      <w:rFonts w:hint="eastAsia"/>
                      <w:color w:val="auto"/>
                      <w:sz w:val="21"/>
                      <w:szCs w:val="21"/>
                    </w:rPr>
                    <w:t>生产废水</w:t>
                  </w:r>
                  <w:r>
                    <w:rPr>
                      <w:rFonts w:hint="eastAsia"/>
                      <w:color w:val="auto"/>
                      <w:sz w:val="21"/>
                      <w:szCs w:val="21"/>
                      <w:lang w:eastAsia="zh-CN"/>
                    </w:rPr>
                    <w:t>经沉淀池沉淀后循环使用，不外排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noWrap w:val="0"/>
                  <w:vAlign w:val="center"/>
                </w:tcPr>
                <w:p>
                  <w:pPr>
                    <w:jc w:val="center"/>
                    <w:rPr>
                      <w:color w:val="auto"/>
                      <w:sz w:val="21"/>
                      <w:szCs w:val="21"/>
                    </w:rPr>
                  </w:pPr>
                </w:p>
              </w:tc>
              <w:tc>
                <w:tcPr>
                  <w:tcW w:w="1233" w:type="dxa"/>
                  <w:vMerge w:val="continue"/>
                  <w:noWrap w:val="0"/>
                  <w:vAlign w:val="center"/>
                </w:tcPr>
                <w:p>
                  <w:pPr>
                    <w:jc w:val="center"/>
                    <w:rPr>
                      <w:color w:val="auto"/>
                      <w:sz w:val="21"/>
                      <w:szCs w:val="21"/>
                    </w:rPr>
                  </w:pPr>
                </w:p>
              </w:tc>
              <w:tc>
                <w:tcPr>
                  <w:tcW w:w="1696" w:type="dxa"/>
                  <w:noWrap w:val="0"/>
                  <w:vAlign w:val="center"/>
                </w:tcPr>
                <w:p>
                  <w:pPr>
                    <w:jc w:val="center"/>
                    <w:rPr>
                      <w:color w:val="auto"/>
                      <w:sz w:val="21"/>
                      <w:szCs w:val="21"/>
                    </w:rPr>
                  </w:pPr>
                  <w:r>
                    <w:rPr>
                      <w:color w:val="auto"/>
                      <w:sz w:val="21"/>
                      <w:szCs w:val="21"/>
                    </w:rPr>
                    <w:t>供电</w:t>
                  </w:r>
                </w:p>
              </w:tc>
              <w:tc>
                <w:tcPr>
                  <w:tcW w:w="5324" w:type="dxa"/>
                  <w:gridSpan w:val="2"/>
                  <w:noWrap w:val="0"/>
                  <w:vAlign w:val="center"/>
                </w:tcPr>
                <w:p>
                  <w:pPr>
                    <w:jc w:val="center"/>
                    <w:rPr>
                      <w:rFonts w:hint="eastAsia" w:eastAsia="宋体"/>
                      <w:color w:val="auto"/>
                      <w:sz w:val="21"/>
                      <w:szCs w:val="21"/>
                      <w:lang w:eastAsia="zh-CN"/>
                    </w:rPr>
                  </w:pPr>
                  <w:r>
                    <w:rPr>
                      <w:rFonts w:hint="eastAsia"/>
                      <w:color w:val="auto"/>
                      <w:sz w:val="21"/>
                      <w:szCs w:val="21"/>
                      <w:lang w:eastAsia="zh-CN"/>
                    </w:rPr>
                    <w:t>市政供电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noWrap w:val="0"/>
                  <w:vAlign w:val="center"/>
                </w:tcPr>
                <w:p>
                  <w:pPr>
                    <w:jc w:val="center"/>
                    <w:rPr>
                      <w:color w:val="auto"/>
                      <w:sz w:val="21"/>
                      <w:szCs w:val="21"/>
                    </w:rPr>
                  </w:pPr>
                </w:p>
              </w:tc>
              <w:tc>
                <w:tcPr>
                  <w:tcW w:w="1233" w:type="dxa"/>
                  <w:vMerge w:val="continue"/>
                  <w:noWrap w:val="0"/>
                  <w:vAlign w:val="center"/>
                </w:tcPr>
                <w:p>
                  <w:pPr>
                    <w:jc w:val="center"/>
                    <w:rPr>
                      <w:color w:val="auto"/>
                      <w:sz w:val="21"/>
                      <w:szCs w:val="21"/>
                    </w:rPr>
                  </w:pPr>
                </w:p>
              </w:tc>
              <w:tc>
                <w:tcPr>
                  <w:tcW w:w="1696" w:type="dxa"/>
                  <w:noWrap w:val="0"/>
                  <w:vAlign w:val="center"/>
                </w:tcPr>
                <w:p>
                  <w:pPr>
                    <w:jc w:val="center"/>
                    <w:rPr>
                      <w:color w:val="auto"/>
                      <w:sz w:val="21"/>
                      <w:szCs w:val="21"/>
                    </w:rPr>
                  </w:pPr>
                  <w:r>
                    <w:rPr>
                      <w:color w:val="auto"/>
                      <w:sz w:val="21"/>
                      <w:szCs w:val="21"/>
                    </w:rPr>
                    <w:t>供热、供冷</w:t>
                  </w:r>
                </w:p>
              </w:tc>
              <w:tc>
                <w:tcPr>
                  <w:tcW w:w="5324" w:type="dxa"/>
                  <w:gridSpan w:val="2"/>
                  <w:noWrap w:val="0"/>
                  <w:vAlign w:val="center"/>
                </w:tcPr>
                <w:p>
                  <w:pPr>
                    <w:rPr>
                      <w:color w:val="auto"/>
                      <w:sz w:val="21"/>
                      <w:szCs w:val="21"/>
                    </w:rPr>
                  </w:pPr>
                  <w:r>
                    <w:rPr>
                      <w:color w:val="auto"/>
                      <w:sz w:val="21"/>
                      <w:szCs w:val="21"/>
                    </w:rPr>
                    <w:t>建有</w:t>
                  </w:r>
                  <w:r>
                    <w:rPr>
                      <w:rFonts w:hint="eastAsia"/>
                      <w:color w:val="auto"/>
                      <w:sz w:val="21"/>
                      <w:szCs w:val="21"/>
                    </w:rPr>
                    <w:t>生物质锅炉</w:t>
                  </w:r>
                  <w:r>
                    <w:rPr>
                      <w:color w:val="auto"/>
                      <w:sz w:val="21"/>
                      <w:szCs w:val="21"/>
                    </w:rPr>
                    <w:t>，夏天制冷、冬天采暖均采用分体空调解决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restart"/>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4</w:t>
                  </w:r>
                </w:p>
              </w:tc>
              <w:tc>
                <w:tcPr>
                  <w:tcW w:w="1233" w:type="dxa"/>
                  <w:vMerge w:val="restart"/>
                  <w:noWrap w:val="0"/>
                  <w:vAlign w:val="center"/>
                </w:tcPr>
                <w:p>
                  <w:pPr>
                    <w:jc w:val="center"/>
                    <w:rPr>
                      <w:color w:val="auto"/>
                      <w:sz w:val="21"/>
                      <w:szCs w:val="21"/>
                    </w:rPr>
                  </w:pPr>
                  <w:r>
                    <w:rPr>
                      <w:color w:val="auto"/>
                      <w:sz w:val="21"/>
                      <w:szCs w:val="21"/>
                    </w:rPr>
                    <w:t>环保工程</w:t>
                  </w:r>
                </w:p>
              </w:tc>
              <w:tc>
                <w:tcPr>
                  <w:tcW w:w="1696" w:type="dxa"/>
                  <w:noWrap w:val="0"/>
                  <w:vAlign w:val="center"/>
                </w:tcPr>
                <w:p>
                  <w:pPr>
                    <w:jc w:val="center"/>
                    <w:rPr>
                      <w:color w:val="auto"/>
                      <w:sz w:val="21"/>
                      <w:szCs w:val="21"/>
                    </w:rPr>
                  </w:pPr>
                  <w:r>
                    <w:rPr>
                      <w:color w:val="auto"/>
                      <w:sz w:val="21"/>
                      <w:szCs w:val="21"/>
                    </w:rPr>
                    <w:t>废水处理</w:t>
                  </w:r>
                </w:p>
              </w:tc>
              <w:tc>
                <w:tcPr>
                  <w:tcW w:w="5324" w:type="dxa"/>
                  <w:gridSpan w:val="2"/>
                  <w:noWrap w:val="0"/>
                  <w:vAlign w:val="center"/>
                </w:tcPr>
                <w:p>
                  <w:pPr>
                    <w:jc w:val="center"/>
                    <w:rPr>
                      <w:rFonts w:hint="eastAsia" w:eastAsia="宋体"/>
                      <w:color w:val="auto"/>
                      <w:sz w:val="21"/>
                      <w:szCs w:val="21"/>
                      <w:lang w:eastAsia="zh-CN"/>
                    </w:rPr>
                  </w:pPr>
                  <w:r>
                    <w:rPr>
                      <w:color w:val="auto"/>
                      <w:sz w:val="21"/>
                      <w:szCs w:val="21"/>
                    </w:rPr>
                    <w:t>化粪池、</w:t>
                  </w:r>
                  <w:r>
                    <w:rPr>
                      <w:rFonts w:hint="eastAsia"/>
                      <w:color w:val="auto"/>
                      <w:sz w:val="21"/>
                      <w:szCs w:val="21"/>
                      <w:lang w:eastAsia="zh-CN"/>
                    </w:rPr>
                    <w:t>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noWrap w:val="0"/>
                  <w:vAlign w:val="center"/>
                </w:tcPr>
                <w:p>
                  <w:pPr>
                    <w:jc w:val="center"/>
                    <w:rPr>
                      <w:color w:val="auto"/>
                      <w:sz w:val="21"/>
                      <w:szCs w:val="21"/>
                    </w:rPr>
                  </w:pPr>
                </w:p>
              </w:tc>
              <w:tc>
                <w:tcPr>
                  <w:tcW w:w="1233" w:type="dxa"/>
                  <w:vMerge w:val="continue"/>
                  <w:noWrap w:val="0"/>
                  <w:vAlign w:val="center"/>
                </w:tcPr>
                <w:p>
                  <w:pPr>
                    <w:jc w:val="center"/>
                    <w:rPr>
                      <w:color w:val="auto"/>
                      <w:sz w:val="21"/>
                      <w:szCs w:val="21"/>
                    </w:rPr>
                  </w:pPr>
                </w:p>
              </w:tc>
              <w:tc>
                <w:tcPr>
                  <w:tcW w:w="1696" w:type="dxa"/>
                  <w:noWrap w:val="0"/>
                  <w:vAlign w:val="center"/>
                </w:tcPr>
                <w:p>
                  <w:pPr>
                    <w:jc w:val="center"/>
                    <w:rPr>
                      <w:color w:val="auto"/>
                      <w:sz w:val="21"/>
                      <w:szCs w:val="21"/>
                    </w:rPr>
                  </w:pPr>
                  <w:r>
                    <w:rPr>
                      <w:color w:val="auto"/>
                      <w:sz w:val="21"/>
                      <w:szCs w:val="21"/>
                    </w:rPr>
                    <w:t>废气处理</w:t>
                  </w:r>
                </w:p>
              </w:tc>
              <w:tc>
                <w:tcPr>
                  <w:tcW w:w="5324" w:type="dxa"/>
                  <w:gridSpan w:val="2"/>
                  <w:noWrap w:val="0"/>
                  <w:vAlign w:val="center"/>
                </w:tcPr>
                <w:p>
                  <w:pPr>
                    <w:jc w:val="center"/>
                    <w:rPr>
                      <w:rFonts w:hint="eastAsia"/>
                      <w:color w:val="auto"/>
                      <w:sz w:val="21"/>
                      <w:szCs w:val="21"/>
                    </w:rPr>
                  </w:pPr>
                  <w:r>
                    <w:rPr>
                      <w:rFonts w:hint="eastAsia"/>
                      <w:color w:val="auto"/>
                      <w:sz w:val="21"/>
                      <w:szCs w:val="21"/>
                    </w:rPr>
                    <w:t>水</w:t>
                  </w:r>
                  <w:r>
                    <w:rPr>
                      <w:rFonts w:hint="eastAsia"/>
                      <w:color w:val="auto"/>
                      <w:sz w:val="21"/>
                      <w:szCs w:val="21"/>
                      <w:lang w:eastAsia="zh-CN"/>
                    </w:rPr>
                    <w:t>雾</w:t>
                  </w:r>
                  <w:r>
                    <w:rPr>
                      <w:rFonts w:hint="eastAsia"/>
                      <w:color w:val="auto"/>
                      <w:sz w:val="21"/>
                      <w:szCs w:val="21"/>
                    </w:rPr>
                    <w:t>除尘</w:t>
                  </w:r>
                  <w:r>
                    <w:rPr>
                      <w:rFonts w:hint="eastAsia"/>
                      <w:color w:val="auto"/>
                      <w:sz w:val="21"/>
                      <w:szCs w:val="21"/>
                      <w:lang w:eastAsia="zh-CN"/>
                    </w:rPr>
                    <w:t>器</w:t>
                  </w:r>
                  <w:r>
                    <w:rPr>
                      <w:rFonts w:hint="eastAsia"/>
                      <w:color w:val="auto"/>
                      <w:sz w:val="21"/>
                      <w:szCs w:val="21"/>
                    </w:rPr>
                    <w:t>、袋式吸尘器、优化通风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noWrap w:val="0"/>
                  <w:vAlign w:val="center"/>
                </w:tcPr>
                <w:p>
                  <w:pPr>
                    <w:jc w:val="center"/>
                    <w:rPr>
                      <w:color w:val="auto"/>
                      <w:sz w:val="21"/>
                      <w:szCs w:val="21"/>
                    </w:rPr>
                  </w:pPr>
                </w:p>
              </w:tc>
              <w:tc>
                <w:tcPr>
                  <w:tcW w:w="1233" w:type="dxa"/>
                  <w:vMerge w:val="continue"/>
                  <w:noWrap w:val="0"/>
                  <w:vAlign w:val="center"/>
                </w:tcPr>
                <w:p>
                  <w:pPr>
                    <w:jc w:val="center"/>
                    <w:rPr>
                      <w:color w:val="auto"/>
                      <w:sz w:val="21"/>
                      <w:szCs w:val="21"/>
                    </w:rPr>
                  </w:pPr>
                </w:p>
              </w:tc>
              <w:tc>
                <w:tcPr>
                  <w:tcW w:w="1696" w:type="dxa"/>
                  <w:noWrap w:val="0"/>
                  <w:vAlign w:val="center"/>
                </w:tcPr>
                <w:p>
                  <w:pPr>
                    <w:jc w:val="center"/>
                    <w:rPr>
                      <w:color w:val="auto"/>
                      <w:sz w:val="21"/>
                      <w:szCs w:val="21"/>
                    </w:rPr>
                  </w:pPr>
                  <w:r>
                    <w:rPr>
                      <w:color w:val="auto"/>
                      <w:sz w:val="21"/>
                      <w:szCs w:val="21"/>
                    </w:rPr>
                    <w:t>噪声治理</w:t>
                  </w:r>
                </w:p>
              </w:tc>
              <w:tc>
                <w:tcPr>
                  <w:tcW w:w="5324" w:type="dxa"/>
                  <w:gridSpan w:val="2"/>
                  <w:noWrap w:val="0"/>
                  <w:vAlign w:val="center"/>
                </w:tcPr>
                <w:p>
                  <w:pPr>
                    <w:jc w:val="center"/>
                    <w:rPr>
                      <w:color w:val="auto"/>
                      <w:sz w:val="21"/>
                      <w:szCs w:val="21"/>
                    </w:rPr>
                  </w:pPr>
                  <w:r>
                    <w:rPr>
                      <w:color w:val="auto"/>
                      <w:sz w:val="21"/>
                      <w:szCs w:val="21"/>
                    </w:rPr>
                    <w:t>吸声材料、减振、隔振装置等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765" w:type="dxa"/>
                  <w:vMerge w:val="continue"/>
                  <w:noWrap w:val="0"/>
                  <w:vAlign w:val="center"/>
                </w:tcPr>
                <w:p>
                  <w:pPr>
                    <w:jc w:val="center"/>
                    <w:rPr>
                      <w:color w:val="auto"/>
                      <w:sz w:val="21"/>
                      <w:szCs w:val="21"/>
                    </w:rPr>
                  </w:pPr>
                </w:p>
              </w:tc>
              <w:tc>
                <w:tcPr>
                  <w:tcW w:w="1233" w:type="dxa"/>
                  <w:vMerge w:val="continue"/>
                  <w:noWrap w:val="0"/>
                  <w:vAlign w:val="center"/>
                </w:tcPr>
                <w:p>
                  <w:pPr>
                    <w:jc w:val="center"/>
                    <w:rPr>
                      <w:color w:val="auto"/>
                      <w:sz w:val="21"/>
                      <w:szCs w:val="21"/>
                    </w:rPr>
                  </w:pPr>
                </w:p>
              </w:tc>
              <w:tc>
                <w:tcPr>
                  <w:tcW w:w="1696" w:type="dxa"/>
                  <w:noWrap w:val="0"/>
                  <w:vAlign w:val="center"/>
                </w:tcPr>
                <w:p>
                  <w:pPr>
                    <w:jc w:val="center"/>
                    <w:rPr>
                      <w:color w:val="auto"/>
                      <w:sz w:val="21"/>
                      <w:szCs w:val="21"/>
                    </w:rPr>
                  </w:pPr>
                  <w:r>
                    <w:rPr>
                      <w:color w:val="auto"/>
                      <w:sz w:val="21"/>
                      <w:szCs w:val="21"/>
                    </w:rPr>
                    <w:t>生活垃圾治理</w:t>
                  </w:r>
                </w:p>
              </w:tc>
              <w:tc>
                <w:tcPr>
                  <w:tcW w:w="5324" w:type="dxa"/>
                  <w:gridSpan w:val="2"/>
                  <w:noWrap w:val="0"/>
                  <w:vAlign w:val="center"/>
                </w:tcPr>
                <w:p>
                  <w:pPr>
                    <w:jc w:val="center"/>
                    <w:rPr>
                      <w:rFonts w:hint="eastAsia" w:eastAsia="宋体"/>
                      <w:color w:val="auto"/>
                      <w:sz w:val="21"/>
                      <w:szCs w:val="21"/>
                      <w:lang w:eastAsia="zh-CN"/>
                    </w:rPr>
                  </w:pPr>
                  <w:r>
                    <w:rPr>
                      <w:color w:val="auto"/>
                      <w:sz w:val="21"/>
                      <w:szCs w:val="21"/>
                    </w:rPr>
                    <w:t>垃圾实行袋装化，集中收集</w:t>
                  </w:r>
                  <w:r>
                    <w:rPr>
                      <w:rFonts w:hint="eastAsia"/>
                      <w:color w:val="auto"/>
                      <w:sz w:val="21"/>
                      <w:szCs w:val="21"/>
                      <w:lang w:eastAsia="zh-CN"/>
                    </w:rPr>
                    <w:t>由</w:t>
                  </w:r>
                  <w:r>
                    <w:rPr>
                      <w:color w:val="auto"/>
                      <w:sz w:val="21"/>
                      <w:szCs w:val="21"/>
                    </w:rPr>
                    <w:t>环卫部门</w:t>
                  </w:r>
                  <w:r>
                    <w:rPr>
                      <w:rFonts w:hint="eastAsia"/>
                      <w:color w:val="auto"/>
                      <w:sz w:val="21"/>
                      <w:szCs w:val="21"/>
                      <w:lang w:eastAsia="zh-CN"/>
                    </w:rPr>
                    <w:t>统一清运处理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noWrap w:val="0"/>
                  <w:vAlign w:val="center"/>
                </w:tcPr>
                <w:p>
                  <w:pPr>
                    <w:jc w:val="center"/>
                    <w:rPr>
                      <w:color w:val="auto"/>
                      <w:sz w:val="21"/>
                      <w:szCs w:val="21"/>
                    </w:rPr>
                  </w:pPr>
                </w:p>
              </w:tc>
              <w:tc>
                <w:tcPr>
                  <w:tcW w:w="1233" w:type="dxa"/>
                  <w:vMerge w:val="continue"/>
                  <w:noWrap w:val="0"/>
                  <w:vAlign w:val="center"/>
                </w:tcPr>
                <w:p>
                  <w:pPr>
                    <w:jc w:val="center"/>
                    <w:rPr>
                      <w:color w:val="auto"/>
                      <w:sz w:val="21"/>
                      <w:szCs w:val="21"/>
                    </w:rPr>
                  </w:pPr>
                </w:p>
              </w:tc>
              <w:tc>
                <w:tcPr>
                  <w:tcW w:w="1696" w:type="dxa"/>
                  <w:noWrap w:val="0"/>
                  <w:vAlign w:val="center"/>
                </w:tcPr>
                <w:p>
                  <w:pPr>
                    <w:jc w:val="center"/>
                    <w:rPr>
                      <w:color w:val="auto"/>
                      <w:sz w:val="21"/>
                      <w:szCs w:val="21"/>
                    </w:rPr>
                  </w:pPr>
                  <w:r>
                    <w:rPr>
                      <w:color w:val="auto"/>
                      <w:sz w:val="21"/>
                      <w:szCs w:val="21"/>
                    </w:rPr>
                    <w:t>一般工业固废治理</w:t>
                  </w:r>
                </w:p>
              </w:tc>
              <w:tc>
                <w:tcPr>
                  <w:tcW w:w="5324" w:type="dxa"/>
                  <w:gridSpan w:val="2"/>
                  <w:noWrap w:val="0"/>
                  <w:vAlign w:val="center"/>
                </w:tcPr>
                <w:p>
                  <w:pPr>
                    <w:jc w:val="center"/>
                    <w:rPr>
                      <w:color w:val="auto"/>
                      <w:sz w:val="21"/>
                      <w:szCs w:val="21"/>
                    </w:rPr>
                  </w:pPr>
                  <w:r>
                    <w:rPr>
                      <w:color w:val="auto"/>
                      <w:sz w:val="21"/>
                      <w:szCs w:val="21"/>
                    </w:rPr>
                    <w:t>回收利用</w:t>
                  </w:r>
                  <w:r>
                    <w:rPr>
                      <w:rFonts w:hint="eastAsia"/>
                      <w:color w:val="auto"/>
                      <w:sz w:val="21"/>
                      <w:szCs w:val="21"/>
                    </w:rPr>
                    <w:t>、资源化利用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noWrap w:val="0"/>
                  <w:vAlign w:val="center"/>
                </w:tcPr>
                <w:p>
                  <w:pPr>
                    <w:jc w:val="center"/>
                    <w:rPr>
                      <w:color w:val="auto"/>
                      <w:sz w:val="21"/>
                      <w:szCs w:val="21"/>
                    </w:rPr>
                  </w:pPr>
                </w:p>
              </w:tc>
              <w:tc>
                <w:tcPr>
                  <w:tcW w:w="1233" w:type="dxa"/>
                  <w:vMerge w:val="continue"/>
                  <w:noWrap w:val="0"/>
                  <w:vAlign w:val="center"/>
                </w:tcPr>
                <w:p>
                  <w:pPr>
                    <w:jc w:val="center"/>
                    <w:rPr>
                      <w:color w:val="auto"/>
                      <w:sz w:val="21"/>
                      <w:szCs w:val="21"/>
                    </w:rPr>
                  </w:pPr>
                </w:p>
              </w:tc>
              <w:tc>
                <w:tcPr>
                  <w:tcW w:w="1696" w:type="dxa"/>
                  <w:noWrap w:val="0"/>
                  <w:vAlign w:val="center"/>
                </w:tcPr>
                <w:p>
                  <w:pPr>
                    <w:jc w:val="center"/>
                    <w:rPr>
                      <w:color w:val="auto"/>
                      <w:sz w:val="21"/>
                      <w:szCs w:val="21"/>
                    </w:rPr>
                  </w:pPr>
                  <w:r>
                    <w:rPr>
                      <w:color w:val="auto"/>
                      <w:sz w:val="21"/>
                      <w:szCs w:val="21"/>
                    </w:rPr>
                    <w:t>危废治理</w:t>
                  </w:r>
                </w:p>
              </w:tc>
              <w:tc>
                <w:tcPr>
                  <w:tcW w:w="5324" w:type="dxa"/>
                  <w:gridSpan w:val="2"/>
                  <w:noWrap w:val="0"/>
                  <w:vAlign w:val="center"/>
                </w:tcPr>
                <w:p>
                  <w:pPr>
                    <w:jc w:val="center"/>
                    <w:rPr>
                      <w:color w:val="auto"/>
                      <w:sz w:val="21"/>
                      <w:szCs w:val="21"/>
                    </w:rPr>
                  </w:pPr>
                  <w:r>
                    <w:rPr>
                      <w:rFonts w:hint="eastAsia"/>
                      <w:color w:val="auto"/>
                      <w:sz w:val="21"/>
                      <w:szCs w:val="21"/>
                    </w:rPr>
                    <w:t>树脂包装桶返回原生产厂家处理</w:t>
                  </w:r>
                </w:p>
              </w:tc>
            </w:tr>
          </w:tbl>
          <w:p>
            <w:pPr>
              <w:adjustRightInd w:val="0"/>
              <w:snapToGrid w:val="0"/>
              <w:spacing w:line="360" w:lineRule="auto"/>
              <w:ind w:firstLine="480" w:firstLineChars="200"/>
              <w:rPr>
                <w:rFonts w:hint="eastAsia"/>
                <w:bCs/>
                <w:color w:val="auto"/>
                <w:sz w:val="24"/>
                <w:szCs w:val="24"/>
                <w:lang w:eastAsia="zh-CN"/>
              </w:rPr>
            </w:pPr>
          </w:p>
          <w:p>
            <w:pPr>
              <w:adjustRightInd w:val="0"/>
              <w:snapToGrid w:val="0"/>
              <w:spacing w:line="360" w:lineRule="auto"/>
              <w:ind w:firstLine="480" w:firstLineChars="200"/>
              <w:rPr>
                <w:rFonts w:hint="eastAsia" w:eastAsia="宋体"/>
                <w:bCs/>
                <w:color w:val="auto"/>
                <w:sz w:val="24"/>
                <w:szCs w:val="24"/>
                <w:lang w:eastAsia="zh-CN"/>
              </w:rPr>
            </w:pPr>
            <w:r>
              <w:rPr>
                <w:rFonts w:hint="eastAsia"/>
                <w:bCs/>
                <w:color w:val="auto"/>
                <w:sz w:val="24"/>
                <w:szCs w:val="24"/>
                <w:lang w:eastAsia="zh-CN"/>
              </w:rPr>
              <w:t>现有项目设备情况见下表：</w:t>
            </w:r>
          </w:p>
          <w:p>
            <w:pPr>
              <w:spacing w:line="360" w:lineRule="auto"/>
              <w:ind w:firstLine="482"/>
              <w:jc w:val="center"/>
              <w:rPr>
                <w:rFonts w:hint="eastAsia" w:asciiTheme="minorEastAsia" w:hAnsiTheme="minorEastAsia" w:eastAsiaTheme="minorEastAsia" w:cstheme="minorEastAsia"/>
                <w:b w:val="0"/>
                <w:bCs/>
                <w:color w:val="auto"/>
                <w:sz w:val="24"/>
                <w:szCs w:val="24"/>
                <w:u w:val="none"/>
                <w:lang w:eastAsia="zh-CN"/>
              </w:rPr>
            </w:pPr>
            <w:r>
              <w:rPr>
                <w:rFonts w:hint="eastAsia"/>
                <w:b/>
                <w:color w:val="auto"/>
                <w:sz w:val="21"/>
                <w:szCs w:val="21"/>
              </w:rPr>
              <w:t>表</w:t>
            </w:r>
            <w:r>
              <w:rPr>
                <w:rFonts w:hint="eastAsia"/>
                <w:b/>
                <w:color w:val="auto"/>
                <w:sz w:val="21"/>
                <w:szCs w:val="21"/>
                <w:lang w:val="en-US" w:eastAsia="zh-CN"/>
              </w:rPr>
              <w:t>1-6</w:t>
            </w:r>
            <w:r>
              <w:rPr>
                <w:rFonts w:hint="eastAsia"/>
                <w:b/>
                <w:color w:val="auto"/>
                <w:sz w:val="21"/>
                <w:szCs w:val="21"/>
              </w:rPr>
              <w:t xml:space="preserve"> </w:t>
            </w:r>
            <w:r>
              <w:rPr>
                <w:rFonts w:hint="eastAsia"/>
                <w:b/>
                <w:bCs/>
                <w:color w:val="auto"/>
                <w:sz w:val="21"/>
                <w:szCs w:val="20"/>
                <w:u w:val="single"/>
                <w:lang w:eastAsia="zh-CN"/>
              </w:rPr>
              <w:t>现</w:t>
            </w:r>
            <w:r>
              <w:rPr>
                <w:rFonts w:hint="default" w:ascii="Times New Roman" w:hAnsi="Times New Roman" w:eastAsia="宋体"/>
                <w:b/>
                <w:bCs/>
                <w:color w:val="auto"/>
                <w:sz w:val="21"/>
                <w:szCs w:val="20"/>
                <w:u w:val="single"/>
              </w:rPr>
              <w:t>有项目</w:t>
            </w:r>
            <w:r>
              <w:rPr>
                <w:rFonts w:hint="eastAsia"/>
                <w:b/>
                <w:bCs/>
                <w:color w:val="auto"/>
                <w:sz w:val="21"/>
                <w:szCs w:val="20"/>
                <w:u w:val="none"/>
                <w:lang w:eastAsia="zh-CN"/>
              </w:rPr>
              <w:t>设备</w:t>
            </w:r>
            <w:r>
              <w:rPr>
                <w:rFonts w:hint="default" w:ascii="Times New Roman" w:hAnsi="Times New Roman" w:eastAsia="宋体"/>
                <w:b/>
                <w:bCs/>
                <w:color w:val="auto"/>
                <w:sz w:val="21"/>
                <w:szCs w:val="20"/>
                <w:u w:val="none"/>
              </w:rPr>
              <w:t>情况一览表</w:t>
            </w:r>
          </w:p>
          <w:tbl>
            <w:tblPr>
              <w:tblStyle w:val="23"/>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070"/>
              <w:gridCol w:w="1305"/>
              <w:gridCol w:w="1290"/>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序号</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设备名称</w:t>
                  </w:r>
                </w:p>
              </w:tc>
              <w:tc>
                <w:tcPr>
                  <w:tcW w:w="130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单位</w:t>
                  </w:r>
                </w:p>
              </w:tc>
              <w:tc>
                <w:tcPr>
                  <w:tcW w:w="129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数量</w:t>
                  </w:r>
                </w:p>
              </w:tc>
              <w:tc>
                <w:tcPr>
                  <w:tcW w:w="2622"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剖篾机</w:t>
                  </w:r>
                </w:p>
              </w:tc>
              <w:tc>
                <w:tcPr>
                  <w:tcW w:w="130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台</w:t>
                  </w:r>
                </w:p>
              </w:tc>
              <w:tc>
                <w:tcPr>
                  <w:tcW w:w="129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w:t>
                  </w:r>
                </w:p>
              </w:tc>
              <w:tc>
                <w:tcPr>
                  <w:tcW w:w="2622"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备料工序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宋体" w:hAnsi="宋体" w:eastAsia="宋体"/>
                      <w:color w:val="auto"/>
                      <w:kern w:val="0"/>
                      <w:sz w:val="21"/>
                    </w:rPr>
                    <w:t>编织机</w:t>
                  </w:r>
                </w:p>
              </w:tc>
              <w:tc>
                <w:tcPr>
                  <w:tcW w:w="130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eastAsia="zh-CN"/>
                    </w:rPr>
                    <w:t>台</w:t>
                  </w:r>
                </w:p>
              </w:tc>
              <w:tc>
                <w:tcPr>
                  <w:tcW w:w="129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20</w:t>
                  </w:r>
                </w:p>
              </w:tc>
              <w:tc>
                <w:tcPr>
                  <w:tcW w:w="262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旋（刨）切工段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宋体" w:hAnsi="宋体" w:eastAsia="宋体"/>
                      <w:color w:val="auto"/>
                      <w:kern w:val="0"/>
                      <w:sz w:val="21"/>
                    </w:rPr>
                    <w:t>干燥窑</w:t>
                  </w:r>
                </w:p>
              </w:tc>
              <w:tc>
                <w:tcPr>
                  <w:tcW w:w="130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个</w:t>
                  </w:r>
                </w:p>
              </w:tc>
              <w:tc>
                <w:tcPr>
                  <w:tcW w:w="129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w:t>
                  </w:r>
                </w:p>
              </w:tc>
              <w:tc>
                <w:tcPr>
                  <w:tcW w:w="262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单板/锯材干燥工段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宋体" w:hAnsi="宋体" w:eastAsia="宋体"/>
                      <w:color w:val="auto"/>
                      <w:kern w:val="0"/>
                      <w:sz w:val="21"/>
                    </w:rPr>
                    <w:t>浸胶池</w:t>
                  </w:r>
                </w:p>
              </w:tc>
              <w:tc>
                <w:tcPr>
                  <w:tcW w:w="130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个</w:t>
                  </w:r>
                </w:p>
              </w:tc>
              <w:tc>
                <w:tcPr>
                  <w:tcW w:w="129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p>
              </w:tc>
              <w:tc>
                <w:tcPr>
                  <w:tcW w:w="262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调胶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宋体" w:hAnsi="宋体" w:eastAsia="宋体"/>
                      <w:color w:val="auto"/>
                      <w:kern w:val="0"/>
                      <w:sz w:val="21"/>
                    </w:rPr>
                    <w:t>浸胶池</w:t>
                  </w:r>
                </w:p>
              </w:tc>
              <w:tc>
                <w:tcPr>
                  <w:tcW w:w="130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eastAsia="zh-CN"/>
                    </w:rPr>
                    <w:t>个</w:t>
                  </w:r>
                </w:p>
              </w:tc>
              <w:tc>
                <w:tcPr>
                  <w:tcW w:w="129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p>
              </w:tc>
              <w:tc>
                <w:tcPr>
                  <w:tcW w:w="262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涂（淋）胶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宋体" w:hAnsi="宋体" w:eastAsia="宋体"/>
                      <w:color w:val="auto"/>
                      <w:kern w:val="0"/>
                      <w:sz w:val="21"/>
                    </w:rPr>
                    <w:t>热压机</w:t>
                  </w:r>
                </w:p>
              </w:tc>
              <w:tc>
                <w:tcPr>
                  <w:tcW w:w="130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台</w:t>
                  </w:r>
                </w:p>
              </w:tc>
              <w:tc>
                <w:tcPr>
                  <w:tcW w:w="129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w:t>
                  </w:r>
                </w:p>
              </w:tc>
              <w:tc>
                <w:tcPr>
                  <w:tcW w:w="262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olor w:val="auto"/>
                      <w:sz w:val="21"/>
                      <w:szCs w:val="21"/>
                    </w:rPr>
                  </w:pPr>
                  <w:r>
                    <w:rPr>
                      <w:rFonts w:hint="eastAsia" w:ascii="宋体" w:hAnsi="宋体" w:eastAsia="宋体"/>
                      <w:color w:val="auto"/>
                      <w:sz w:val="21"/>
                    </w:rPr>
                    <w:t>热压</w:t>
                  </w:r>
                  <w:r>
                    <w:rPr>
                      <w:rFonts w:hint="eastAsia" w:ascii="Times New Roman" w:hAnsi="Times New Roman" w:eastAsia="宋体"/>
                      <w:color w:val="auto"/>
                      <w:sz w:val="21"/>
                      <w:szCs w:val="21"/>
                    </w:rPr>
                    <w:t>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锯机</w:t>
                  </w:r>
                </w:p>
              </w:tc>
              <w:tc>
                <w:tcPr>
                  <w:tcW w:w="130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台</w:t>
                  </w:r>
                </w:p>
              </w:tc>
              <w:tc>
                <w:tcPr>
                  <w:tcW w:w="129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w:t>
                  </w:r>
                </w:p>
              </w:tc>
              <w:tc>
                <w:tcPr>
                  <w:tcW w:w="2622" w:type="dxa"/>
                  <w:vAlign w:val="center"/>
                </w:tcPr>
                <w:p>
                  <w:pPr>
                    <w:spacing w:beforeLines="0" w:afterLines="0"/>
                    <w:jc w:val="center"/>
                    <w:rPr>
                      <w:rFonts w:hint="eastAsia" w:ascii="Times New Roman" w:hAnsi="Times New Roman" w:eastAsia="宋体" w:cs="Times New Roman"/>
                      <w:color w:val="auto"/>
                      <w:sz w:val="21"/>
                      <w:szCs w:val="21"/>
                      <w:lang w:eastAsia="zh-CN"/>
                    </w:rPr>
                  </w:pPr>
                  <w:r>
                    <w:rPr>
                      <w:rFonts w:hint="eastAsia" w:ascii="宋体" w:hAnsi="宋体" w:eastAsia="宋体"/>
                      <w:color w:val="auto"/>
                      <w:sz w:val="21"/>
                    </w:rPr>
                    <w:t>后处理工段</w:t>
                  </w:r>
                  <w:r>
                    <w:rPr>
                      <w:rFonts w:hint="eastAsia" w:ascii="宋体" w:hAnsi="宋体" w:eastAsia="宋体"/>
                      <w:color w:val="auto"/>
                      <w:sz w:val="21"/>
                      <w:lang w:eastAsia="zh-CN"/>
                    </w:rPr>
                    <w:t>（锯切）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8</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锅炉</w:t>
                  </w:r>
                </w:p>
              </w:tc>
              <w:tc>
                <w:tcPr>
                  <w:tcW w:w="130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eastAsia="zh-CN"/>
                    </w:rPr>
                    <w:t>台</w:t>
                  </w:r>
                </w:p>
              </w:tc>
              <w:tc>
                <w:tcPr>
                  <w:tcW w:w="129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w:t>
                  </w:r>
                </w:p>
              </w:tc>
              <w:tc>
                <w:tcPr>
                  <w:tcW w:w="2622" w:type="dxa"/>
                  <w:vAlign w:val="center"/>
                </w:tcPr>
                <w:p>
                  <w:pPr>
                    <w:spacing w:beforeLines="0" w:afterLines="0"/>
                    <w:jc w:val="center"/>
                    <w:rPr>
                      <w:rFonts w:hint="default" w:ascii="宋体" w:hAnsi="宋体" w:eastAsia="宋体"/>
                      <w:color w:val="auto"/>
                      <w:sz w:val="21"/>
                      <w:lang w:val="en-US" w:eastAsia="zh-CN"/>
                    </w:rPr>
                  </w:pPr>
                  <w:r>
                    <w:rPr>
                      <w:rFonts w:hint="eastAsia" w:ascii="宋体" w:hAnsi="宋体" w:eastAsia="宋体"/>
                      <w:color w:val="auto"/>
                      <w:sz w:val="21"/>
                      <w:lang w:val="en-US" w:eastAsia="zh-CN"/>
                    </w:rPr>
                    <w:t>4t/h燃生物质锅炉</w:t>
                  </w:r>
                </w:p>
              </w:tc>
            </w:tr>
          </w:tbl>
          <w:p>
            <w:pPr>
              <w:adjustRightInd w:val="0"/>
              <w:snapToGrid w:val="0"/>
              <w:spacing w:line="360" w:lineRule="auto"/>
              <w:ind w:firstLine="480" w:firstLineChars="200"/>
              <w:rPr>
                <w:rFonts w:hint="eastAsia"/>
                <w:bCs/>
                <w:color w:val="auto"/>
                <w:sz w:val="24"/>
                <w:szCs w:val="24"/>
                <w:lang w:eastAsia="zh-CN"/>
              </w:rPr>
            </w:pPr>
          </w:p>
          <w:p>
            <w:pPr>
              <w:adjustRightInd w:val="0"/>
              <w:snapToGrid w:val="0"/>
              <w:spacing w:line="360" w:lineRule="auto"/>
              <w:ind w:firstLine="480" w:firstLineChars="200"/>
              <w:rPr>
                <w:rFonts w:hint="eastAsia" w:eastAsia="宋体"/>
                <w:bCs/>
                <w:color w:val="auto"/>
                <w:sz w:val="24"/>
                <w:szCs w:val="24"/>
                <w:lang w:eastAsia="zh-CN"/>
              </w:rPr>
            </w:pPr>
            <w:r>
              <w:rPr>
                <w:rFonts w:hint="eastAsia"/>
                <w:bCs/>
                <w:color w:val="auto"/>
                <w:sz w:val="24"/>
                <w:szCs w:val="24"/>
                <w:lang w:eastAsia="zh-CN"/>
              </w:rPr>
              <w:t>现有项目原辅材料使用情况见下表：</w:t>
            </w:r>
          </w:p>
          <w:p>
            <w:pPr>
              <w:spacing w:line="360" w:lineRule="auto"/>
              <w:ind w:firstLine="482"/>
              <w:jc w:val="center"/>
              <w:rPr>
                <w:rFonts w:hint="eastAsia" w:asciiTheme="minorEastAsia" w:hAnsiTheme="minorEastAsia" w:eastAsiaTheme="minorEastAsia" w:cstheme="minorEastAsia"/>
                <w:b w:val="0"/>
                <w:bCs/>
                <w:color w:val="auto"/>
                <w:sz w:val="24"/>
                <w:szCs w:val="24"/>
                <w:u w:val="none"/>
                <w:lang w:eastAsia="zh-CN"/>
              </w:rPr>
            </w:pPr>
            <w:r>
              <w:rPr>
                <w:rFonts w:hint="eastAsia"/>
                <w:b/>
                <w:color w:val="auto"/>
                <w:sz w:val="21"/>
                <w:szCs w:val="21"/>
              </w:rPr>
              <w:t>表</w:t>
            </w:r>
            <w:r>
              <w:rPr>
                <w:rFonts w:hint="eastAsia"/>
                <w:b/>
                <w:color w:val="auto"/>
                <w:sz w:val="21"/>
                <w:szCs w:val="21"/>
                <w:lang w:val="en-US" w:eastAsia="zh-CN"/>
              </w:rPr>
              <w:t>1-7</w:t>
            </w:r>
            <w:r>
              <w:rPr>
                <w:rFonts w:hint="eastAsia"/>
                <w:b/>
                <w:color w:val="auto"/>
                <w:sz w:val="21"/>
                <w:szCs w:val="21"/>
              </w:rPr>
              <w:t xml:space="preserve"> </w:t>
            </w:r>
            <w:r>
              <w:rPr>
                <w:rFonts w:hint="eastAsia"/>
                <w:b/>
                <w:bCs/>
                <w:color w:val="auto"/>
                <w:sz w:val="21"/>
                <w:szCs w:val="20"/>
                <w:u w:val="single"/>
                <w:lang w:eastAsia="zh-CN"/>
              </w:rPr>
              <w:t>现</w:t>
            </w:r>
            <w:r>
              <w:rPr>
                <w:rFonts w:hint="default" w:ascii="Times New Roman" w:hAnsi="Times New Roman" w:eastAsia="宋体"/>
                <w:b/>
                <w:bCs/>
                <w:color w:val="auto"/>
                <w:sz w:val="21"/>
                <w:szCs w:val="20"/>
                <w:u w:val="single"/>
              </w:rPr>
              <w:t>有项目</w:t>
            </w:r>
            <w:r>
              <w:rPr>
                <w:rFonts w:hint="default" w:ascii="Times New Roman" w:hAnsi="Times New Roman" w:eastAsia="宋体"/>
                <w:b/>
                <w:bCs/>
                <w:color w:val="auto"/>
                <w:sz w:val="21"/>
                <w:szCs w:val="20"/>
                <w:u w:val="none"/>
              </w:rPr>
              <w:t>原辅材料使用情况一览表</w:t>
            </w:r>
          </w:p>
          <w:tbl>
            <w:tblPr>
              <w:tblStyle w:val="23"/>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070"/>
              <w:gridCol w:w="1812"/>
              <w:gridCol w:w="169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序号</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设备名称</w:t>
                  </w:r>
                </w:p>
              </w:tc>
              <w:tc>
                <w:tcPr>
                  <w:tcW w:w="1812"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单位</w:t>
                  </w:r>
                </w:p>
              </w:tc>
              <w:tc>
                <w:tcPr>
                  <w:tcW w:w="169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数量</w:t>
                  </w:r>
                </w:p>
              </w:tc>
              <w:tc>
                <w:tcPr>
                  <w:tcW w:w="171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楠竹</w:t>
                  </w:r>
                </w:p>
              </w:tc>
              <w:tc>
                <w:tcPr>
                  <w:tcW w:w="1812"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w:t>
                  </w:r>
                  <w:r>
                    <w:rPr>
                      <w:rFonts w:hint="eastAsia" w:ascii="Times New Roman" w:hAnsi="Times New Roman" w:cs="Times New Roman"/>
                      <w:color w:val="auto"/>
                      <w:kern w:val="0"/>
                      <w:sz w:val="21"/>
                      <w:szCs w:val="21"/>
                      <w:vertAlign w:val="superscript"/>
                      <w:lang w:val="en-US" w:eastAsia="zh-CN"/>
                    </w:rPr>
                    <w:t>3</w:t>
                  </w:r>
                  <w:r>
                    <w:rPr>
                      <w:rFonts w:hint="eastAsia" w:ascii="Times New Roman" w:hAnsi="Times New Roman" w:cs="Times New Roman"/>
                      <w:color w:val="auto"/>
                      <w:kern w:val="0"/>
                      <w:sz w:val="21"/>
                      <w:szCs w:val="21"/>
                      <w:lang w:val="en-US" w:eastAsia="zh-CN"/>
                    </w:rPr>
                    <w:t>/a</w:t>
                  </w:r>
                </w:p>
              </w:tc>
              <w:tc>
                <w:tcPr>
                  <w:tcW w:w="169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2400</w:t>
                  </w:r>
                </w:p>
              </w:tc>
              <w:tc>
                <w:tcPr>
                  <w:tcW w:w="171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酚醛树脂</w:t>
                  </w:r>
                </w:p>
              </w:tc>
              <w:tc>
                <w:tcPr>
                  <w:tcW w:w="1812"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t/a</w:t>
                  </w:r>
                </w:p>
              </w:tc>
              <w:tc>
                <w:tcPr>
                  <w:tcW w:w="169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200</w:t>
                  </w:r>
                </w:p>
              </w:tc>
              <w:tc>
                <w:tcPr>
                  <w:tcW w:w="171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w:t>
                  </w:r>
                </w:p>
              </w:tc>
              <w:tc>
                <w:tcPr>
                  <w:tcW w:w="2070"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生物质燃料</w:t>
                  </w:r>
                </w:p>
              </w:tc>
              <w:tc>
                <w:tcPr>
                  <w:tcW w:w="1812"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bidi="ar-SA"/>
                    </w:rPr>
                    <w:t>t/a</w:t>
                  </w:r>
                </w:p>
              </w:tc>
              <w:tc>
                <w:tcPr>
                  <w:tcW w:w="1695" w:type="dxa"/>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u w:val="single"/>
                      <w:lang w:val="en-US" w:eastAsia="zh-CN"/>
                    </w:rPr>
                    <w:t>829</w:t>
                  </w:r>
                </w:p>
              </w:tc>
              <w:tc>
                <w:tcPr>
                  <w:tcW w:w="171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olor w:val="auto"/>
                      <w:sz w:val="21"/>
                      <w:szCs w:val="21"/>
                    </w:rPr>
                  </w:pPr>
                  <w:r>
                    <w:rPr>
                      <w:rFonts w:hint="eastAsia" w:cs="Times New Roman"/>
                      <w:color w:val="auto"/>
                      <w:sz w:val="21"/>
                      <w:szCs w:val="21"/>
                      <w:lang w:val="en-US" w:eastAsia="zh-CN" w:bidi="ar-SA"/>
                    </w:rPr>
                    <w:t>/</w:t>
                  </w:r>
                </w:p>
              </w:tc>
            </w:tr>
          </w:tbl>
          <w:p>
            <w:pPr>
              <w:pStyle w:val="2"/>
              <w:rPr>
                <w:color w:val="auto"/>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Cs/>
                <w:color w:val="auto"/>
                <w:sz w:val="24"/>
                <w:szCs w:val="24"/>
                <w:u w:val="single"/>
              </w:rPr>
            </w:pPr>
            <w:r>
              <w:rPr>
                <w:rFonts w:hint="eastAsia"/>
                <w:bCs/>
                <w:color w:val="auto"/>
                <w:sz w:val="24"/>
                <w:szCs w:val="24"/>
                <w:u w:val="single"/>
              </w:rPr>
              <w:t>劳动定员、工作制度</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Cs/>
                <w:color w:val="auto"/>
                <w:sz w:val="24"/>
                <w:szCs w:val="24"/>
                <w:u w:val="single"/>
              </w:rPr>
            </w:pPr>
            <w:r>
              <w:rPr>
                <w:rFonts w:hint="eastAsia"/>
                <w:bCs/>
                <w:color w:val="auto"/>
                <w:sz w:val="24"/>
                <w:szCs w:val="24"/>
                <w:u w:val="single"/>
              </w:rPr>
              <w:t>现有工程劳动定员</w:t>
            </w:r>
            <w:r>
              <w:rPr>
                <w:rFonts w:hint="eastAsia"/>
                <w:bCs/>
                <w:color w:val="auto"/>
                <w:sz w:val="24"/>
                <w:szCs w:val="24"/>
                <w:u w:val="single"/>
                <w:lang w:val="en-US" w:eastAsia="zh-CN"/>
              </w:rPr>
              <w:t>2</w:t>
            </w:r>
            <w:r>
              <w:rPr>
                <w:rFonts w:hint="eastAsia"/>
                <w:bCs/>
                <w:color w:val="auto"/>
                <w:sz w:val="24"/>
                <w:szCs w:val="24"/>
                <w:u w:val="single"/>
              </w:rPr>
              <w:t>0人，工作制度为</w:t>
            </w:r>
            <w:r>
              <w:rPr>
                <w:rFonts w:hint="eastAsia"/>
                <w:bCs/>
                <w:color w:val="auto"/>
                <w:sz w:val="24"/>
                <w:szCs w:val="24"/>
                <w:u w:val="single"/>
                <w:lang w:val="en-US" w:eastAsia="zh-CN"/>
              </w:rPr>
              <w:t>1</w:t>
            </w:r>
            <w:r>
              <w:rPr>
                <w:rFonts w:hint="eastAsia"/>
                <w:bCs/>
                <w:color w:val="auto"/>
                <w:sz w:val="24"/>
                <w:szCs w:val="24"/>
                <w:u w:val="single"/>
              </w:rPr>
              <w:t>班8小时制，年工作300天。</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Cs/>
                <w:color w:val="auto"/>
                <w:sz w:val="24"/>
                <w:szCs w:val="24"/>
                <w:lang w:eastAsia="zh-CN"/>
              </w:rPr>
            </w:pPr>
            <w:r>
              <w:rPr>
                <w:rFonts w:hint="eastAsia"/>
                <w:bCs/>
                <w:color w:val="auto"/>
                <w:sz w:val="24"/>
                <w:szCs w:val="24"/>
              </w:rPr>
              <w:t>现有项目</w:t>
            </w:r>
            <w:r>
              <w:rPr>
                <w:rFonts w:hint="eastAsia"/>
                <w:bCs/>
                <w:color w:val="auto"/>
                <w:sz w:val="24"/>
                <w:szCs w:val="24"/>
                <w:lang w:eastAsia="zh-CN"/>
              </w:rPr>
              <w:t>工艺流程图如下所示：</w:t>
            </w:r>
          </w:p>
          <w:p>
            <w:pPr>
              <w:pStyle w:val="2"/>
              <w:ind w:firstLine="480" w:firstLineChars="200"/>
              <w:rPr>
                <w:color w:val="auto"/>
              </w:rPr>
            </w:pPr>
            <w:r>
              <w:rPr>
                <w:color w:val="auto"/>
              </w:rPr>
              <w:drawing>
                <wp:inline distT="0" distB="0" distL="114300" distR="114300">
                  <wp:extent cx="5231130" cy="2390140"/>
                  <wp:effectExtent l="0" t="0" r="7620" b="1016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7"/>
                          <a:srcRect t="5469" b="13239"/>
                          <a:stretch>
                            <a:fillRect/>
                          </a:stretch>
                        </pic:blipFill>
                        <pic:spPr>
                          <a:xfrm>
                            <a:off x="0" y="0"/>
                            <a:ext cx="5231130" cy="2390140"/>
                          </a:xfrm>
                          <a:prstGeom prst="rect">
                            <a:avLst/>
                          </a:prstGeom>
                          <a:noFill/>
                          <a:ln>
                            <a:noFill/>
                          </a:ln>
                        </pic:spPr>
                      </pic:pic>
                    </a:graphicData>
                  </a:graphic>
                </wp:inline>
              </w:drawing>
            </w:r>
          </w:p>
          <w:p>
            <w:pPr>
              <w:pStyle w:val="2"/>
              <w:ind w:firstLine="422" w:firstLineChars="200"/>
              <w:jc w:val="center"/>
              <w:rPr>
                <w:rFonts w:hint="default"/>
                <w:b/>
                <w:bCs/>
                <w:color w:val="auto"/>
                <w:sz w:val="21"/>
                <w:szCs w:val="21"/>
                <w:lang w:val="en-US" w:eastAsia="zh-CN"/>
              </w:rPr>
            </w:pPr>
            <w:r>
              <w:rPr>
                <w:rFonts w:hint="eastAsia"/>
                <w:b/>
                <w:bCs/>
                <w:color w:val="auto"/>
                <w:sz w:val="21"/>
                <w:szCs w:val="21"/>
                <w:lang w:eastAsia="zh-CN"/>
              </w:rPr>
              <w:t>图</w:t>
            </w:r>
            <w:r>
              <w:rPr>
                <w:rFonts w:hint="eastAsia"/>
                <w:b/>
                <w:bCs/>
                <w:color w:val="auto"/>
                <w:sz w:val="21"/>
                <w:szCs w:val="21"/>
                <w:lang w:val="en-US" w:eastAsia="zh-CN"/>
              </w:rPr>
              <w:t>1-1 现有项目工艺流程图</w:t>
            </w:r>
          </w:p>
          <w:p>
            <w:pPr>
              <w:adjustRightInd w:val="0"/>
              <w:snapToGrid w:val="0"/>
              <w:spacing w:line="360" w:lineRule="auto"/>
              <w:ind w:firstLine="480" w:firstLineChars="200"/>
              <w:rPr>
                <w:rFonts w:hint="eastAsia"/>
                <w:bCs/>
                <w:color w:val="auto"/>
                <w:sz w:val="24"/>
                <w:szCs w:val="24"/>
                <w:lang w:eastAsia="zh-CN"/>
              </w:rPr>
            </w:pPr>
            <w:r>
              <w:rPr>
                <w:rFonts w:hint="eastAsia"/>
                <w:bCs/>
                <w:color w:val="auto"/>
                <w:sz w:val="24"/>
                <w:szCs w:val="24"/>
                <w:lang w:eastAsia="zh-CN"/>
              </w:rPr>
              <w:t>工艺流程简述：</w:t>
            </w:r>
          </w:p>
          <w:p>
            <w:pPr>
              <w:pStyle w:val="2"/>
              <w:numPr>
                <w:ilvl w:val="0"/>
                <w:numId w:val="2"/>
              </w:numPr>
              <w:spacing w:line="360" w:lineRule="auto"/>
              <w:ind w:firstLine="480" w:firstLineChars="200"/>
              <w:rPr>
                <w:rFonts w:hint="eastAsia"/>
                <w:color w:val="auto"/>
                <w:lang w:eastAsia="zh-CN"/>
              </w:rPr>
            </w:pPr>
            <w:r>
              <w:rPr>
                <w:rFonts w:hint="eastAsia"/>
                <w:color w:val="auto"/>
                <w:lang w:eastAsia="zh-CN"/>
              </w:rPr>
              <w:t>剖篾：</w:t>
            </w:r>
            <w:r>
              <w:rPr>
                <w:rFonts w:hint="eastAsia"/>
                <w:bCs/>
                <w:color w:val="auto"/>
                <w:sz w:val="24"/>
                <w:szCs w:val="24"/>
              </w:rPr>
              <w:t>首先外购的</w:t>
            </w:r>
            <w:r>
              <w:rPr>
                <w:rFonts w:hint="eastAsia"/>
                <w:bCs/>
                <w:color w:val="auto"/>
                <w:sz w:val="24"/>
                <w:szCs w:val="24"/>
                <w:lang w:eastAsia="zh-CN"/>
              </w:rPr>
              <w:t>楠竹</w:t>
            </w:r>
            <w:r>
              <w:rPr>
                <w:rFonts w:hint="eastAsia"/>
                <w:bCs/>
                <w:color w:val="auto"/>
                <w:sz w:val="24"/>
                <w:szCs w:val="24"/>
              </w:rPr>
              <w:t>用叉车从库房运到</w:t>
            </w:r>
            <w:r>
              <w:rPr>
                <w:rFonts w:hint="eastAsia"/>
                <w:color w:val="auto"/>
                <w:lang w:eastAsia="zh-CN"/>
              </w:rPr>
              <w:t>剖篾</w:t>
            </w:r>
            <w:r>
              <w:rPr>
                <w:rFonts w:hint="eastAsia"/>
                <w:bCs/>
                <w:color w:val="auto"/>
                <w:sz w:val="24"/>
                <w:szCs w:val="24"/>
              </w:rPr>
              <w:t>车间分类堆放</w:t>
            </w:r>
            <w:r>
              <w:rPr>
                <w:rFonts w:hint="eastAsia"/>
                <w:bCs/>
                <w:color w:val="auto"/>
                <w:sz w:val="24"/>
                <w:szCs w:val="24"/>
                <w:lang w:eastAsia="zh-CN"/>
              </w:rPr>
              <w:t>，用</w:t>
            </w:r>
            <w:r>
              <w:rPr>
                <w:rFonts w:hint="eastAsia"/>
                <w:color w:val="auto"/>
                <w:lang w:eastAsia="zh-CN"/>
              </w:rPr>
              <w:t>剖篾机将楠竹剖篾出生产需要的规格。</w:t>
            </w:r>
          </w:p>
          <w:p>
            <w:pPr>
              <w:pStyle w:val="2"/>
              <w:numPr>
                <w:ilvl w:val="0"/>
                <w:numId w:val="2"/>
              </w:numPr>
              <w:spacing w:line="360" w:lineRule="auto"/>
              <w:ind w:firstLine="480" w:firstLineChars="200"/>
              <w:rPr>
                <w:rFonts w:hint="eastAsia"/>
                <w:color w:val="auto"/>
                <w:lang w:eastAsia="zh-CN"/>
              </w:rPr>
            </w:pPr>
            <w:r>
              <w:rPr>
                <w:rFonts w:hint="eastAsia"/>
                <w:color w:val="auto"/>
                <w:lang w:eastAsia="zh-CN"/>
              </w:rPr>
              <w:t>编织：将剖篾好的楠竹用编织机进行编织。</w:t>
            </w:r>
          </w:p>
          <w:p>
            <w:pPr>
              <w:pStyle w:val="2"/>
              <w:numPr>
                <w:ilvl w:val="0"/>
                <w:numId w:val="2"/>
              </w:numPr>
              <w:spacing w:line="360" w:lineRule="auto"/>
              <w:ind w:firstLine="480" w:firstLineChars="200"/>
              <w:rPr>
                <w:rFonts w:hint="eastAsia"/>
                <w:color w:val="auto"/>
                <w:lang w:eastAsia="zh-CN"/>
              </w:rPr>
            </w:pPr>
            <w:r>
              <w:rPr>
                <w:rFonts w:hint="eastAsia"/>
                <w:color w:val="auto"/>
                <w:lang w:eastAsia="zh-CN"/>
              </w:rPr>
              <w:t>干燥：编织好的半成品送入干燥窑内进行干燥，</w:t>
            </w:r>
            <w:r>
              <w:rPr>
                <w:rFonts w:hint="eastAsia"/>
                <w:bCs/>
                <w:color w:val="auto"/>
                <w:sz w:val="24"/>
                <w:szCs w:val="24"/>
              </w:rPr>
              <w:t>干燥后含水率</w:t>
            </w:r>
            <w:r>
              <w:rPr>
                <w:rFonts w:hint="eastAsia"/>
                <w:bCs/>
                <w:color w:val="auto"/>
                <w:sz w:val="24"/>
                <w:szCs w:val="24"/>
                <w:lang w:eastAsia="zh-CN"/>
              </w:rPr>
              <w:t>约</w:t>
            </w:r>
            <w:r>
              <w:rPr>
                <w:rFonts w:hint="eastAsia"/>
                <w:bCs/>
                <w:color w:val="auto"/>
                <w:sz w:val="24"/>
                <w:szCs w:val="24"/>
              </w:rPr>
              <w:t>为8%</w:t>
            </w:r>
            <w:r>
              <w:rPr>
                <w:rFonts w:hint="eastAsia"/>
                <w:bCs/>
                <w:color w:val="auto"/>
                <w:sz w:val="24"/>
                <w:szCs w:val="24"/>
                <w:lang w:eastAsia="zh-CN"/>
              </w:rPr>
              <w:t>。</w:t>
            </w:r>
          </w:p>
          <w:p>
            <w:pPr>
              <w:pStyle w:val="2"/>
              <w:numPr>
                <w:ilvl w:val="0"/>
                <w:numId w:val="2"/>
              </w:numPr>
              <w:spacing w:line="360" w:lineRule="auto"/>
              <w:ind w:firstLine="480" w:firstLineChars="200"/>
              <w:rPr>
                <w:rFonts w:hint="eastAsia"/>
                <w:color w:val="auto"/>
                <w:lang w:eastAsia="zh-CN"/>
              </w:rPr>
            </w:pPr>
            <w:r>
              <w:rPr>
                <w:rFonts w:hint="eastAsia"/>
                <w:bCs/>
                <w:color w:val="auto"/>
                <w:sz w:val="24"/>
                <w:szCs w:val="24"/>
                <w:lang w:eastAsia="zh-CN"/>
              </w:rPr>
              <w:t>调胶：</w:t>
            </w:r>
            <w:r>
              <w:rPr>
                <w:rFonts w:hint="eastAsia"/>
                <w:bCs/>
                <w:color w:val="auto"/>
                <w:sz w:val="24"/>
                <w:szCs w:val="24"/>
              </w:rPr>
              <w:t>将酚醛树脂胶按照配比进行调配，调胶工序在浸胶池中进行。</w:t>
            </w:r>
          </w:p>
          <w:p>
            <w:pPr>
              <w:pStyle w:val="2"/>
              <w:numPr>
                <w:ilvl w:val="0"/>
                <w:numId w:val="2"/>
              </w:numPr>
              <w:spacing w:line="360" w:lineRule="auto"/>
              <w:ind w:firstLine="480" w:firstLineChars="200"/>
              <w:rPr>
                <w:rFonts w:hint="eastAsia"/>
                <w:color w:val="auto"/>
                <w:lang w:eastAsia="zh-CN"/>
              </w:rPr>
            </w:pPr>
            <w:r>
              <w:rPr>
                <w:rFonts w:hint="eastAsia"/>
                <w:bCs/>
                <w:color w:val="auto"/>
                <w:sz w:val="24"/>
                <w:szCs w:val="24"/>
              </w:rPr>
              <w:t>浸胶</w:t>
            </w:r>
            <w:r>
              <w:rPr>
                <w:rFonts w:hint="eastAsia"/>
                <w:bCs/>
                <w:color w:val="auto"/>
                <w:sz w:val="24"/>
                <w:szCs w:val="24"/>
                <w:lang w:eastAsia="zh-CN"/>
              </w:rPr>
              <w:t>：</w:t>
            </w:r>
            <w:r>
              <w:rPr>
                <w:rFonts w:hint="eastAsia"/>
                <w:bCs/>
                <w:color w:val="auto"/>
                <w:sz w:val="24"/>
                <w:szCs w:val="24"/>
              </w:rPr>
              <w:t>将干燥好的</w:t>
            </w:r>
            <w:r>
              <w:rPr>
                <w:rFonts w:hint="eastAsia"/>
                <w:bCs/>
                <w:color w:val="auto"/>
                <w:sz w:val="24"/>
                <w:szCs w:val="24"/>
                <w:lang w:eastAsia="zh-CN"/>
              </w:rPr>
              <w:t>半成品</w:t>
            </w:r>
            <w:r>
              <w:rPr>
                <w:rFonts w:hint="eastAsia"/>
                <w:bCs/>
                <w:color w:val="auto"/>
                <w:sz w:val="24"/>
                <w:szCs w:val="24"/>
              </w:rPr>
              <w:t>送到浸胶池进行浸胶处理，胶料采用酚醛树脂胶，待胶液完全浸透后将其提起沥干胶液后再送到</w:t>
            </w:r>
            <w:r>
              <w:rPr>
                <w:rFonts w:hint="eastAsia"/>
                <w:bCs/>
                <w:color w:val="auto"/>
                <w:sz w:val="24"/>
                <w:szCs w:val="24"/>
                <w:lang w:eastAsia="zh-CN"/>
              </w:rPr>
              <w:t>热压机内进行热压</w:t>
            </w:r>
            <w:r>
              <w:rPr>
                <w:rFonts w:hint="eastAsia"/>
                <w:bCs/>
                <w:color w:val="auto"/>
                <w:sz w:val="24"/>
                <w:szCs w:val="24"/>
              </w:rPr>
              <w:t>处理。</w:t>
            </w:r>
          </w:p>
          <w:p>
            <w:pPr>
              <w:pStyle w:val="2"/>
              <w:numPr>
                <w:ilvl w:val="0"/>
                <w:numId w:val="2"/>
              </w:numPr>
              <w:spacing w:line="360" w:lineRule="auto"/>
              <w:ind w:firstLine="480" w:firstLineChars="200"/>
              <w:rPr>
                <w:rFonts w:hint="eastAsia"/>
                <w:color w:val="auto"/>
                <w:lang w:eastAsia="zh-CN"/>
              </w:rPr>
            </w:pPr>
            <w:r>
              <w:rPr>
                <w:rFonts w:hint="eastAsia"/>
                <w:bCs/>
                <w:color w:val="auto"/>
                <w:sz w:val="24"/>
                <w:szCs w:val="24"/>
              </w:rPr>
              <w:t>热压</w:t>
            </w:r>
            <w:r>
              <w:rPr>
                <w:rFonts w:hint="eastAsia"/>
                <w:bCs/>
                <w:color w:val="auto"/>
                <w:sz w:val="24"/>
                <w:szCs w:val="24"/>
                <w:lang w:eastAsia="zh-CN"/>
              </w:rPr>
              <w:t>：浸好胶的半成品</w:t>
            </w:r>
            <w:r>
              <w:rPr>
                <w:rFonts w:hint="eastAsia"/>
                <w:bCs/>
                <w:color w:val="auto"/>
                <w:sz w:val="24"/>
                <w:szCs w:val="24"/>
              </w:rPr>
              <w:t>运至热压机按规定的热压曲线进行热压胶合。</w:t>
            </w:r>
          </w:p>
          <w:p>
            <w:pPr>
              <w:pStyle w:val="2"/>
              <w:numPr>
                <w:ilvl w:val="0"/>
                <w:numId w:val="2"/>
              </w:numPr>
              <w:spacing w:line="360" w:lineRule="auto"/>
              <w:ind w:firstLine="480" w:firstLineChars="200"/>
              <w:rPr>
                <w:rFonts w:hint="eastAsia"/>
                <w:color w:val="auto"/>
                <w:lang w:eastAsia="zh-CN"/>
              </w:rPr>
            </w:pPr>
            <w:r>
              <w:rPr>
                <w:rFonts w:hint="eastAsia"/>
                <w:bCs/>
                <w:color w:val="auto"/>
                <w:sz w:val="24"/>
                <w:szCs w:val="24"/>
              </w:rPr>
              <w:t>锯边：完成了热压胶合的毛板经堆放一段时间后直接采用锯边机进行锯边加工，使毛板达到所要求的规格。</w:t>
            </w:r>
          </w:p>
          <w:p>
            <w:pPr>
              <w:pStyle w:val="2"/>
              <w:numPr>
                <w:ilvl w:val="0"/>
                <w:numId w:val="2"/>
              </w:numPr>
              <w:spacing w:line="360" w:lineRule="auto"/>
              <w:ind w:firstLine="480" w:firstLineChars="200"/>
              <w:rPr>
                <w:rFonts w:hint="eastAsia"/>
                <w:color w:val="auto"/>
                <w:lang w:eastAsia="zh-CN"/>
              </w:rPr>
            </w:pPr>
            <w:r>
              <w:rPr>
                <w:rFonts w:hint="eastAsia"/>
                <w:bCs/>
                <w:color w:val="auto"/>
                <w:sz w:val="24"/>
                <w:szCs w:val="24"/>
                <w:lang w:eastAsia="zh-CN"/>
              </w:rPr>
              <w:t>封板入库：将成品封板入库存放，定期外售。</w:t>
            </w:r>
          </w:p>
          <w:p>
            <w:pPr>
              <w:adjustRightInd w:val="0"/>
              <w:snapToGrid w:val="0"/>
              <w:spacing w:line="360" w:lineRule="auto"/>
              <w:ind w:firstLine="480" w:firstLineChars="200"/>
              <w:rPr>
                <w:rFonts w:hint="eastAsia"/>
                <w:b/>
                <w:color w:val="auto"/>
                <w:sz w:val="21"/>
                <w:szCs w:val="21"/>
              </w:rPr>
            </w:pPr>
            <w:r>
              <w:rPr>
                <w:rFonts w:hint="eastAsia"/>
                <w:bCs/>
                <w:color w:val="auto"/>
                <w:sz w:val="24"/>
                <w:szCs w:val="24"/>
              </w:rPr>
              <w:t>现有项目排污情况见下表：</w:t>
            </w:r>
          </w:p>
          <w:p>
            <w:pPr>
              <w:spacing w:line="360" w:lineRule="auto"/>
              <w:ind w:firstLine="482"/>
              <w:jc w:val="center"/>
              <w:rPr>
                <w:rFonts w:hint="eastAsia" w:asciiTheme="minorEastAsia" w:hAnsiTheme="minorEastAsia" w:eastAsiaTheme="minorEastAsia" w:cstheme="minorEastAsia"/>
                <w:b w:val="0"/>
                <w:bCs/>
                <w:color w:val="auto"/>
                <w:sz w:val="24"/>
                <w:szCs w:val="24"/>
                <w:u w:val="none"/>
                <w:lang w:eastAsia="zh-CN"/>
              </w:rPr>
            </w:pPr>
            <w:r>
              <w:rPr>
                <w:rFonts w:hint="eastAsia"/>
                <w:b/>
                <w:color w:val="auto"/>
                <w:sz w:val="21"/>
                <w:szCs w:val="21"/>
              </w:rPr>
              <w:t>表</w:t>
            </w:r>
            <w:r>
              <w:rPr>
                <w:rFonts w:hint="eastAsia"/>
                <w:b/>
                <w:color w:val="auto"/>
                <w:sz w:val="21"/>
                <w:szCs w:val="21"/>
                <w:lang w:val="en-US" w:eastAsia="zh-CN"/>
              </w:rPr>
              <w:t>1-8</w:t>
            </w:r>
            <w:r>
              <w:rPr>
                <w:rFonts w:hint="eastAsia"/>
                <w:b/>
                <w:color w:val="auto"/>
                <w:sz w:val="21"/>
                <w:szCs w:val="21"/>
              </w:rPr>
              <w:t xml:space="preserve"> </w:t>
            </w:r>
            <w:r>
              <w:rPr>
                <w:rFonts w:hint="eastAsia"/>
                <w:b/>
                <w:bCs/>
                <w:color w:val="auto"/>
                <w:sz w:val="21"/>
                <w:szCs w:val="20"/>
                <w:u w:val="none"/>
                <w:lang w:eastAsia="zh-CN"/>
              </w:rPr>
              <w:t>现</w:t>
            </w:r>
            <w:r>
              <w:rPr>
                <w:rFonts w:hint="default" w:ascii="Times New Roman" w:hAnsi="Times New Roman" w:eastAsia="宋体"/>
                <w:b/>
                <w:bCs/>
                <w:color w:val="auto"/>
                <w:sz w:val="21"/>
                <w:szCs w:val="20"/>
                <w:u w:val="none"/>
              </w:rPr>
              <w:t>有项目排污情况一览表</w:t>
            </w:r>
          </w:p>
          <w:tbl>
            <w:tblPr>
              <w:tblStyle w:val="22"/>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374"/>
              <w:gridCol w:w="1374"/>
              <w:gridCol w:w="2250"/>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498" w:type="dxa"/>
                  <w:gridSpan w:val="3"/>
                  <w:noWrap/>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项目</w:t>
                  </w:r>
                </w:p>
              </w:tc>
              <w:tc>
                <w:tcPr>
                  <w:tcW w:w="2250" w:type="dxa"/>
                  <w:noWrap/>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产生量（t/a）</w:t>
                  </w:r>
                </w:p>
              </w:tc>
              <w:tc>
                <w:tcPr>
                  <w:tcW w:w="2251" w:type="dxa"/>
                  <w:noWrap/>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50" w:type="dxa"/>
                  <w:vMerge w:val="restart"/>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废水</w:t>
                  </w:r>
                </w:p>
              </w:tc>
              <w:tc>
                <w:tcPr>
                  <w:tcW w:w="2748" w:type="dxa"/>
                  <w:gridSpan w:val="2"/>
                  <w:noWrap/>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废水量（生活污水）</w:t>
                  </w:r>
                </w:p>
              </w:tc>
              <w:tc>
                <w:tcPr>
                  <w:tcW w:w="2250" w:type="dxa"/>
                  <w:noWrap/>
                  <w:vAlign w:val="center"/>
                </w:tcPr>
                <w:p>
                  <w:pPr>
                    <w:pStyle w:val="2"/>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696</w:t>
                  </w:r>
                </w:p>
              </w:tc>
              <w:tc>
                <w:tcPr>
                  <w:tcW w:w="2251" w:type="dxa"/>
                  <w:noWrap/>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2748" w:type="dxa"/>
                  <w:gridSpan w:val="2"/>
                  <w:noWrap/>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COD</w:t>
                  </w:r>
                </w:p>
              </w:tc>
              <w:tc>
                <w:tcPr>
                  <w:tcW w:w="2250" w:type="dxa"/>
                  <w:noWrap/>
                  <w:vAlign w:val="center"/>
                </w:tcPr>
                <w:p>
                  <w:pPr>
                    <w:spacing w:line="240" w:lineRule="atLeast"/>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0.174</w:t>
                  </w:r>
                </w:p>
              </w:tc>
              <w:tc>
                <w:tcPr>
                  <w:tcW w:w="2251"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2748" w:type="dxa"/>
                  <w:gridSpan w:val="2"/>
                  <w:noWrap/>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BOD</w:t>
                  </w:r>
                  <w:r>
                    <w:rPr>
                      <w:rFonts w:hint="default" w:ascii="Times New Roman" w:hAnsi="Times New Roman" w:eastAsia="宋体" w:cs="Times New Roman"/>
                      <w:color w:val="auto"/>
                      <w:sz w:val="21"/>
                      <w:szCs w:val="21"/>
                      <w:u w:val="none"/>
                      <w:vertAlign w:val="subscript"/>
                    </w:rPr>
                    <w:t>5</w:t>
                  </w:r>
                </w:p>
              </w:tc>
              <w:tc>
                <w:tcPr>
                  <w:tcW w:w="2250" w:type="dxa"/>
                  <w:noWrap/>
                  <w:vAlign w:val="center"/>
                </w:tcPr>
                <w:p>
                  <w:pPr>
                    <w:spacing w:line="240" w:lineRule="atLeast"/>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0.104</w:t>
                  </w:r>
                </w:p>
              </w:tc>
              <w:tc>
                <w:tcPr>
                  <w:tcW w:w="2251"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2748" w:type="dxa"/>
                  <w:gridSpan w:val="2"/>
                  <w:noWrap/>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SS</w:t>
                  </w:r>
                </w:p>
              </w:tc>
              <w:tc>
                <w:tcPr>
                  <w:tcW w:w="2250" w:type="dxa"/>
                  <w:noWrap/>
                  <w:vAlign w:val="center"/>
                </w:tcPr>
                <w:p>
                  <w:pPr>
                    <w:spacing w:line="240" w:lineRule="atLeast"/>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0.139</w:t>
                  </w:r>
                </w:p>
              </w:tc>
              <w:tc>
                <w:tcPr>
                  <w:tcW w:w="2251"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2748" w:type="dxa"/>
                  <w:gridSpan w:val="2"/>
                  <w:noWrap/>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NH</w:t>
                  </w:r>
                  <w:r>
                    <w:rPr>
                      <w:rFonts w:hint="default" w:ascii="Times New Roman" w:hAnsi="Times New Roman" w:eastAsia="宋体" w:cs="Times New Roman"/>
                      <w:color w:val="auto"/>
                      <w:sz w:val="21"/>
                      <w:szCs w:val="21"/>
                      <w:u w:val="none"/>
                      <w:vertAlign w:val="subscript"/>
                    </w:rPr>
                    <w:t>3</w:t>
                  </w:r>
                  <w:r>
                    <w:rPr>
                      <w:rFonts w:hint="default" w:ascii="Times New Roman" w:hAnsi="Times New Roman" w:eastAsia="宋体" w:cs="Times New Roman"/>
                      <w:color w:val="auto"/>
                      <w:sz w:val="21"/>
                      <w:szCs w:val="21"/>
                      <w:u w:val="none"/>
                    </w:rPr>
                    <w:t>-N</w:t>
                  </w:r>
                </w:p>
              </w:tc>
              <w:tc>
                <w:tcPr>
                  <w:tcW w:w="2250" w:type="dxa"/>
                  <w:noWrap/>
                  <w:vAlign w:val="center"/>
                </w:tcPr>
                <w:p>
                  <w:pPr>
                    <w:spacing w:line="240" w:lineRule="atLeast"/>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0.017</w:t>
                  </w:r>
                </w:p>
              </w:tc>
              <w:tc>
                <w:tcPr>
                  <w:tcW w:w="2251"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2748" w:type="dxa"/>
                  <w:gridSpan w:val="2"/>
                  <w:noWrap/>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动植物油</w:t>
                  </w:r>
                </w:p>
              </w:tc>
              <w:tc>
                <w:tcPr>
                  <w:tcW w:w="2250" w:type="dxa"/>
                  <w:noWrap/>
                  <w:vAlign w:val="center"/>
                </w:tcPr>
                <w:p>
                  <w:pPr>
                    <w:spacing w:line="240" w:lineRule="atLeast"/>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0.028</w:t>
                  </w:r>
                </w:p>
              </w:tc>
              <w:tc>
                <w:tcPr>
                  <w:tcW w:w="2251"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50" w:type="dxa"/>
                  <w:vMerge w:val="restart"/>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固废</w:t>
                  </w:r>
                </w:p>
              </w:tc>
              <w:tc>
                <w:tcPr>
                  <w:tcW w:w="2748" w:type="dxa"/>
                  <w:gridSpan w:val="2"/>
                  <w:noWrap/>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日常生活垃圾</w:t>
                  </w:r>
                </w:p>
              </w:tc>
              <w:tc>
                <w:tcPr>
                  <w:tcW w:w="2250" w:type="dxa"/>
                  <w:noWrap/>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3</w:t>
                  </w:r>
                </w:p>
              </w:tc>
              <w:tc>
                <w:tcPr>
                  <w:tcW w:w="2251"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2748" w:type="dxa"/>
                  <w:gridSpan w:val="2"/>
                  <w:noWrap/>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eastAsia" w:hAnsi="宋体"/>
                      <w:color w:val="auto"/>
                      <w:kern w:val="0"/>
                      <w:sz w:val="21"/>
                      <w:szCs w:val="21"/>
                      <w:vertAlign w:val="baseline"/>
                      <w:lang w:val="en-US" w:eastAsia="zh-CN"/>
                    </w:rPr>
                    <w:t>树脂包装桶</w:t>
                  </w:r>
                </w:p>
              </w:tc>
              <w:tc>
                <w:tcPr>
                  <w:tcW w:w="2250" w:type="dxa"/>
                  <w:noWrap/>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3</w:t>
                  </w:r>
                </w:p>
              </w:tc>
              <w:tc>
                <w:tcPr>
                  <w:tcW w:w="2251"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2748" w:type="dxa"/>
                  <w:gridSpan w:val="2"/>
                  <w:noWrap/>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eastAsia" w:hAnsi="宋体"/>
                      <w:color w:val="auto"/>
                      <w:kern w:val="0"/>
                      <w:sz w:val="21"/>
                      <w:szCs w:val="21"/>
                      <w:vertAlign w:val="baseline"/>
                      <w:lang w:val="en-US" w:eastAsia="zh-CN"/>
                    </w:rPr>
                    <w:t>锅炉灰渣</w:t>
                  </w:r>
                </w:p>
              </w:tc>
              <w:tc>
                <w:tcPr>
                  <w:tcW w:w="2250" w:type="dxa"/>
                  <w:noWrap/>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3.6</w:t>
                  </w:r>
                </w:p>
              </w:tc>
              <w:tc>
                <w:tcPr>
                  <w:tcW w:w="2251"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2748" w:type="dxa"/>
                  <w:gridSpan w:val="2"/>
                  <w:noWrap/>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hAnsi="宋体"/>
                      <w:color w:val="auto"/>
                      <w:kern w:val="0"/>
                      <w:sz w:val="21"/>
                      <w:szCs w:val="21"/>
                      <w:vertAlign w:val="baseline"/>
                      <w:lang w:val="en-US" w:eastAsia="zh-CN"/>
                    </w:rPr>
                    <w:t>沉淀渣</w:t>
                  </w:r>
                </w:p>
              </w:tc>
              <w:tc>
                <w:tcPr>
                  <w:tcW w:w="2250" w:type="dxa"/>
                  <w:noWrap/>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4</w:t>
                  </w:r>
                </w:p>
              </w:tc>
              <w:tc>
                <w:tcPr>
                  <w:tcW w:w="2251" w:type="dxa"/>
                  <w:noWrap/>
                  <w:vAlign w:val="center"/>
                </w:tcPr>
                <w:p>
                  <w:pPr>
                    <w:pStyle w:val="2"/>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50" w:type="dxa"/>
                  <w:vMerge w:val="restart"/>
                  <w:noWrap/>
                  <w:vAlign w:val="center"/>
                </w:tcPr>
                <w:p>
                  <w:pPr>
                    <w:pStyle w:val="2"/>
                    <w:jc w:val="center"/>
                    <w:rPr>
                      <w:rFonts w:hint="default" w:ascii="Times New Roman" w:hAnsi="Times New Roman" w:cs="Times New Roman"/>
                      <w:color w:val="auto"/>
                      <w:sz w:val="21"/>
                      <w:szCs w:val="21"/>
                      <w:u w:val="none"/>
                    </w:rPr>
                  </w:pPr>
                  <w:r>
                    <w:rPr>
                      <w:rFonts w:hint="default" w:ascii="Times New Roman" w:hAnsi="Times New Roman" w:eastAsia="宋体" w:cs="Times New Roman"/>
                      <w:color w:val="auto"/>
                      <w:sz w:val="21"/>
                      <w:szCs w:val="21"/>
                      <w:u w:val="none"/>
                    </w:rPr>
                    <w:t>废气</w:t>
                  </w:r>
                </w:p>
              </w:tc>
              <w:tc>
                <w:tcPr>
                  <w:tcW w:w="1374"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粉尘</w:t>
                  </w:r>
                </w:p>
              </w:tc>
              <w:tc>
                <w:tcPr>
                  <w:tcW w:w="1374" w:type="dxa"/>
                  <w:noWrap/>
                  <w:vAlign w:val="center"/>
                </w:tcPr>
                <w:p>
                  <w:pPr>
                    <w:pStyle w:val="2"/>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无组织</w:t>
                  </w:r>
                </w:p>
              </w:tc>
              <w:tc>
                <w:tcPr>
                  <w:tcW w:w="2250" w:type="dxa"/>
                  <w:noWrap/>
                  <w:vAlign w:val="center"/>
                </w:tcPr>
                <w:p>
                  <w:pPr>
                    <w:pStyle w:val="2"/>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w:t>
                  </w:r>
                </w:p>
              </w:tc>
              <w:tc>
                <w:tcPr>
                  <w:tcW w:w="2251" w:type="dxa"/>
                  <w:noWrap/>
                  <w:vAlign w:val="center"/>
                </w:tcPr>
                <w:p>
                  <w:pPr>
                    <w:pStyle w:val="2"/>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1374" w:type="dxa"/>
                  <w:vMerge w:val="restart"/>
                  <w:noWrap/>
                  <w:vAlign w:val="center"/>
                </w:tcPr>
                <w:p>
                  <w:pPr>
                    <w:pStyle w:val="2"/>
                    <w:jc w:val="center"/>
                    <w:rPr>
                      <w:rFonts w:hint="default" w:ascii="Times New Roman" w:hAnsi="Times New Roman" w:eastAsia="宋体" w:cs="Times New Roman"/>
                      <w:color w:val="auto"/>
                      <w:sz w:val="21"/>
                      <w:szCs w:val="21"/>
                      <w:u w:val="none"/>
                    </w:rPr>
                  </w:pPr>
                  <w:r>
                    <w:rPr>
                      <w:rFonts w:hint="eastAsia"/>
                      <w:bCs/>
                      <w:color w:val="auto"/>
                      <w:sz w:val="21"/>
                      <w:szCs w:val="21"/>
                    </w:rPr>
                    <w:t>锅炉烟气</w:t>
                  </w:r>
                </w:p>
              </w:tc>
              <w:tc>
                <w:tcPr>
                  <w:tcW w:w="1374" w:type="dxa"/>
                  <w:noWrap/>
                  <w:vAlign w:val="center"/>
                </w:tcPr>
                <w:p>
                  <w:pPr>
                    <w:pStyle w:val="2"/>
                    <w:jc w:val="center"/>
                    <w:rPr>
                      <w:rFonts w:hint="default" w:ascii="Times New Roman" w:hAnsi="Times New Roman" w:eastAsia="宋体" w:cs="Times New Roman"/>
                      <w:color w:val="auto"/>
                      <w:sz w:val="21"/>
                      <w:szCs w:val="21"/>
                      <w:u w:val="none"/>
                    </w:rPr>
                  </w:pPr>
                  <w:r>
                    <w:rPr>
                      <w:rFonts w:hint="eastAsia"/>
                      <w:bCs/>
                      <w:color w:val="auto"/>
                      <w:sz w:val="21"/>
                      <w:szCs w:val="21"/>
                    </w:rPr>
                    <w:t>SO</w:t>
                  </w:r>
                  <w:r>
                    <w:rPr>
                      <w:rFonts w:hint="eastAsia"/>
                      <w:bCs/>
                      <w:color w:val="auto"/>
                      <w:sz w:val="21"/>
                      <w:szCs w:val="21"/>
                      <w:vertAlign w:val="subscript"/>
                    </w:rPr>
                    <w:t>2</w:t>
                  </w:r>
                </w:p>
              </w:tc>
              <w:tc>
                <w:tcPr>
                  <w:tcW w:w="2250" w:type="dxa"/>
                  <w:noWrap/>
                  <w:vAlign w:val="center"/>
                </w:tcPr>
                <w:p>
                  <w:pPr>
                    <w:pStyle w:val="2"/>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1.41</w:t>
                  </w:r>
                </w:p>
              </w:tc>
              <w:tc>
                <w:tcPr>
                  <w:tcW w:w="2251" w:type="dxa"/>
                  <w:noWrap/>
                  <w:vAlign w:val="center"/>
                </w:tcPr>
                <w:p>
                  <w:pPr>
                    <w:pStyle w:val="2"/>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1374"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1374" w:type="dxa"/>
                  <w:noWrap/>
                  <w:vAlign w:val="center"/>
                </w:tcPr>
                <w:p>
                  <w:pPr>
                    <w:pStyle w:val="2"/>
                    <w:jc w:val="center"/>
                    <w:rPr>
                      <w:rFonts w:hint="default" w:ascii="Times New Roman" w:hAnsi="Times New Roman" w:eastAsia="宋体" w:cs="Times New Roman"/>
                      <w:color w:val="auto"/>
                      <w:sz w:val="21"/>
                      <w:szCs w:val="21"/>
                      <w:u w:val="none"/>
                    </w:rPr>
                  </w:pPr>
                  <w:r>
                    <w:rPr>
                      <w:rFonts w:hint="eastAsia"/>
                      <w:bCs/>
                      <w:color w:val="auto"/>
                      <w:sz w:val="21"/>
                      <w:szCs w:val="21"/>
                    </w:rPr>
                    <w:t>NO</w:t>
                  </w:r>
                  <w:r>
                    <w:rPr>
                      <w:rFonts w:hint="eastAsia"/>
                      <w:bCs/>
                      <w:color w:val="auto"/>
                      <w:sz w:val="21"/>
                      <w:szCs w:val="21"/>
                      <w:vertAlign w:val="subscript"/>
                    </w:rPr>
                    <w:t>X</w:t>
                  </w:r>
                </w:p>
              </w:tc>
              <w:tc>
                <w:tcPr>
                  <w:tcW w:w="2250" w:type="dxa"/>
                  <w:noWrap/>
                  <w:vAlign w:val="center"/>
                </w:tcPr>
                <w:p>
                  <w:pPr>
                    <w:pStyle w:val="2"/>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0.85</w:t>
                  </w:r>
                </w:p>
              </w:tc>
              <w:tc>
                <w:tcPr>
                  <w:tcW w:w="2251" w:type="dxa"/>
                  <w:noWrap/>
                  <w:vAlign w:val="center"/>
                </w:tcPr>
                <w:p>
                  <w:pPr>
                    <w:pStyle w:val="2"/>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1374"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1374" w:type="dxa"/>
                  <w:noWrap/>
                  <w:vAlign w:val="center"/>
                </w:tcPr>
                <w:p>
                  <w:pPr>
                    <w:pStyle w:val="2"/>
                    <w:jc w:val="center"/>
                    <w:rPr>
                      <w:rFonts w:hint="default" w:ascii="Times New Roman" w:hAnsi="Times New Roman" w:eastAsia="宋体" w:cs="Times New Roman"/>
                      <w:color w:val="auto"/>
                      <w:sz w:val="21"/>
                      <w:szCs w:val="21"/>
                      <w:u w:val="none"/>
                    </w:rPr>
                  </w:pPr>
                  <w:r>
                    <w:rPr>
                      <w:bCs/>
                      <w:color w:val="auto"/>
                      <w:sz w:val="21"/>
                      <w:szCs w:val="21"/>
                    </w:rPr>
                    <w:t>烟尘</w:t>
                  </w:r>
                </w:p>
              </w:tc>
              <w:tc>
                <w:tcPr>
                  <w:tcW w:w="2250" w:type="dxa"/>
                  <w:noWrap/>
                  <w:vAlign w:val="center"/>
                </w:tcPr>
                <w:p>
                  <w:pPr>
                    <w:pStyle w:val="2"/>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0.41</w:t>
                  </w:r>
                </w:p>
              </w:tc>
              <w:tc>
                <w:tcPr>
                  <w:tcW w:w="2251" w:type="dxa"/>
                  <w:noWrap/>
                  <w:vAlign w:val="center"/>
                </w:tcPr>
                <w:p>
                  <w:pPr>
                    <w:pStyle w:val="2"/>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1374" w:type="dxa"/>
                  <w:noWrap/>
                  <w:vAlign w:val="center"/>
                </w:tcPr>
                <w:p>
                  <w:pPr>
                    <w:pStyle w:val="2"/>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VOCs</w:t>
                  </w:r>
                </w:p>
              </w:tc>
              <w:tc>
                <w:tcPr>
                  <w:tcW w:w="1374" w:type="dxa"/>
                  <w:noWrap/>
                  <w:vAlign w:val="center"/>
                </w:tcPr>
                <w:p>
                  <w:pPr>
                    <w:pStyle w:val="2"/>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eastAsia="zh-CN"/>
                    </w:rPr>
                    <w:t>无组织</w:t>
                  </w:r>
                </w:p>
              </w:tc>
              <w:tc>
                <w:tcPr>
                  <w:tcW w:w="2250" w:type="dxa"/>
                  <w:noWrap/>
                  <w:vAlign w:val="center"/>
                </w:tcPr>
                <w:p>
                  <w:pPr>
                    <w:pStyle w:val="2"/>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0.2</w:t>
                  </w:r>
                </w:p>
              </w:tc>
              <w:tc>
                <w:tcPr>
                  <w:tcW w:w="2251" w:type="dxa"/>
                  <w:noWrap/>
                  <w:vAlign w:val="center"/>
                </w:tcPr>
                <w:p>
                  <w:pPr>
                    <w:pStyle w:val="2"/>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50" w:type="dxa"/>
                  <w:vMerge w:val="continue"/>
                  <w:noWrap/>
                  <w:vAlign w:val="center"/>
                </w:tcPr>
                <w:p>
                  <w:pPr>
                    <w:pStyle w:val="2"/>
                    <w:jc w:val="center"/>
                    <w:rPr>
                      <w:rFonts w:hint="default" w:ascii="Times New Roman" w:hAnsi="Times New Roman" w:eastAsia="宋体" w:cs="Times New Roman"/>
                      <w:color w:val="auto"/>
                      <w:sz w:val="21"/>
                      <w:szCs w:val="21"/>
                      <w:u w:val="none"/>
                    </w:rPr>
                  </w:pPr>
                </w:p>
              </w:tc>
              <w:tc>
                <w:tcPr>
                  <w:tcW w:w="1374" w:type="dxa"/>
                  <w:noWrap/>
                  <w:vAlign w:val="center"/>
                </w:tcPr>
                <w:p>
                  <w:pPr>
                    <w:pStyle w:val="2"/>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食堂油烟</w:t>
                  </w:r>
                </w:p>
              </w:tc>
              <w:tc>
                <w:tcPr>
                  <w:tcW w:w="1374" w:type="dxa"/>
                  <w:noWrap/>
                  <w:vAlign w:val="center"/>
                </w:tcPr>
                <w:p>
                  <w:pPr>
                    <w:pStyle w:val="2"/>
                    <w:jc w:val="center"/>
                    <w:rPr>
                      <w:rFonts w:hint="eastAsia" w:cs="Times New Roman"/>
                      <w:color w:val="auto"/>
                      <w:sz w:val="21"/>
                      <w:szCs w:val="21"/>
                      <w:u w:val="none"/>
                      <w:lang w:eastAsia="zh-CN"/>
                    </w:rPr>
                  </w:pPr>
                  <w:r>
                    <w:rPr>
                      <w:rFonts w:hint="eastAsia" w:cs="Times New Roman"/>
                      <w:color w:val="auto"/>
                      <w:sz w:val="21"/>
                      <w:szCs w:val="21"/>
                      <w:u w:val="none"/>
                      <w:lang w:val="en-US" w:eastAsia="zh-CN"/>
                    </w:rPr>
                    <w:t>油烟</w:t>
                  </w:r>
                </w:p>
              </w:tc>
              <w:tc>
                <w:tcPr>
                  <w:tcW w:w="2250" w:type="dxa"/>
                  <w:noWrap/>
                  <w:vAlign w:val="center"/>
                </w:tcPr>
                <w:p>
                  <w:pPr>
                    <w:pStyle w:val="2"/>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0.0054</w:t>
                  </w:r>
                </w:p>
              </w:tc>
              <w:tc>
                <w:tcPr>
                  <w:tcW w:w="2251" w:type="dxa"/>
                  <w:noWrap/>
                  <w:vAlign w:val="center"/>
                </w:tcPr>
                <w:p>
                  <w:pPr>
                    <w:pStyle w:val="2"/>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0.003</w:t>
                  </w:r>
                </w:p>
              </w:tc>
            </w:tr>
          </w:tbl>
          <w:p>
            <w:pPr>
              <w:pStyle w:val="2"/>
              <w:numPr>
                <w:ilvl w:val="0"/>
                <w:numId w:val="3"/>
              </w:numPr>
              <w:adjustRightInd/>
              <w:spacing w:line="360" w:lineRule="auto"/>
              <w:ind w:firstLine="480" w:firstLineChars="200"/>
              <w:rPr>
                <w:rFonts w:hint="eastAsia" w:hAnsi="宋体"/>
                <w:color w:val="auto"/>
                <w:lang w:val="en-US" w:eastAsia="zh-CN"/>
              </w:rPr>
            </w:pPr>
            <w:r>
              <w:rPr>
                <w:rFonts w:hint="eastAsia" w:hAnsi="宋体"/>
                <w:color w:val="auto"/>
                <w:lang w:val="en-US" w:eastAsia="zh-CN"/>
              </w:rPr>
              <w:t>现有情况排放说明</w:t>
            </w:r>
          </w:p>
          <w:p>
            <w:pPr>
              <w:pStyle w:val="2"/>
              <w:widowControl w:val="0"/>
              <w:numPr>
                <w:ilvl w:val="0"/>
                <w:numId w:val="4"/>
              </w:numPr>
              <w:autoSpaceDE w:val="0"/>
              <w:autoSpaceDN w:val="0"/>
              <w:adjustRightInd/>
              <w:spacing w:line="360" w:lineRule="auto"/>
              <w:ind w:left="480" w:leftChars="0" w:firstLine="0" w:firstLineChars="0"/>
              <w:rPr>
                <w:rFonts w:hint="eastAsia" w:hAnsi="宋体"/>
                <w:color w:val="auto"/>
                <w:lang w:val="en-US" w:eastAsia="zh-CN"/>
              </w:rPr>
            </w:pPr>
            <w:r>
              <w:rPr>
                <w:rFonts w:hint="eastAsia" w:hAnsi="宋体"/>
                <w:color w:val="auto"/>
                <w:lang w:val="en-US" w:eastAsia="zh-CN"/>
              </w:rPr>
              <w:t>废气</w:t>
            </w:r>
          </w:p>
          <w:p>
            <w:pPr>
              <w:pStyle w:val="2"/>
              <w:widowControl w:val="0"/>
              <w:numPr>
                <w:ilvl w:val="0"/>
                <w:numId w:val="0"/>
              </w:numPr>
              <w:autoSpaceDE w:val="0"/>
              <w:autoSpaceDN w:val="0"/>
              <w:adjustRightInd/>
              <w:spacing w:line="360" w:lineRule="auto"/>
              <w:ind w:left="480" w:leftChars="0"/>
              <w:rPr>
                <w:rFonts w:hint="default" w:hAnsi="宋体"/>
                <w:color w:val="auto"/>
                <w:lang w:val="en-US" w:eastAsia="zh-CN"/>
              </w:rPr>
            </w:pPr>
            <w:r>
              <w:rPr>
                <w:rFonts w:hint="eastAsia" w:hAnsi="宋体"/>
                <w:color w:val="auto"/>
                <w:lang w:val="en-US" w:eastAsia="zh-CN"/>
              </w:rPr>
              <w:t>1）</w:t>
            </w:r>
            <w:r>
              <w:rPr>
                <w:rFonts w:hint="eastAsia"/>
                <w:bCs/>
                <w:color w:val="auto"/>
                <w:sz w:val="24"/>
                <w:szCs w:val="24"/>
              </w:rPr>
              <w:t>锅炉烟气</w:t>
            </w:r>
          </w:p>
          <w:p>
            <w:pPr>
              <w:adjustRightInd w:val="0"/>
              <w:snapToGrid w:val="0"/>
              <w:spacing w:line="360" w:lineRule="auto"/>
              <w:ind w:firstLine="480" w:firstLineChars="200"/>
              <w:rPr>
                <w:rFonts w:hint="eastAsia"/>
                <w:bCs/>
                <w:color w:val="auto"/>
                <w:sz w:val="24"/>
                <w:szCs w:val="24"/>
                <w:u w:val="single"/>
              </w:rPr>
            </w:pPr>
            <w:r>
              <w:rPr>
                <w:rFonts w:hint="eastAsia"/>
                <w:bCs/>
                <w:color w:val="auto"/>
                <w:sz w:val="24"/>
                <w:szCs w:val="24"/>
              </w:rPr>
              <w:t>本项目</w:t>
            </w:r>
            <w:r>
              <w:rPr>
                <w:bCs/>
                <w:color w:val="auto"/>
                <w:sz w:val="24"/>
                <w:szCs w:val="24"/>
              </w:rPr>
              <w:t>设置</w:t>
            </w:r>
            <w:r>
              <w:rPr>
                <w:rFonts w:hint="eastAsia"/>
                <w:bCs/>
                <w:color w:val="auto"/>
                <w:sz w:val="24"/>
                <w:szCs w:val="24"/>
              </w:rPr>
              <w:t>一台4t/h蒸汽</w:t>
            </w:r>
            <w:r>
              <w:rPr>
                <w:bCs/>
                <w:color w:val="auto"/>
                <w:sz w:val="24"/>
                <w:szCs w:val="24"/>
              </w:rPr>
              <w:t>锅炉供生产用热，燃料为</w:t>
            </w:r>
            <w:r>
              <w:rPr>
                <w:rFonts w:hint="eastAsia"/>
                <w:bCs/>
                <w:color w:val="auto"/>
                <w:sz w:val="24"/>
                <w:szCs w:val="24"/>
              </w:rPr>
              <w:t>成型生物质燃料</w:t>
            </w:r>
            <w:r>
              <w:rPr>
                <w:bCs/>
                <w:color w:val="auto"/>
                <w:sz w:val="24"/>
                <w:szCs w:val="24"/>
              </w:rPr>
              <w:t>，低位发热量</w:t>
            </w:r>
            <w:r>
              <w:rPr>
                <w:rFonts w:hint="eastAsia"/>
                <w:bCs/>
                <w:color w:val="auto"/>
                <w:sz w:val="24"/>
                <w:szCs w:val="24"/>
              </w:rPr>
              <w:t>17340KJ/kg</w:t>
            </w:r>
            <w:r>
              <w:rPr>
                <w:bCs/>
                <w:color w:val="auto"/>
                <w:sz w:val="24"/>
                <w:szCs w:val="24"/>
              </w:rPr>
              <w:t>，</w:t>
            </w:r>
            <w:r>
              <w:rPr>
                <w:bCs/>
                <w:color w:val="auto"/>
                <w:sz w:val="24"/>
                <w:szCs w:val="24"/>
                <w:u w:val="single"/>
              </w:rPr>
              <w:t>属清洁燃料，</w:t>
            </w:r>
            <w:r>
              <w:rPr>
                <w:rFonts w:hint="eastAsia"/>
                <w:bCs/>
                <w:color w:val="auto"/>
                <w:sz w:val="24"/>
                <w:szCs w:val="24"/>
                <w:u w:val="single"/>
                <w:lang w:eastAsia="zh-CN"/>
              </w:rPr>
              <w:t>根据业主提供的信息，锅炉年运行时间约</w:t>
            </w:r>
            <w:r>
              <w:rPr>
                <w:rFonts w:hint="eastAsia"/>
                <w:bCs/>
                <w:color w:val="auto"/>
                <w:sz w:val="24"/>
                <w:szCs w:val="24"/>
                <w:u w:val="single"/>
                <w:lang w:val="en-US" w:eastAsia="zh-CN"/>
              </w:rPr>
              <w:t>1050h，</w:t>
            </w:r>
            <w:r>
              <w:rPr>
                <w:rFonts w:hint="eastAsia"/>
                <w:bCs/>
                <w:color w:val="auto"/>
                <w:sz w:val="24"/>
                <w:szCs w:val="24"/>
                <w:u w:val="single"/>
                <w:lang w:eastAsia="zh-CN"/>
              </w:rPr>
              <w:t>本项目锅炉使用的生物质燃料年使用量约为</w:t>
            </w:r>
            <w:r>
              <w:rPr>
                <w:rFonts w:hint="eastAsia"/>
                <w:bCs/>
                <w:color w:val="auto"/>
                <w:sz w:val="24"/>
                <w:szCs w:val="24"/>
                <w:u w:val="single"/>
                <w:lang w:val="en-US" w:eastAsia="zh-CN"/>
              </w:rPr>
              <w:t>829t，</w:t>
            </w:r>
            <w:r>
              <w:rPr>
                <w:bCs/>
                <w:color w:val="auto"/>
                <w:sz w:val="24"/>
                <w:szCs w:val="24"/>
                <w:u w:val="single"/>
              </w:rPr>
              <w:t>燃烧过程产生少量</w:t>
            </w:r>
            <w:r>
              <w:rPr>
                <w:rFonts w:hint="eastAsia"/>
                <w:bCs/>
                <w:color w:val="auto"/>
                <w:sz w:val="24"/>
                <w:szCs w:val="24"/>
                <w:u w:val="single"/>
              </w:rPr>
              <w:t>SO</w:t>
            </w:r>
            <w:r>
              <w:rPr>
                <w:rFonts w:hint="eastAsia"/>
                <w:bCs/>
                <w:color w:val="auto"/>
                <w:sz w:val="24"/>
                <w:szCs w:val="24"/>
                <w:u w:val="single"/>
                <w:vertAlign w:val="subscript"/>
              </w:rPr>
              <w:t>2</w:t>
            </w:r>
            <w:r>
              <w:rPr>
                <w:bCs/>
                <w:color w:val="auto"/>
                <w:sz w:val="24"/>
                <w:szCs w:val="24"/>
                <w:u w:val="single"/>
              </w:rPr>
              <w:t>、</w:t>
            </w:r>
            <w:r>
              <w:rPr>
                <w:rFonts w:hint="eastAsia"/>
                <w:bCs/>
                <w:color w:val="auto"/>
                <w:sz w:val="24"/>
                <w:szCs w:val="24"/>
                <w:u w:val="single"/>
              </w:rPr>
              <w:t>NO</w:t>
            </w:r>
            <w:r>
              <w:rPr>
                <w:rFonts w:hint="eastAsia"/>
                <w:bCs/>
                <w:color w:val="auto"/>
                <w:sz w:val="24"/>
                <w:szCs w:val="24"/>
                <w:u w:val="single"/>
                <w:vertAlign w:val="subscript"/>
              </w:rPr>
              <w:t>X</w:t>
            </w:r>
            <w:r>
              <w:rPr>
                <w:bCs/>
                <w:color w:val="auto"/>
                <w:sz w:val="24"/>
                <w:szCs w:val="24"/>
                <w:u w:val="single"/>
              </w:rPr>
              <w:t>、烟尘等。</w:t>
            </w:r>
          </w:p>
          <w:p>
            <w:pPr>
              <w:adjustRightInd w:val="0"/>
              <w:snapToGrid w:val="0"/>
              <w:spacing w:line="360" w:lineRule="auto"/>
              <w:ind w:firstLine="480" w:firstLineChars="200"/>
              <w:rPr>
                <w:rFonts w:hint="eastAsia" w:eastAsia="宋体"/>
                <w:bCs/>
                <w:color w:val="auto"/>
                <w:sz w:val="24"/>
                <w:szCs w:val="24"/>
                <w:u w:val="single"/>
                <w:lang w:eastAsia="zh-CN"/>
              </w:rPr>
            </w:pPr>
            <w:r>
              <w:rPr>
                <w:bCs/>
                <w:color w:val="auto"/>
                <w:sz w:val="24"/>
                <w:szCs w:val="24"/>
                <w:u w:val="single"/>
              </w:rPr>
              <w:t>根据《第一次全国污染源普查工业污染源产排污系数手册（2010修订）》提供的有关资料，生物质成型燃料燃烧过程的产物系数为：烟气量6240</w:t>
            </w:r>
            <w:r>
              <w:rPr>
                <w:rFonts w:hint="eastAsia"/>
                <w:bCs/>
                <w:color w:val="auto"/>
                <w:sz w:val="24"/>
                <w:szCs w:val="24"/>
                <w:u w:val="single"/>
              </w:rPr>
              <w:t>.28Nm</w:t>
            </w:r>
            <w:r>
              <w:rPr>
                <w:rFonts w:hint="eastAsia"/>
                <w:bCs/>
                <w:color w:val="auto"/>
                <w:sz w:val="24"/>
                <w:szCs w:val="24"/>
                <w:u w:val="single"/>
                <w:vertAlign w:val="superscript"/>
              </w:rPr>
              <w:t>3</w:t>
            </w:r>
            <w:r>
              <w:rPr>
                <w:bCs/>
                <w:color w:val="auto"/>
                <w:sz w:val="24"/>
                <w:szCs w:val="24"/>
                <w:u w:val="single"/>
              </w:rPr>
              <w:t>/</w:t>
            </w:r>
            <w:r>
              <w:rPr>
                <w:rFonts w:hint="eastAsia"/>
                <w:bCs/>
                <w:color w:val="auto"/>
                <w:sz w:val="24"/>
                <w:szCs w:val="24"/>
                <w:u w:val="single"/>
              </w:rPr>
              <w:t>t-</w:t>
            </w:r>
            <w:r>
              <w:rPr>
                <w:bCs/>
                <w:color w:val="auto"/>
                <w:sz w:val="24"/>
                <w:szCs w:val="24"/>
                <w:u w:val="single"/>
              </w:rPr>
              <w:t>燃料、烟尘</w:t>
            </w:r>
            <w:r>
              <w:rPr>
                <w:rFonts w:hint="eastAsia"/>
                <w:bCs/>
                <w:color w:val="auto"/>
                <w:sz w:val="24"/>
                <w:szCs w:val="24"/>
                <w:u w:val="single"/>
              </w:rPr>
              <w:t>为0.5kg/t-</w:t>
            </w:r>
            <w:r>
              <w:rPr>
                <w:bCs/>
                <w:color w:val="auto"/>
                <w:sz w:val="24"/>
                <w:szCs w:val="24"/>
                <w:u w:val="single"/>
              </w:rPr>
              <w:t>燃料、</w:t>
            </w:r>
            <w:r>
              <w:rPr>
                <w:rFonts w:hint="eastAsia"/>
                <w:bCs/>
                <w:color w:val="auto"/>
                <w:sz w:val="24"/>
                <w:szCs w:val="24"/>
                <w:u w:val="single"/>
              </w:rPr>
              <w:t>SO</w:t>
            </w:r>
            <w:r>
              <w:rPr>
                <w:rFonts w:hint="eastAsia"/>
                <w:bCs/>
                <w:color w:val="auto"/>
                <w:sz w:val="24"/>
                <w:szCs w:val="24"/>
                <w:u w:val="single"/>
                <w:vertAlign w:val="subscript"/>
              </w:rPr>
              <w:t>2</w:t>
            </w:r>
            <w:r>
              <w:rPr>
                <w:rFonts w:hint="eastAsia"/>
                <w:bCs/>
                <w:color w:val="auto"/>
                <w:sz w:val="24"/>
                <w:szCs w:val="24"/>
                <w:u w:val="single"/>
              </w:rPr>
              <w:t>为17S kg/t-</w:t>
            </w:r>
            <w:r>
              <w:rPr>
                <w:bCs/>
                <w:color w:val="auto"/>
                <w:sz w:val="24"/>
                <w:szCs w:val="24"/>
                <w:u w:val="single"/>
              </w:rPr>
              <w:t>燃料（S</w:t>
            </w:r>
            <w:r>
              <w:rPr>
                <w:rFonts w:hint="eastAsia"/>
                <w:bCs/>
                <w:color w:val="auto"/>
                <w:sz w:val="24"/>
                <w:szCs w:val="24"/>
                <w:u w:val="single"/>
              </w:rPr>
              <w:t>%</w:t>
            </w:r>
            <w:r>
              <w:rPr>
                <w:bCs/>
                <w:color w:val="auto"/>
                <w:sz w:val="24"/>
                <w:szCs w:val="24"/>
                <w:u w:val="single"/>
              </w:rPr>
              <w:t>为</w:t>
            </w:r>
            <w:r>
              <w:rPr>
                <w:rFonts w:hint="eastAsia"/>
                <w:bCs/>
                <w:color w:val="auto"/>
                <w:sz w:val="24"/>
                <w:szCs w:val="24"/>
                <w:u w:val="single"/>
              </w:rPr>
              <w:t>燃料</w:t>
            </w:r>
            <w:r>
              <w:rPr>
                <w:bCs/>
                <w:color w:val="auto"/>
                <w:sz w:val="24"/>
                <w:szCs w:val="24"/>
                <w:u w:val="single"/>
              </w:rPr>
              <w:t>收到基硫</w:t>
            </w:r>
            <w:r>
              <w:rPr>
                <w:rFonts w:hint="eastAsia"/>
                <w:bCs/>
                <w:color w:val="auto"/>
                <w:sz w:val="24"/>
                <w:szCs w:val="24"/>
                <w:u w:val="single"/>
              </w:rPr>
              <w:t>含量</w:t>
            </w:r>
            <w:r>
              <w:rPr>
                <w:bCs/>
                <w:color w:val="auto"/>
                <w:sz w:val="24"/>
                <w:szCs w:val="24"/>
                <w:u w:val="single"/>
              </w:rPr>
              <w:t>，本项目</w:t>
            </w:r>
            <w:r>
              <w:rPr>
                <w:rFonts w:hint="eastAsia"/>
                <w:bCs/>
                <w:color w:val="auto"/>
                <w:sz w:val="24"/>
                <w:szCs w:val="24"/>
                <w:u w:val="single"/>
              </w:rPr>
              <w:t>取</w:t>
            </w:r>
            <w:r>
              <w:rPr>
                <w:bCs/>
                <w:color w:val="auto"/>
                <w:sz w:val="24"/>
                <w:szCs w:val="24"/>
                <w:u w:val="single"/>
              </w:rPr>
              <w:t>S=0.</w:t>
            </w:r>
            <w:r>
              <w:rPr>
                <w:rFonts w:hint="eastAsia"/>
                <w:bCs/>
                <w:color w:val="auto"/>
                <w:sz w:val="24"/>
                <w:szCs w:val="24"/>
                <w:u w:val="single"/>
              </w:rPr>
              <w:t>1</w:t>
            </w:r>
            <w:r>
              <w:rPr>
                <w:bCs/>
                <w:color w:val="auto"/>
                <w:sz w:val="24"/>
                <w:szCs w:val="24"/>
                <w:u w:val="single"/>
              </w:rPr>
              <w:t>）、</w:t>
            </w:r>
            <w:r>
              <w:rPr>
                <w:rFonts w:hint="eastAsia"/>
                <w:bCs/>
                <w:color w:val="auto"/>
                <w:sz w:val="24"/>
                <w:szCs w:val="24"/>
                <w:u w:val="single"/>
              </w:rPr>
              <w:t>NO</w:t>
            </w:r>
            <w:r>
              <w:rPr>
                <w:rFonts w:hint="eastAsia"/>
                <w:bCs/>
                <w:color w:val="auto"/>
                <w:sz w:val="24"/>
                <w:szCs w:val="24"/>
                <w:u w:val="single"/>
                <w:vertAlign w:val="subscript"/>
              </w:rPr>
              <w:t>X</w:t>
            </w:r>
            <w:r>
              <w:rPr>
                <w:rFonts w:hint="eastAsia"/>
                <w:bCs/>
                <w:color w:val="auto"/>
                <w:sz w:val="24"/>
                <w:szCs w:val="24"/>
                <w:u w:val="single"/>
              </w:rPr>
              <w:t>为</w:t>
            </w:r>
            <w:r>
              <w:rPr>
                <w:bCs/>
                <w:color w:val="auto"/>
                <w:sz w:val="24"/>
                <w:szCs w:val="24"/>
                <w:u w:val="single"/>
              </w:rPr>
              <w:t>1.02</w:t>
            </w:r>
            <w:r>
              <w:rPr>
                <w:rFonts w:hint="eastAsia"/>
                <w:bCs/>
                <w:color w:val="auto"/>
                <w:sz w:val="24"/>
                <w:szCs w:val="24"/>
                <w:u w:val="single"/>
              </w:rPr>
              <w:t>kg/t-</w:t>
            </w:r>
            <w:r>
              <w:rPr>
                <w:bCs/>
                <w:color w:val="auto"/>
                <w:sz w:val="24"/>
                <w:szCs w:val="24"/>
                <w:u w:val="single"/>
              </w:rPr>
              <w:t>燃料。根据以上参数计算得出锅炉废气产生及排放情况见表1</w:t>
            </w:r>
            <w:r>
              <w:rPr>
                <w:rFonts w:hint="eastAsia"/>
                <w:bCs/>
                <w:color w:val="auto"/>
                <w:sz w:val="24"/>
                <w:szCs w:val="24"/>
                <w:u w:val="single"/>
              </w:rPr>
              <w:t>8</w:t>
            </w:r>
            <w:r>
              <w:rPr>
                <w:rFonts w:hint="eastAsia"/>
                <w:bCs/>
                <w:color w:val="auto"/>
                <w:sz w:val="24"/>
                <w:szCs w:val="24"/>
                <w:u w:val="single"/>
                <w:lang w:eastAsia="zh-CN"/>
              </w:rPr>
              <w:t>。</w:t>
            </w:r>
          </w:p>
          <w:p>
            <w:pPr>
              <w:pStyle w:val="7"/>
              <w:spacing w:line="360" w:lineRule="auto"/>
              <w:ind w:firstLine="200"/>
              <w:jc w:val="center"/>
              <w:rPr>
                <w:b/>
                <w:color w:val="auto"/>
                <w:sz w:val="21"/>
                <w:szCs w:val="21"/>
                <w:u w:val="single"/>
              </w:rPr>
            </w:pPr>
            <w:r>
              <w:rPr>
                <w:b/>
                <w:color w:val="auto"/>
                <w:sz w:val="21"/>
                <w:szCs w:val="21"/>
                <w:u w:val="single"/>
              </w:rPr>
              <w:t>表</w:t>
            </w:r>
            <w:r>
              <w:rPr>
                <w:rFonts w:hint="eastAsia"/>
                <w:b/>
                <w:color w:val="auto"/>
                <w:sz w:val="21"/>
                <w:szCs w:val="21"/>
                <w:u w:val="single"/>
                <w:lang w:val="en-US" w:eastAsia="zh-CN"/>
              </w:rPr>
              <w:t>1-9</w:t>
            </w:r>
            <w:r>
              <w:rPr>
                <w:b/>
                <w:color w:val="auto"/>
                <w:sz w:val="21"/>
                <w:szCs w:val="21"/>
                <w:u w:val="single"/>
              </w:rPr>
              <w:t xml:space="preserve">   本项目锅炉废气产排情况表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3"/>
              <w:gridCol w:w="1307"/>
              <w:gridCol w:w="1120"/>
              <w:gridCol w:w="1035"/>
              <w:gridCol w:w="1120"/>
              <w:gridCol w:w="1035"/>
              <w:gridCol w:w="1120"/>
              <w:gridCol w:w="10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003" w:type="dxa"/>
                  <w:vMerge w:val="restart"/>
                  <w:noWrap w:val="0"/>
                  <w:vAlign w:val="center"/>
                </w:tcPr>
                <w:p>
                  <w:pPr>
                    <w:pStyle w:val="50"/>
                    <w:rPr>
                      <w:rFonts w:hint="eastAsia" w:ascii="Times New Roman" w:hAnsi="Times New Roman"/>
                      <w:color w:val="auto"/>
                      <w:u w:val="single"/>
                    </w:rPr>
                  </w:pPr>
                  <w:r>
                    <w:rPr>
                      <w:rFonts w:ascii="Times New Roman" w:hAnsi="Times New Roman"/>
                      <w:color w:val="auto"/>
                      <w:u w:val="single"/>
                    </w:rPr>
                    <w:t>废气</w:t>
                  </w:r>
                </w:p>
                <w:p>
                  <w:pPr>
                    <w:pStyle w:val="50"/>
                    <w:rPr>
                      <w:rFonts w:ascii="Times New Roman" w:hAnsi="Times New Roman"/>
                      <w:color w:val="auto"/>
                      <w:u w:val="single"/>
                    </w:rPr>
                  </w:pPr>
                  <w:r>
                    <w:rPr>
                      <w:rFonts w:ascii="Times New Roman" w:hAnsi="Times New Roman"/>
                      <w:color w:val="auto"/>
                      <w:u w:val="single"/>
                    </w:rPr>
                    <w:t>名称</w:t>
                  </w:r>
                </w:p>
              </w:tc>
              <w:tc>
                <w:tcPr>
                  <w:tcW w:w="1307" w:type="dxa"/>
                  <w:vMerge w:val="restart"/>
                  <w:noWrap w:val="0"/>
                  <w:vAlign w:val="center"/>
                </w:tcPr>
                <w:p>
                  <w:pPr>
                    <w:pStyle w:val="50"/>
                    <w:rPr>
                      <w:rFonts w:ascii="Times New Roman" w:hAnsi="Times New Roman"/>
                      <w:color w:val="auto"/>
                      <w:u w:val="single"/>
                    </w:rPr>
                  </w:pPr>
                  <w:r>
                    <w:rPr>
                      <w:rFonts w:ascii="Times New Roman" w:hAnsi="Times New Roman"/>
                      <w:color w:val="auto"/>
                      <w:u w:val="single"/>
                    </w:rPr>
                    <w:t>废气</w:t>
                  </w:r>
                </w:p>
                <w:p>
                  <w:pPr>
                    <w:pStyle w:val="50"/>
                    <w:rPr>
                      <w:rFonts w:ascii="Times New Roman" w:hAnsi="Times New Roman"/>
                      <w:color w:val="auto"/>
                      <w:u w:val="single"/>
                    </w:rPr>
                  </w:pPr>
                  <w:r>
                    <w:rPr>
                      <w:rFonts w:ascii="Times New Roman" w:hAnsi="Times New Roman"/>
                      <w:color w:val="auto"/>
                      <w:u w:val="single"/>
                    </w:rPr>
                    <w:t>(万</w:t>
                  </w:r>
                  <w:r>
                    <w:rPr>
                      <w:rFonts w:hint="eastAsia" w:ascii="Times New Roman" w:hAnsi="Times New Roman"/>
                      <w:color w:val="auto"/>
                      <w:u w:val="single"/>
                    </w:rPr>
                    <w:t>N</w:t>
                  </w:r>
                  <w:r>
                    <w:rPr>
                      <w:rFonts w:ascii="Times New Roman" w:hAnsi="Times New Roman"/>
                      <w:color w:val="auto"/>
                      <w:u w:val="single"/>
                    </w:rPr>
                    <w:t>m</w:t>
                  </w:r>
                  <w:r>
                    <w:rPr>
                      <w:rFonts w:ascii="Times New Roman" w:hAnsi="Times New Roman"/>
                      <w:color w:val="auto"/>
                      <w:u w:val="single"/>
                      <w:vertAlign w:val="superscript"/>
                    </w:rPr>
                    <w:t>3</w:t>
                  </w:r>
                  <w:r>
                    <w:rPr>
                      <w:rFonts w:ascii="Times New Roman" w:hAnsi="Times New Roman"/>
                      <w:color w:val="auto"/>
                      <w:u w:val="single"/>
                    </w:rPr>
                    <w:t>/a)</w:t>
                  </w:r>
                </w:p>
              </w:tc>
              <w:tc>
                <w:tcPr>
                  <w:tcW w:w="2155" w:type="dxa"/>
                  <w:gridSpan w:val="2"/>
                  <w:noWrap w:val="0"/>
                  <w:vAlign w:val="center"/>
                </w:tcPr>
                <w:p>
                  <w:pPr>
                    <w:pStyle w:val="50"/>
                    <w:rPr>
                      <w:rFonts w:ascii="Times New Roman" w:hAnsi="Times New Roman"/>
                      <w:color w:val="auto"/>
                      <w:u w:val="single"/>
                    </w:rPr>
                  </w:pPr>
                  <w:r>
                    <w:rPr>
                      <w:rFonts w:ascii="Times New Roman" w:hAnsi="Times New Roman"/>
                      <w:color w:val="auto"/>
                      <w:u w:val="single"/>
                    </w:rPr>
                    <w:t>烟尘</w:t>
                  </w:r>
                </w:p>
              </w:tc>
              <w:tc>
                <w:tcPr>
                  <w:tcW w:w="2155" w:type="dxa"/>
                  <w:gridSpan w:val="2"/>
                  <w:noWrap w:val="0"/>
                  <w:vAlign w:val="center"/>
                </w:tcPr>
                <w:p>
                  <w:pPr>
                    <w:pStyle w:val="50"/>
                    <w:rPr>
                      <w:rFonts w:ascii="Times New Roman" w:hAnsi="Times New Roman"/>
                      <w:color w:val="auto"/>
                      <w:u w:val="single"/>
                    </w:rPr>
                  </w:pPr>
                  <w:r>
                    <w:rPr>
                      <w:rFonts w:ascii="Times New Roman" w:hAnsi="Times New Roman"/>
                      <w:color w:val="auto"/>
                      <w:u w:val="single"/>
                    </w:rPr>
                    <w:t>SO</w:t>
                  </w:r>
                  <w:r>
                    <w:rPr>
                      <w:rFonts w:ascii="Times New Roman" w:hAnsi="Times New Roman"/>
                      <w:color w:val="auto"/>
                      <w:u w:val="single"/>
                      <w:vertAlign w:val="subscript"/>
                    </w:rPr>
                    <w:t>2</w:t>
                  </w:r>
                </w:p>
              </w:tc>
              <w:tc>
                <w:tcPr>
                  <w:tcW w:w="2154" w:type="dxa"/>
                  <w:gridSpan w:val="2"/>
                  <w:noWrap w:val="0"/>
                  <w:vAlign w:val="center"/>
                </w:tcPr>
                <w:p>
                  <w:pPr>
                    <w:pStyle w:val="50"/>
                    <w:rPr>
                      <w:rFonts w:ascii="Times New Roman" w:hAnsi="Times New Roman"/>
                      <w:color w:val="auto"/>
                      <w:u w:val="single"/>
                    </w:rPr>
                  </w:pPr>
                  <w:r>
                    <w:rPr>
                      <w:rFonts w:ascii="Times New Roman" w:hAnsi="Times New Roman"/>
                      <w:color w:val="auto"/>
                      <w:u w:val="single"/>
                    </w:rPr>
                    <w:t>NO</w:t>
                  </w:r>
                  <w:r>
                    <w:rPr>
                      <w:rFonts w:ascii="Times New Roman" w:hAnsi="Times New Roman"/>
                      <w:color w:val="auto"/>
                      <w:u w:val="single"/>
                      <w:vertAlign w:val="subscript"/>
                    </w:rPr>
                    <w:t>X</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003" w:type="dxa"/>
                  <w:vMerge w:val="continue"/>
                  <w:noWrap w:val="0"/>
                  <w:vAlign w:val="center"/>
                </w:tcPr>
                <w:p>
                  <w:pPr>
                    <w:pStyle w:val="50"/>
                    <w:rPr>
                      <w:rFonts w:ascii="Times New Roman" w:hAnsi="Times New Roman"/>
                      <w:color w:val="auto"/>
                      <w:u w:val="single"/>
                    </w:rPr>
                  </w:pPr>
                </w:p>
              </w:tc>
              <w:tc>
                <w:tcPr>
                  <w:tcW w:w="1307" w:type="dxa"/>
                  <w:vMerge w:val="continue"/>
                  <w:noWrap w:val="0"/>
                  <w:vAlign w:val="center"/>
                </w:tcPr>
                <w:p>
                  <w:pPr>
                    <w:pStyle w:val="50"/>
                    <w:rPr>
                      <w:rFonts w:ascii="Times New Roman" w:hAnsi="Times New Roman"/>
                      <w:color w:val="auto"/>
                      <w:u w:val="single"/>
                    </w:rPr>
                  </w:pPr>
                </w:p>
              </w:tc>
              <w:tc>
                <w:tcPr>
                  <w:tcW w:w="1120" w:type="dxa"/>
                  <w:noWrap w:val="0"/>
                  <w:vAlign w:val="center"/>
                </w:tcPr>
                <w:p>
                  <w:pPr>
                    <w:pStyle w:val="50"/>
                    <w:rPr>
                      <w:rFonts w:ascii="Times New Roman" w:hAnsi="Times New Roman"/>
                      <w:color w:val="auto"/>
                      <w:u w:val="single"/>
                    </w:rPr>
                  </w:pPr>
                  <w:r>
                    <w:rPr>
                      <w:rFonts w:ascii="Times New Roman" w:hAnsi="Times New Roman"/>
                      <w:color w:val="auto"/>
                      <w:u w:val="single"/>
                    </w:rPr>
                    <w:t>浓度</w:t>
                  </w:r>
                </w:p>
                <w:p>
                  <w:pPr>
                    <w:pStyle w:val="50"/>
                    <w:rPr>
                      <w:rFonts w:ascii="Times New Roman" w:hAnsi="Times New Roman"/>
                      <w:color w:val="auto"/>
                      <w:u w:val="single"/>
                    </w:rPr>
                  </w:pPr>
                  <w:r>
                    <w:rPr>
                      <w:rFonts w:ascii="Times New Roman" w:hAnsi="Times New Roman"/>
                      <w:color w:val="auto"/>
                      <w:u w:val="single"/>
                    </w:rPr>
                    <w:t>(mg/m</w:t>
                  </w:r>
                  <w:r>
                    <w:rPr>
                      <w:rFonts w:ascii="Times New Roman" w:hAnsi="Times New Roman"/>
                      <w:color w:val="auto"/>
                      <w:u w:val="single"/>
                      <w:vertAlign w:val="superscript"/>
                    </w:rPr>
                    <w:t>3</w:t>
                  </w:r>
                  <w:r>
                    <w:rPr>
                      <w:rFonts w:ascii="Times New Roman" w:hAnsi="Times New Roman"/>
                      <w:color w:val="auto"/>
                      <w:u w:val="single"/>
                    </w:rPr>
                    <w:t>)</w:t>
                  </w:r>
                </w:p>
              </w:tc>
              <w:tc>
                <w:tcPr>
                  <w:tcW w:w="1035" w:type="dxa"/>
                  <w:noWrap w:val="0"/>
                  <w:vAlign w:val="center"/>
                </w:tcPr>
                <w:p>
                  <w:pPr>
                    <w:pStyle w:val="50"/>
                    <w:rPr>
                      <w:rFonts w:ascii="Times New Roman" w:hAnsi="Times New Roman"/>
                      <w:color w:val="auto"/>
                      <w:u w:val="single"/>
                    </w:rPr>
                  </w:pPr>
                  <w:r>
                    <w:rPr>
                      <w:rFonts w:ascii="Times New Roman" w:hAnsi="Times New Roman"/>
                      <w:color w:val="auto"/>
                      <w:u w:val="single"/>
                    </w:rPr>
                    <w:t>排放量</w:t>
                  </w:r>
                </w:p>
                <w:p>
                  <w:pPr>
                    <w:pStyle w:val="50"/>
                    <w:rPr>
                      <w:rFonts w:ascii="Times New Roman" w:hAnsi="Times New Roman"/>
                      <w:color w:val="auto"/>
                      <w:u w:val="single"/>
                    </w:rPr>
                  </w:pPr>
                  <w:r>
                    <w:rPr>
                      <w:rFonts w:ascii="Times New Roman" w:hAnsi="Times New Roman"/>
                      <w:color w:val="auto"/>
                      <w:u w:val="single"/>
                    </w:rPr>
                    <w:t>（t/a）</w:t>
                  </w:r>
                </w:p>
              </w:tc>
              <w:tc>
                <w:tcPr>
                  <w:tcW w:w="1120" w:type="dxa"/>
                  <w:noWrap w:val="0"/>
                  <w:vAlign w:val="center"/>
                </w:tcPr>
                <w:p>
                  <w:pPr>
                    <w:pStyle w:val="50"/>
                    <w:rPr>
                      <w:rFonts w:ascii="Times New Roman" w:hAnsi="Times New Roman"/>
                      <w:color w:val="auto"/>
                      <w:u w:val="single"/>
                    </w:rPr>
                  </w:pPr>
                  <w:r>
                    <w:rPr>
                      <w:rFonts w:ascii="Times New Roman" w:hAnsi="Times New Roman"/>
                      <w:color w:val="auto"/>
                      <w:u w:val="single"/>
                    </w:rPr>
                    <w:t>浓度</w:t>
                  </w:r>
                </w:p>
                <w:p>
                  <w:pPr>
                    <w:pStyle w:val="50"/>
                    <w:rPr>
                      <w:rFonts w:ascii="Times New Roman" w:hAnsi="Times New Roman"/>
                      <w:color w:val="auto"/>
                      <w:u w:val="single"/>
                    </w:rPr>
                  </w:pPr>
                  <w:r>
                    <w:rPr>
                      <w:rFonts w:ascii="Times New Roman" w:hAnsi="Times New Roman"/>
                      <w:color w:val="auto"/>
                      <w:u w:val="single"/>
                    </w:rPr>
                    <w:t>(mg/m</w:t>
                  </w:r>
                  <w:r>
                    <w:rPr>
                      <w:rFonts w:ascii="Times New Roman" w:hAnsi="Times New Roman"/>
                      <w:color w:val="auto"/>
                      <w:u w:val="single"/>
                      <w:vertAlign w:val="superscript"/>
                    </w:rPr>
                    <w:t>3</w:t>
                  </w:r>
                  <w:r>
                    <w:rPr>
                      <w:rFonts w:ascii="Times New Roman" w:hAnsi="Times New Roman"/>
                      <w:color w:val="auto"/>
                      <w:u w:val="single"/>
                    </w:rPr>
                    <w:t>)</w:t>
                  </w:r>
                </w:p>
              </w:tc>
              <w:tc>
                <w:tcPr>
                  <w:tcW w:w="1035" w:type="dxa"/>
                  <w:noWrap w:val="0"/>
                  <w:vAlign w:val="center"/>
                </w:tcPr>
                <w:p>
                  <w:pPr>
                    <w:pStyle w:val="50"/>
                    <w:rPr>
                      <w:rFonts w:ascii="Times New Roman" w:hAnsi="Times New Roman"/>
                      <w:color w:val="auto"/>
                      <w:u w:val="single"/>
                    </w:rPr>
                  </w:pPr>
                  <w:r>
                    <w:rPr>
                      <w:rFonts w:ascii="Times New Roman" w:hAnsi="Times New Roman"/>
                      <w:color w:val="auto"/>
                      <w:u w:val="single"/>
                    </w:rPr>
                    <w:t>排放量</w:t>
                  </w:r>
                </w:p>
                <w:p>
                  <w:pPr>
                    <w:pStyle w:val="50"/>
                    <w:rPr>
                      <w:rFonts w:ascii="Times New Roman" w:hAnsi="Times New Roman"/>
                      <w:color w:val="auto"/>
                      <w:u w:val="single"/>
                    </w:rPr>
                  </w:pPr>
                  <w:r>
                    <w:rPr>
                      <w:rFonts w:ascii="Times New Roman" w:hAnsi="Times New Roman"/>
                      <w:color w:val="auto"/>
                      <w:u w:val="single"/>
                    </w:rPr>
                    <w:t>（t/a）</w:t>
                  </w:r>
                </w:p>
              </w:tc>
              <w:tc>
                <w:tcPr>
                  <w:tcW w:w="1120" w:type="dxa"/>
                  <w:noWrap w:val="0"/>
                  <w:vAlign w:val="center"/>
                </w:tcPr>
                <w:p>
                  <w:pPr>
                    <w:pStyle w:val="50"/>
                    <w:rPr>
                      <w:rFonts w:ascii="Times New Roman" w:hAnsi="Times New Roman"/>
                      <w:color w:val="auto"/>
                      <w:u w:val="single"/>
                    </w:rPr>
                  </w:pPr>
                  <w:r>
                    <w:rPr>
                      <w:rFonts w:ascii="Times New Roman" w:hAnsi="Times New Roman"/>
                      <w:color w:val="auto"/>
                      <w:u w:val="single"/>
                    </w:rPr>
                    <w:t>浓度</w:t>
                  </w:r>
                </w:p>
                <w:p>
                  <w:pPr>
                    <w:pStyle w:val="50"/>
                    <w:rPr>
                      <w:rFonts w:ascii="Times New Roman" w:hAnsi="Times New Roman"/>
                      <w:color w:val="auto"/>
                      <w:u w:val="single"/>
                    </w:rPr>
                  </w:pPr>
                  <w:r>
                    <w:rPr>
                      <w:rFonts w:ascii="Times New Roman" w:hAnsi="Times New Roman"/>
                      <w:color w:val="auto"/>
                      <w:u w:val="single"/>
                    </w:rPr>
                    <w:t>(mg/m</w:t>
                  </w:r>
                  <w:r>
                    <w:rPr>
                      <w:rFonts w:ascii="Times New Roman" w:hAnsi="Times New Roman"/>
                      <w:color w:val="auto"/>
                      <w:u w:val="single"/>
                      <w:vertAlign w:val="superscript"/>
                    </w:rPr>
                    <w:t>3</w:t>
                  </w:r>
                  <w:r>
                    <w:rPr>
                      <w:rFonts w:ascii="Times New Roman" w:hAnsi="Times New Roman"/>
                      <w:color w:val="auto"/>
                      <w:u w:val="single"/>
                    </w:rPr>
                    <w:t>)</w:t>
                  </w:r>
                </w:p>
              </w:tc>
              <w:tc>
                <w:tcPr>
                  <w:tcW w:w="1034" w:type="dxa"/>
                  <w:noWrap w:val="0"/>
                  <w:vAlign w:val="center"/>
                </w:tcPr>
                <w:p>
                  <w:pPr>
                    <w:pStyle w:val="50"/>
                    <w:rPr>
                      <w:rFonts w:ascii="Times New Roman" w:hAnsi="Times New Roman"/>
                      <w:color w:val="auto"/>
                      <w:u w:val="single"/>
                    </w:rPr>
                  </w:pPr>
                  <w:r>
                    <w:rPr>
                      <w:rFonts w:ascii="Times New Roman" w:hAnsi="Times New Roman"/>
                      <w:color w:val="auto"/>
                      <w:u w:val="single"/>
                    </w:rPr>
                    <w:t>排放量</w:t>
                  </w:r>
                </w:p>
                <w:p>
                  <w:pPr>
                    <w:pStyle w:val="50"/>
                    <w:rPr>
                      <w:rFonts w:ascii="Times New Roman" w:hAnsi="Times New Roman"/>
                      <w:color w:val="auto"/>
                      <w:u w:val="single"/>
                    </w:rPr>
                  </w:pPr>
                  <w:r>
                    <w:rPr>
                      <w:rFonts w:ascii="Times New Roman" w:hAnsi="Times New Roman"/>
                      <w:color w:val="auto"/>
                      <w:u w:val="single"/>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003" w:type="dxa"/>
                  <w:noWrap w:val="0"/>
                  <w:vAlign w:val="center"/>
                </w:tcPr>
                <w:p>
                  <w:pPr>
                    <w:pStyle w:val="50"/>
                    <w:rPr>
                      <w:rFonts w:ascii="Times New Roman" w:hAnsi="Times New Roman"/>
                      <w:color w:val="auto"/>
                      <w:u w:val="single"/>
                    </w:rPr>
                  </w:pPr>
                  <w:r>
                    <w:rPr>
                      <w:rFonts w:ascii="Times New Roman" w:hAnsi="Times New Roman"/>
                      <w:color w:val="auto"/>
                      <w:u w:val="single"/>
                    </w:rPr>
                    <w:t>处理前</w:t>
                  </w:r>
                </w:p>
              </w:tc>
              <w:tc>
                <w:tcPr>
                  <w:tcW w:w="1307" w:type="dxa"/>
                  <w:vMerge w:val="restart"/>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517.32</w:t>
                  </w:r>
                </w:p>
              </w:tc>
              <w:tc>
                <w:tcPr>
                  <w:tcW w:w="1120"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5.76</w:t>
                  </w:r>
                </w:p>
              </w:tc>
              <w:tc>
                <w:tcPr>
                  <w:tcW w:w="1035"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0.41</w:t>
                  </w:r>
                </w:p>
              </w:tc>
              <w:tc>
                <w:tcPr>
                  <w:tcW w:w="1120"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19.57</w:t>
                  </w:r>
                </w:p>
              </w:tc>
              <w:tc>
                <w:tcPr>
                  <w:tcW w:w="1035"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1.41</w:t>
                  </w:r>
                </w:p>
              </w:tc>
              <w:tc>
                <w:tcPr>
                  <w:tcW w:w="1120"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11.74</w:t>
                  </w:r>
                </w:p>
              </w:tc>
              <w:tc>
                <w:tcPr>
                  <w:tcW w:w="1034"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003" w:type="dxa"/>
                  <w:noWrap w:val="0"/>
                  <w:vAlign w:val="center"/>
                </w:tcPr>
                <w:p>
                  <w:pPr>
                    <w:pStyle w:val="50"/>
                    <w:rPr>
                      <w:rFonts w:ascii="Times New Roman" w:hAnsi="Times New Roman"/>
                      <w:color w:val="auto"/>
                      <w:u w:val="single"/>
                    </w:rPr>
                  </w:pPr>
                  <w:r>
                    <w:rPr>
                      <w:rFonts w:ascii="Times New Roman" w:hAnsi="Times New Roman"/>
                      <w:color w:val="auto"/>
                      <w:u w:val="single"/>
                    </w:rPr>
                    <w:t>处理后</w:t>
                  </w:r>
                </w:p>
              </w:tc>
              <w:tc>
                <w:tcPr>
                  <w:tcW w:w="1307" w:type="dxa"/>
                  <w:vMerge w:val="continue"/>
                  <w:noWrap w:val="0"/>
                  <w:vAlign w:val="center"/>
                </w:tcPr>
                <w:p>
                  <w:pPr>
                    <w:pStyle w:val="50"/>
                    <w:rPr>
                      <w:rFonts w:ascii="Times New Roman" w:hAnsi="Times New Roman"/>
                      <w:color w:val="auto"/>
                      <w:u w:val="single"/>
                    </w:rPr>
                  </w:pPr>
                </w:p>
              </w:tc>
              <w:tc>
                <w:tcPr>
                  <w:tcW w:w="1120"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0.29</w:t>
                  </w:r>
                </w:p>
              </w:tc>
              <w:tc>
                <w:tcPr>
                  <w:tcW w:w="1035"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0.02</w:t>
                  </w:r>
                </w:p>
              </w:tc>
              <w:tc>
                <w:tcPr>
                  <w:tcW w:w="1120"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5.87</w:t>
                  </w:r>
                </w:p>
              </w:tc>
              <w:tc>
                <w:tcPr>
                  <w:tcW w:w="1035"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0.42</w:t>
                  </w:r>
                </w:p>
              </w:tc>
              <w:tc>
                <w:tcPr>
                  <w:tcW w:w="1120"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11.74</w:t>
                  </w:r>
                </w:p>
              </w:tc>
              <w:tc>
                <w:tcPr>
                  <w:tcW w:w="1034" w:type="dxa"/>
                  <w:noWrap w:val="0"/>
                  <w:vAlign w:val="center"/>
                </w:tcPr>
                <w:p>
                  <w:pPr>
                    <w:pStyle w:val="50"/>
                    <w:rPr>
                      <w:rFonts w:hint="default" w:ascii="Times New Roman" w:hAnsi="Times New Roman" w:eastAsia="宋体"/>
                      <w:color w:val="auto"/>
                      <w:u w:val="single"/>
                      <w:lang w:val="en-US" w:eastAsia="zh-CN"/>
                    </w:rPr>
                  </w:pPr>
                  <w:r>
                    <w:rPr>
                      <w:rFonts w:hint="eastAsia" w:ascii="Times New Roman" w:hAnsi="Times New Roman"/>
                      <w:color w:val="auto"/>
                      <w:u w:val="singl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2310" w:type="dxa"/>
                  <w:gridSpan w:val="2"/>
                  <w:noWrap w:val="0"/>
                  <w:vAlign w:val="center"/>
                </w:tcPr>
                <w:p>
                  <w:pPr>
                    <w:pStyle w:val="50"/>
                    <w:rPr>
                      <w:rFonts w:ascii="Times New Roman" w:hAnsi="Times New Roman"/>
                      <w:color w:val="auto"/>
                      <w:u w:val="single"/>
                    </w:rPr>
                  </w:pPr>
                  <w:r>
                    <w:rPr>
                      <w:rFonts w:ascii="Times New Roman" w:hAnsi="Times New Roman"/>
                      <w:color w:val="auto"/>
                      <w:u w:val="single"/>
                    </w:rPr>
                    <w:t>排放标准</w:t>
                  </w:r>
                </w:p>
              </w:tc>
              <w:tc>
                <w:tcPr>
                  <w:tcW w:w="1120" w:type="dxa"/>
                  <w:noWrap w:val="0"/>
                  <w:vAlign w:val="center"/>
                </w:tcPr>
                <w:p>
                  <w:pPr>
                    <w:pStyle w:val="50"/>
                    <w:rPr>
                      <w:rFonts w:ascii="Times New Roman" w:hAnsi="Times New Roman"/>
                      <w:color w:val="auto"/>
                      <w:u w:val="single"/>
                    </w:rPr>
                  </w:pPr>
                  <w:r>
                    <w:rPr>
                      <w:rFonts w:hint="eastAsia" w:ascii="Times New Roman" w:hAnsi="Times New Roman"/>
                      <w:color w:val="auto"/>
                      <w:u w:val="single"/>
                    </w:rPr>
                    <w:t>50</w:t>
                  </w:r>
                </w:p>
              </w:tc>
              <w:tc>
                <w:tcPr>
                  <w:tcW w:w="1035" w:type="dxa"/>
                  <w:noWrap w:val="0"/>
                  <w:vAlign w:val="center"/>
                </w:tcPr>
                <w:p>
                  <w:pPr>
                    <w:pStyle w:val="50"/>
                    <w:rPr>
                      <w:rFonts w:ascii="Times New Roman" w:hAnsi="Times New Roman"/>
                      <w:color w:val="auto"/>
                      <w:u w:val="single"/>
                    </w:rPr>
                  </w:pPr>
                  <w:r>
                    <w:rPr>
                      <w:rFonts w:ascii="Times New Roman" w:hAnsi="Times New Roman"/>
                      <w:color w:val="auto"/>
                      <w:u w:val="single"/>
                    </w:rPr>
                    <w:t>/</w:t>
                  </w:r>
                </w:p>
              </w:tc>
              <w:tc>
                <w:tcPr>
                  <w:tcW w:w="1120" w:type="dxa"/>
                  <w:noWrap w:val="0"/>
                  <w:vAlign w:val="center"/>
                </w:tcPr>
                <w:p>
                  <w:pPr>
                    <w:pStyle w:val="50"/>
                    <w:rPr>
                      <w:rFonts w:ascii="Times New Roman" w:hAnsi="Times New Roman"/>
                      <w:color w:val="auto"/>
                      <w:u w:val="single"/>
                    </w:rPr>
                  </w:pPr>
                  <w:r>
                    <w:rPr>
                      <w:rFonts w:hint="eastAsia" w:ascii="Times New Roman" w:hAnsi="Times New Roman"/>
                      <w:color w:val="auto"/>
                      <w:u w:val="single"/>
                    </w:rPr>
                    <w:t>300</w:t>
                  </w:r>
                </w:p>
              </w:tc>
              <w:tc>
                <w:tcPr>
                  <w:tcW w:w="1035" w:type="dxa"/>
                  <w:noWrap w:val="0"/>
                  <w:vAlign w:val="center"/>
                </w:tcPr>
                <w:p>
                  <w:pPr>
                    <w:pStyle w:val="50"/>
                    <w:rPr>
                      <w:rFonts w:ascii="Times New Roman" w:hAnsi="Times New Roman"/>
                      <w:color w:val="auto"/>
                      <w:u w:val="single"/>
                    </w:rPr>
                  </w:pPr>
                  <w:r>
                    <w:rPr>
                      <w:rFonts w:ascii="Times New Roman" w:hAnsi="Times New Roman"/>
                      <w:color w:val="auto"/>
                      <w:u w:val="single"/>
                    </w:rPr>
                    <w:t>/</w:t>
                  </w:r>
                </w:p>
              </w:tc>
              <w:tc>
                <w:tcPr>
                  <w:tcW w:w="1120" w:type="dxa"/>
                  <w:noWrap w:val="0"/>
                  <w:vAlign w:val="center"/>
                </w:tcPr>
                <w:p>
                  <w:pPr>
                    <w:pStyle w:val="50"/>
                    <w:rPr>
                      <w:rFonts w:ascii="Times New Roman" w:hAnsi="Times New Roman"/>
                      <w:color w:val="auto"/>
                      <w:u w:val="single"/>
                    </w:rPr>
                  </w:pPr>
                  <w:r>
                    <w:rPr>
                      <w:rFonts w:hint="eastAsia" w:ascii="Times New Roman" w:hAnsi="Times New Roman"/>
                      <w:color w:val="auto"/>
                      <w:u w:val="single"/>
                    </w:rPr>
                    <w:t>300</w:t>
                  </w:r>
                </w:p>
              </w:tc>
              <w:tc>
                <w:tcPr>
                  <w:tcW w:w="1034" w:type="dxa"/>
                  <w:noWrap w:val="0"/>
                  <w:vAlign w:val="center"/>
                </w:tcPr>
                <w:p>
                  <w:pPr>
                    <w:pStyle w:val="50"/>
                    <w:rPr>
                      <w:rFonts w:ascii="Times New Roman" w:hAnsi="Times New Roman"/>
                      <w:color w:val="auto"/>
                      <w:u w:val="single"/>
                    </w:rPr>
                  </w:pPr>
                  <w:r>
                    <w:rPr>
                      <w:rFonts w:ascii="Times New Roman" w:hAnsi="Times New Roman"/>
                      <w:color w:val="auto"/>
                      <w:u w:val="single"/>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bCs/>
                <w:color w:val="auto"/>
                <w:sz w:val="24"/>
                <w:szCs w:val="24"/>
                <w:u w:val="single"/>
                <w:lang w:val="en-US" w:eastAsia="zh-CN"/>
              </w:rPr>
            </w:pPr>
            <w:r>
              <w:rPr>
                <w:bCs/>
                <w:color w:val="auto"/>
                <w:sz w:val="24"/>
                <w:szCs w:val="24"/>
                <w:u w:val="single"/>
              </w:rPr>
              <w:t>项目采用</w:t>
            </w:r>
            <w:r>
              <w:rPr>
                <w:rFonts w:hint="eastAsia"/>
                <w:bCs/>
                <w:color w:val="auto"/>
                <w:sz w:val="24"/>
                <w:szCs w:val="24"/>
                <w:u w:val="single"/>
              </w:rPr>
              <w:t>“水膜</w:t>
            </w:r>
            <w:r>
              <w:rPr>
                <w:bCs/>
                <w:color w:val="auto"/>
                <w:sz w:val="24"/>
                <w:szCs w:val="24"/>
                <w:u w:val="single"/>
              </w:rPr>
              <w:t>除尘器</w:t>
            </w:r>
            <w:r>
              <w:rPr>
                <w:rFonts w:hint="eastAsia"/>
                <w:bCs/>
                <w:color w:val="auto"/>
                <w:sz w:val="24"/>
                <w:szCs w:val="24"/>
                <w:u w:val="single"/>
              </w:rPr>
              <w:t>+碱液喷淋”</w:t>
            </w:r>
            <w:r>
              <w:rPr>
                <w:bCs/>
                <w:color w:val="auto"/>
                <w:sz w:val="24"/>
                <w:szCs w:val="24"/>
                <w:u w:val="single"/>
              </w:rPr>
              <w:t>对锅炉废气进行脱硫除尘，</w:t>
            </w:r>
            <w:r>
              <w:rPr>
                <w:rFonts w:hint="eastAsia"/>
                <w:bCs/>
                <w:color w:val="auto"/>
                <w:sz w:val="24"/>
                <w:szCs w:val="24"/>
                <w:u w:val="single"/>
              </w:rPr>
              <w:t>“水膜</w:t>
            </w:r>
            <w:r>
              <w:rPr>
                <w:bCs/>
                <w:color w:val="auto"/>
                <w:sz w:val="24"/>
                <w:szCs w:val="24"/>
                <w:u w:val="single"/>
              </w:rPr>
              <w:t>除尘器</w:t>
            </w:r>
            <w:r>
              <w:rPr>
                <w:rFonts w:hint="eastAsia"/>
                <w:bCs/>
                <w:color w:val="auto"/>
                <w:sz w:val="24"/>
                <w:szCs w:val="24"/>
                <w:u w:val="single"/>
              </w:rPr>
              <w:t>+碱液喷淋”工艺对烟尘的</w:t>
            </w:r>
            <w:r>
              <w:rPr>
                <w:bCs/>
                <w:color w:val="auto"/>
                <w:sz w:val="24"/>
                <w:szCs w:val="24"/>
                <w:u w:val="single"/>
              </w:rPr>
              <w:t>除尘效率可达</w:t>
            </w:r>
            <w:r>
              <w:rPr>
                <w:rFonts w:hint="eastAsia"/>
                <w:bCs/>
                <w:color w:val="auto"/>
                <w:sz w:val="24"/>
                <w:szCs w:val="24"/>
                <w:u w:val="single"/>
              </w:rPr>
              <w:t>95</w:t>
            </w:r>
            <w:r>
              <w:rPr>
                <w:bCs/>
                <w:color w:val="auto"/>
                <w:sz w:val="24"/>
                <w:szCs w:val="24"/>
                <w:u w:val="single"/>
              </w:rPr>
              <w:t>%以上，</w:t>
            </w:r>
            <w:r>
              <w:rPr>
                <w:rFonts w:hint="eastAsia"/>
                <w:bCs/>
                <w:color w:val="auto"/>
                <w:sz w:val="24"/>
                <w:szCs w:val="24"/>
                <w:u w:val="single"/>
              </w:rPr>
              <w:t>碱液喷淋</w:t>
            </w:r>
            <w:r>
              <w:rPr>
                <w:bCs/>
                <w:color w:val="auto"/>
                <w:sz w:val="24"/>
                <w:szCs w:val="24"/>
                <w:u w:val="single"/>
              </w:rPr>
              <w:t>脱硫效率可达</w:t>
            </w:r>
            <w:r>
              <w:rPr>
                <w:rFonts w:hint="eastAsia"/>
                <w:bCs/>
                <w:color w:val="auto"/>
                <w:sz w:val="24"/>
                <w:szCs w:val="24"/>
                <w:u w:val="single"/>
              </w:rPr>
              <w:t>7</w:t>
            </w:r>
            <w:r>
              <w:rPr>
                <w:bCs/>
                <w:color w:val="auto"/>
                <w:sz w:val="24"/>
                <w:szCs w:val="24"/>
                <w:u w:val="single"/>
              </w:rPr>
              <w:t>0%以上，</w:t>
            </w:r>
            <w:r>
              <w:rPr>
                <w:rFonts w:hint="eastAsia"/>
                <w:bCs/>
                <w:color w:val="auto"/>
                <w:sz w:val="24"/>
                <w:szCs w:val="24"/>
                <w:u w:val="single"/>
                <w:lang w:eastAsia="zh-CN"/>
              </w:rPr>
              <w:t>风机风量为</w:t>
            </w:r>
            <w:r>
              <w:rPr>
                <w:rFonts w:hint="eastAsia"/>
                <w:bCs/>
                <w:color w:val="auto"/>
                <w:sz w:val="24"/>
                <w:szCs w:val="24"/>
                <w:u w:val="single"/>
                <w:lang w:val="en-US" w:eastAsia="zh-CN"/>
              </w:rPr>
              <w:t>10000m</w:t>
            </w:r>
            <w:r>
              <w:rPr>
                <w:rFonts w:hint="eastAsia"/>
                <w:bCs/>
                <w:color w:val="auto"/>
                <w:sz w:val="24"/>
                <w:szCs w:val="24"/>
                <w:u w:val="single"/>
                <w:vertAlign w:val="superscript"/>
                <w:lang w:val="en-US" w:eastAsia="zh-CN"/>
              </w:rPr>
              <w:t>3</w:t>
            </w:r>
            <w:r>
              <w:rPr>
                <w:rFonts w:hint="eastAsia"/>
                <w:bCs/>
                <w:color w:val="auto"/>
                <w:sz w:val="24"/>
                <w:szCs w:val="24"/>
                <w:u w:val="single"/>
                <w:lang w:val="en-US" w:eastAsia="zh-CN"/>
              </w:rPr>
              <w:t>/h，</w:t>
            </w:r>
            <w:r>
              <w:rPr>
                <w:bCs/>
                <w:color w:val="auto"/>
                <w:sz w:val="24"/>
                <w:szCs w:val="24"/>
                <w:u w:val="single"/>
              </w:rPr>
              <w:t>经处理后符合《锅炉大气污染物排放标准》（GB 13271-2014）中的</w:t>
            </w:r>
            <w:r>
              <w:rPr>
                <w:rFonts w:hint="eastAsia"/>
                <w:bCs/>
                <w:color w:val="auto"/>
                <w:sz w:val="24"/>
                <w:szCs w:val="24"/>
                <w:u w:val="single"/>
              </w:rPr>
              <w:t>燃煤锅炉相关标准</w:t>
            </w:r>
            <w:r>
              <w:rPr>
                <w:bCs/>
                <w:color w:val="auto"/>
                <w:sz w:val="24"/>
                <w:szCs w:val="24"/>
                <w:u w:val="single"/>
              </w:rPr>
              <w:t>要求。净化后的烟气通过1个</w:t>
            </w:r>
            <w:r>
              <w:rPr>
                <w:rFonts w:hint="eastAsia"/>
                <w:bCs/>
                <w:color w:val="auto"/>
                <w:sz w:val="24"/>
                <w:szCs w:val="24"/>
                <w:u w:val="single"/>
              </w:rPr>
              <w:t>35</w:t>
            </w:r>
            <w:r>
              <w:rPr>
                <w:bCs/>
                <w:color w:val="auto"/>
                <w:sz w:val="24"/>
                <w:szCs w:val="24"/>
                <w:u w:val="single"/>
              </w:rPr>
              <w:t>m高的烟囱排放。</w:t>
            </w:r>
          </w:p>
          <w:p>
            <w:pPr>
              <w:spacing w:line="360" w:lineRule="auto"/>
              <w:ind w:firstLine="482"/>
              <w:rPr>
                <w:rFonts w:hint="default" w:ascii="Times New Roman" w:hAnsi="Times New Roman" w:eastAsia="宋体" w:cs="Times New Roman"/>
                <w:b w:val="0"/>
                <w:bCs/>
                <w:color w:val="auto"/>
                <w:sz w:val="24"/>
                <w:szCs w:val="24"/>
                <w:u w:val="none"/>
                <w:lang w:eastAsia="zh-CN"/>
              </w:rPr>
            </w:pPr>
            <w:r>
              <w:rPr>
                <w:rFonts w:hint="eastAsia" w:ascii="Times New Roman" w:hAnsi="Times New Roman" w:eastAsia="宋体" w:cs="Times New Roman"/>
                <w:b w:val="0"/>
                <w:bCs/>
                <w:color w:val="auto"/>
                <w:sz w:val="24"/>
                <w:szCs w:val="24"/>
                <w:u w:val="none"/>
                <w:lang w:val="en-US" w:eastAsia="zh-CN"/>
              </w:rPr>
              <w:t>2）</w:t>
            </w:r>
            <w:r>
              <w:rPr>
                <w:rFonts w:hint="eastAsia"/>
                <w:bCs/>
                <w:color w:val="auto"/>
                <w:sz w:val="24"/>
                <w:szCs w:val="24"/>
              </w:rPr>
              <w:t>粉尘废气</w:t>
            </w:r>
          </w:p>
          <w:p>
            <w:pPr>
              <w:spacing w:line="360" w:lineRule="auto"/>
              <w:ind w:firstLine="482"/>
              <w:rPr>
                <w:rFonts w:hint="eastAsia" w:eastAsia="宋体" w:asciiTheme="minorEastAsia" w:hAnsiTheme="minorEastAsia" w:cstheme="minorEastAsia"/>
                <w:b w:val="0"/>
                <w:bCs/>
                <w:color w:val="auto"/>
                <w:sz w:val="24"/>
                <w:szCs w:val="24"/>
                <w:u w:val="none"/>
                <w:lang w:eastAsia="zh-CN"/>
              </w:rPr>
            </w:pPr>
            <w:r>
              <w:rPr>
                <w:rFonts w:hint="eastAsia"/>
                <w:bCs/>
                <w:color w:val="auto"/>
                <w:sz w:val="24"/>
                <w:szCs w:val="24"/>
              </w:rPr>
              <w:t>本项目锯机在运行过程会产生木屑粉尘。生产过程粉尘产生量为0.5kg/m</w:t>
            </w:r>
            <w:r>
              <w:rPr>
                <w:rFonts w:hint="eastAsia"/>
                <w:bCs/>
                <w:color w:val="auto"/>
                <w:sz w:val="24"/>
                <w:szCs w:val="24"/>
                <w:vertAlign w:val="superscript"/>
              </w:rPr>
              <w:t>3</w:t>
            </w:r>
            <w:r>
              <w:rPr>
                <w:rFonts w:hint="eastAsia"/>
                <w:bCs/>
                <w:color w:val="auto"/>
                <w:sz w:val="24"/>
                <w:szCs w:val="24"/>
              </w:rPr>
              <w:t>-板材，本项目年产竹胶合板</w:t>
            </w:r>
            <w:r>
              <w:rPr>
                <w:rFonts w:hint="eastAsia"/>
                <w:bCs/>
                <w:color w:val="auto"/>
                <w:sz w:val="24"/>
                <w:szCs w:val="24"/>
                <w:lang w:val="en-US" w:eastAsia="zh-CN"/>
              </w:rPr>
              <w:t>2000</w:t>
            </w:r>
            <w:r>
              <w:rPr>
                <w:rFonts w:hint="eastAsia"/>
                <w:bCs/>
                <w:color w:val="auto"/>
                <w:sz w:val="24"/>
                <w:szCs w:val="24"/>
              </w:rPr>
              <w:t>m</w:t>
            </w:r>
            <w:r>
              <w:rPr>
                <w:rFonts w:hint="eastAsia"/>
                <w:bCs/>
                <w:color w:val="auto"/>
                <w:sz w:val="24"/>
                <w:szCs w:val="24"/>
                <w:vertAlign w:val="superscript"/>
              </w:rPr>
              <w:t>3</w:t>
            </w:r>
            <w:r>
              <w:rPr>
                <w:rFonts w:hint="eastAsia"/>
                <w:bCs/>
                <w:color w:val="auto"/>
                <w:sz w:val="24"/>
                <w:szCs w:val="24"/>
              </w:rPr>
              <w:t>/a（根据产品方案核算体积），则项目粉尘产生量共</w:t>
            </w:r>
            <w:r>
              <w:rPr>
                <w:rFonts w:hint="eastAsia"/>
                <w:bCs/>
                <w:color w:val="auto"/>
                <w:sz w:val="24"/>
                <w:szCs w:val="24"/>
                <w:lang w:val="en-US" w:eastAsia="zh-CN"/>
              </w:rPr>
              <w:t>1</w:t>
            </w:r>
            <w:r>
              <w:rPr>
                <w:rFonts w:hint="eastAsia"/>
                <w:bCs/>
                <w:color w:val="auto"/>
                <w:sz w:val="24"/>
                <w:szCs w:val="24"/>
              </w:rPr>
              <w:t>t/a。项目锯边机自带袋式</w:t>
            </w:r>
            <w:r>
              <w:rPr>
                <w:rFonts w:hint="eastAsia"/>
                <w:bCs/>
                <w:color w:val="auto"/>
                <w:sz w:val="24"/>
                <w:szCs w:val="24"/>
                <w:lang w:eastAsia="zh-CN"/>
              </w:rPr>
              <w:t>除尘</w:t>
            </w:r>
            <w:r>
              <w:rPr>
                <w:rFonts w:hint="eastAsia"/>
                <w:bCs/>
                <w:color w:val="auto"/>
                <w:sz w:val="24"/>
                <w:szCs w:val="24"/>
              </w:rPr>
              <w:t>器，收集效率</w:t>
            </w:r>
            <w:r>
              <w:rPr>
                <w:rFonts w:hint="eastAsia"/>
                <w:bCs/>
                <w:color w:val="auto"/>
                <w:sz w:val="24"/>
                <w:szCs w:val="24"/>
                <w:lang w:eastAsia="zh-CN"/>
              </w:rPr>
              <w:t>约</w:t>
            </w:r>
            <w:r>
              <w:rPr>
                <w:rFonts w:hint="eastAsia"/>
                <w:bCs/>
                <w:color w:val="auto"/>
                <w:sz w:val="24"/>
                <w:szCs w:val="24"/>
              </w:rPr>
              <w:t>为9</w:t>
            </w:r>
            <w:r>
              <w:rPr>
                <w:rFonts w:hint="eastAsia"/>
                <w:bCs/>
                <w:color w:val="auto"/>
                <w:sz w:val="24"/>
                <w:szCs w:val="24"/>
                <w:lang w:val="en-US" w:eastAsia="zh-CN"/>
              </w:rPr>
              <w:t>5</w:t>
            </w:r>
            <w:r>
              <w:rPr>
                <w:rFonts w:hint="eastAsia"/>
                <w:bCs/>
                <w:color w:val="auto"/>
                <w:sz w:val="24"/>
                <w:szCs w:val="24"/>
              </w:rPr>
              <w:t>%，吸收的粉尘储存在布袋内，未被收集的以无组织形式排放，则无组织排放量为</w:t>
            </w:r>
            <w:r>
              <w:rPr>
                <w:rFonts w:hint="eastAsia"/>
                <w:bCs/>
                <w:color w:val="auto"/>
                <w:sz w:val="24"/>
                <w:szCs w:val="24"/>
                <w:lang w:val="en-US" w:eastAsia="zh-CN"/>
              </w:rPr>
              <w:t>0.05</w:t>
            </w:r>
            <w:r>
              <w:rPr>
                <w:rFonts w:hint="eastAsia"/>
                <w:bCs/>
                <w:color w:val="auto"/>
                <w:sz w:val="24"/>
                <w:szCs w:val="24"/>
              </w:rPr>
              <w:t>t/a</w:t>
            </w:r>
            <w:r>
              <w:rPr>
                <w:rFonts w:hint="eastAsia"/>
                <w:bCs/>
                <w:color w:val="auto"/>
                <w:sz w:val="24"/>
                <w:szCs w:val="24"/>
                <w:lang w:eastAsia="zh-CN"/>
              </w:rPr>
              <w:t>。</w:t>
            </w:r>
          </w:p>
          <w:p>
            <w:pPr>
              <w:spacing w:line="360" w:lineRule="auto"/>
              <w:ind w:firstLine="482"/>
              <w:rPr>
                <w:rFonts w:hint="default" w:ascii="Times New Roman" w:hAnsi="Times New Roman" w:eastAsia="宋体" w:cs="Times New Roman"/>
                <w:b w:val="0"/>
                <w:bCs/>
                <w:color w:val="auto"/>
                <w:sz w:val="24"/>
                <w:szCs w:val="24"/>
                <w:u w:val="none"/>
                <w:lang w:eastAsia="zh-CN"/>
              </w:rPr>
            </w:pPr>
            <w:r>
              <w:rPr>
                <w:rFonts w:hint="eastAsia" w:ascii="Times New Roman" w:hAnsi="Times New Roman" w:eastAsia="宋体" w:cs="Times New Roman"/>
                <w:b w:val="0"/>
                <w:bCs/>
                <w:color w:val="auto"/>
                <w:sz w:val="24"/>
                <w:szCs w:val="24"/>
                <w:u w:val="none"/>
                <w:lang w:val="en-US" w:eastAsia="zh-CN"/>
              </w:rPr>
              <w:t>3）</w:t>
            </w:r>
            <w:r>
              <w:rPr>
                <w:rFonts w:hint="eastAsia"/>
                <w:bCs/>
                <w:color w:val="auto"/>
                <w:sz w:val="24"/>
                <w:szCs w:val="24"/>
              </w:rPr>
              <w:t>有机</w:t>
            </w:r>
            <w:r>
              <w:rPr>
                <w:bCs/>
                <w:color w:val="auto"/>
                <w:sz w:val="24"/>
                <w:szCs w:val="24"/>
              </w:rPr>
              <w:t>废气</w:t>
            </w:r>
          </w:p>
          <w:p>
            <w:pPr>
              <w:adjustRightInd w:val="0"/>
              <w:snapToGrid w:val="0"/>
              <w:spacing w:line="360" w:lineRule="auto"/>
              <w:ind w:firstLine="480" w:firstLineChars="200"/>
              <w:rPr>
                <w:rFonts w:hint="eastAsia"/>
                <w:bCs/>
                <w:color w:val="auto"/>
                <w:sz w:val="24"/>
                <w:szCs w:val="24"/>
              </w:rPr>
            </w:pPr>
            <w:r>
              <w:rPr>
                <w:bCs/>
                <w:color w:val="auto"/>
                <w:sz w:val="24"/>
                <w:szCs w:val="24"/>
              </w:rPr>
              <w:t>本项目在</w:t>
            </w:r>
            <w:r>
              <w:rPr>
                <w:rFonts w:hint="eastAsia"/>
                <w:bCs/>
                <w:color w:val="auto"/>
                <w:sz w:val="24"/>
                <w:szCs w:val="24"/>
              </w:rPr>
              <w:t>调胶、浸胶和干燥过程</w:t>
            </w:r>
            <w:r>
              <w:rPr>
                <w:bCs/>
                <w:color w:val="auto"/>
                <w:sz w:val="24"/>
                <w:szCs w:val="24"/>
              </w:rPr>
              <w:t>中有</w:t>
            </w:r>
            <w:r>
              <w:rPr>
                <w:rFonts w:hint="eastAsia"/>
                <w:bCs/>
                <w:color w:val="auto"/>
                <w:sz w:val="24"/>
                <w:szCs w:val="24"/>
              </w:rPr>
              <w:t>部分</w:t>
            </w:r>
            <w:r>
              <w:rPr>
                <w:bCs/>
                <w:color w:val="auto"/>
                <w:sz w:val="24"/>
                <w:szCs w:val="24"/>
              </w:rPr>
              <w:t>游离甲醛</w:t>
            </w:r>
            <w:r>
              <w:rPr>
                <w:rFonts w:hint="eastAsia"/>
                <w:bCs/>
                <w:color w:val="auto"/>
                <w:sz w:val="24"/>
                <w:szCs w:val="24"/>
              </w:rPr>
              <w:t>、游离酚</w:t>
            </w:r>
            <w:r>
              <w:rPr>
                <w:bCs/>
                <w:color w:val="auto"/>
                <w:sz w:val="24"/>
                <w:szCs w:val="24"/>
              </w:rPr>
              <w:t>从</w:t>
            </w:r>
            <w:r>
              <w:rPr>
                <w:rFonts w:hint="eastAsia"/>
                <w:bCs/>
                <w:color w:val="auto"/>
                <w:sz w:val="24"/>
                <w:szCs w:val="24"/>
              </w:rPr>
              <w:t>酚醛树脂</w:t>
            </w:r>
            <w:r>
              <w:rPr>
                <w:bCs/>
                <w:color w:val="auto"/>
                <w:sz w:val="24"/>
                <w:szCs w:val="24"/>
              </w:rPr>
              <w:t>胶中挥发出来</w:t>
            </w:r>
            <w:r>
              <w:rPr>
                <w:rFonts w:hint="eastAsia"/>
                <w:bCs/>
                <w:color w:val="auto"/>
                <w:sz w:val="24"/>
                <w:szCs w:val="24"/>
              </w:rPr>
              <w:t>形成有机废气。</w:t>
            </w:r>
            <w:r>
              <w:rPr>
                <w:bCs/>
                <w:color w:val="auto"/>
                <w:sz w:val="24"/>
                <w:szCs w:val="24"/>
              </w:rPr>
              <w:t>根据</w:t>
            </w:r>
            <w:r>
              <w:rPr>
                <w:rFonts w:hint="eastAsia"/>
                <w:bCs/>
                <w:color w:val="auto"/>
                <w:sz w:val="24"/>
                <w:szCs w:val="24"/>
              </w:rPr>
              <w:t>建设单位提供资料</w:t>
            </w:r>
            <w:r>
              <w:rPr>
                <w:bCs/>
                <w:color w:val="auto"/>
                <w:sz w:val="24"/>
                <w:szCs w:val="24"/>
              </w:rPr>
              <w:t>，</w:t>
            </w:r>
            <w:r>
              <w:rPr>
                <w:rFonts w:hint="eastAsia"/>
                <w:bCs/>
                <w:color w:val="auto"/>
                <w:sz w:val="24"/>
                <w:szCs w:val="24"/>
              </w:rPr>
              <w:t>本项目年用酚醛树脂200t，</w:t>
            </w:r>
            <w:r>
              <w:rPr>
                <w:rFonts w:hint="eastAsia"/>
                <w:bCs/>
                <w:color w:val="auto"/>
                <w:sz w:val="24"/>
                <w:szCs w:val="24"/>
                <w:u w:val="single"/>
                <w:lang w:eastAsia="zh-CN"/>
              </w:rPr>
              <w:t>由</w:t>
            </w:r>
            <w:r>
              <w:rPr>
                <w:rFonts w:hint="eastAsia"/>
                <w:bCs/>
                <w:color w:val="auto"/>
                <w:sz w:val="24"/>
                <w:szCs w:val="24"/>
                <w:u w:val="single"/>
              </w:rPr>
              <w:t>项目酚醛树脂</w:t>
            </w:r>
            <w:r>
              <w:rPr>
                <w:rFonts w:hint="eastAsia"/>
                <w:bCs/>
                <w:color w:val="auto"/>
                <w:sz w:val="24"/>
                <w:szCs w:val="24"/>
                <w:u w:val="single"/>
                <w:lang w:eastAsia="zh-CN"/>
              </w:rPr>
              <w:t>胶检测报告可知，</w:t>
            </w:r>
            <w:r>
              <w:rPr>
                <w:rFonts w:hint="eastAsia"/>
                <w:bCs/>
                <w:color w:val="auto"/>
                <w:sz w:val="24"/>
                <w:szCs w:val="24"/>
                <w:u w:val="single"/>
              </w:rPr>
              <w:t>酚醛树脂中游离甲醛含量≤0.1%，则本项目游离性甲醛含量为</w:t>
            </w:r>
            <w:r>
              <w:rPr>
                <w:rFonts w:hint="eastAsia"/>
                <w:bCs/>
                <w:color w:val="auto"/>
                <w:sz w:val="24"/>
                <w:szCs w:val="24"/>
                <w:u w:val="single"/>
                <w:lang w:val="en-US" w:eastAsia="zh-CN"/>
              </w:rPr>
              <w:t>0.2</w:t>
            </w:r>
            <w:r>
              <w:rPr>
                <w:rFonts w:hint="eastAsia"/>
                <w:bCs/>
                <w:color w:val="auto"/>
                <w:sz w:val="24"/>
                <w:szCs w:val="24"/>
                <w:u w:val="single"/>
              </w:rPr>
              <w:t>t/a，以VOCs计，则VOCs量为</w:t>
            </w:r>
            <w:r>
              <w:rPr>
                <w:rFonts w:hint="eastAsia"/>
                <w:bCs/>
                <w:color w:val="auto"/>
                <w:sz w:val="24"/>
                <w:szCs w:val="24"/>
                <w:u w:val="single"/>
                <w:lang w:val="en-US" w:eastAsia="zh-CN"/>
              </w:rPr>
              <w:t>0.2</w:t>
            </w:r>
            <w:r>
              <w:rPr>
                <w:rFonts w:hint="eastAsia"/>
                <w:bCs/>
                <w:color w:val="auto"/>
                <w:sz w:val="24"/>
                <w:szCs w:val="24"/>
                <w:u w:val="single"/>
              </w:rPr>
              <w:t>t/a。</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①调胶、浸胶废气</w:t>
            </w:r>
          </w:p>
          <w:p>
            <w:pPr>
              <w:adjustRightInd w:val="0"/>
              <w:snapToGrid w:val="0"/>
              <w:spacing w:line="360" w:lineRule="auto"/>
              <w:ind w:firstLine="480"/>
              <w:rPr>
                <w:rFonts w:hint="eastAsia" w:eastAsia="宋体"/>
                <w:bCs/>
                <w:color w:val="auto"/>
                <w:sz w:val="24"/>
                <w:szCs w:val="24"/>
                <w:lang w:eastAsia="zh-CN"/>
              </w:rPr>
            </w:pPr>
            <w:r>
              <w:rPr>
                <w:rFonts w:hint="eastAsia"/>
                <w:bCs/>
                <w:color w:val="auto"/>
                <w:sz w:val="24"/>
                <w:szCs w:val="24"/>
              </w:rPr>
              <w:t>本项目调胶、浸胶均在浸胶池中进进行，浸胶池不工作时以盖板遮盖，浸胶工序在常温下进行，挥发量以其2%计算，则调胶、浸胶工序VOCs挥发量为</w:t>
            </w:r>
            <w:r>
              <w:rPr>
                <w:rFonts w:hint="eastAsia"/>
                <w:bCs/>
                <w:color w:val="auto"/>
                <w:sz w:val="24"/>
                <w:szCs w:val="24"/>
                <w:u w:val="single"/>
              </w:rPr>
              <w:t>0.0</w:t>
            </w:r>
            <w:r>
              <w:rPr>
                <w:rFonts w:hint="eastAsia"/>
                <w:bCs/>
                <w:color w:val="auto"/>
                <w:sz w:val="24"/>
                <w:szCs w:val="24"/>
                <w:u w:val="single"/>
                <w:lang w:val="en-US" w:eastAsia="zh-CN"/>
              </w:rPr>
              <w:t>04</w:t>
            </w:r>
            <w:r>
              <w:rPr>
                <w:rFonts w:hint="eastAsia"/>
                <w:bCs/>
                <w:color w:val="auto"/>
                <w:sz w:val="24"/>
                <w:szCs w:val="24"/>
                <w:u w:val="single"/>
              </w:rPr>
              <w:t>t</w:t>
            </w:r>
            <w:r>
              <w:rPr>
                <w:rFonts w:hint="eastAsia"/>
                <w:bCs/>
                <w:color w:val="auto"/>
                <w:sz w:val="24"/>
                <w:szCs w:val="24"/>
              </w:rPr>
              <w:t>/a，</w:t>
            </w:r>
            <w:r>
              <w:rPr>
                <w:rFonts w:hint="eastAsia"/>
                <w:bCs/>
                <w:color w:val="auto"/>
                <w:sz w:val="24"/>
                <w:szCs w:val="24"/>
                <w:lang w:eastAsia="zh-CN"/>
              </w:rPr>
              <w:t>产生量较小，废气无组织排放。</w:t>
            </w:r>
          </w:p>
          <w:p>
            <w:pPr>
              <w:adjustRightInd w:val="0"/>
              <w:snapToGrid w:val="0"/>
              <w:spacing w:line="360" w:lineRule="auto"/>
              <w:ind w:firstLine="480"/>
              <w:rPr>
                <w:rFonts w:hint="eastAsia"/>
                <w:bCs/>
                <w:color w:val="auto"/>
                <w:sz w:val="24"/>
                <w:szCs w:val="24"/>
              </w:rPr>
            </w:pPr>
            <w:r>
              <w:rPr>
                <w:rFonts w:hint="eastAsia"/>
                <w:bCs/>
                <w:color w:val="auto"/>
                <w:sz w:val="24"/>
                <w:szCs w:val="24"/>
              </w:rPr>
              <w:t>②</w:t>
            </w:r>
            <w:r>
              <w:rPr>
                <w:rFonts w:hint="eastAsia"/>
                <w:bCs/>
                <w:color w:val="auto"/>
                <w:sz w:val="24"/>
                <w:szCs w:val="24"/>
                <w:lang w:eastAsia="zh-CN"/>
              </w:rPr>
              <w:t>热压</w:t>
            </w:r>
            <w:r>
              <w:rPr>
                <w:rFonts w:hint="eastAsia"/>
                <w:bCs/>
                <w:color w:val="auto"/>
                <w:sz w:val="24"/>
                <w:szCs w:val="24"/>
              </w:rPr>
              <w:t>工序产生的废气</w:t>
            </w:r>
          </w:p>
          <w:p>
            <w:pPr>
              <w:adjustRightInd w:val="0"/>
              <w:snapToGrid w:val="0"/>
              <w:spacing w:line="360" w:lineRule="auto"/>
              <w:ind w:firstLine="480" w:firstLineChars="200"/>
              <w:rPr>
                <w:rFonts w:hint="eastAsia" w:eastAsia="宋体"/>
                <w:bCs/>
                <w:color w:val="auto"/>
                <w:sz w:val="24"/>
                <w:szCs w:val="24"/>
                <w:lang w:eastAsia="zh-CN"/>
              </w:rPr>
            </w:pPr>
            <w:r>
              <w:rPr>
                <w:rFonts w:hint="eastAsia"/>
                <w:bCs/>
                <w:color w:val="auto"/>
                <w:sz w:val="24"/>
                <w:szCs w:val="24"/>
              </w:rPr>
              <w:t>本项目</w:t>
            </w:r>
            <w:r>
              <w:rPr>
                <w:rFonts w:hint="eastAsia"/>
                <w:bCs/>
                <w:color w:val="auto"/>
                <w:sz w:val="24"/>
                <w:szCs w:val="24"/>
                <w:lang w:eastAsia="zh-CN"/>
              </w:rPr>
              <w:t>热压工序</w:t>
            </w:r>
            <w:r>
              <w:rPr>
                <w:rFonts w:hint="eastAsia"/>
                <w:bCs/>
                <w:color w:val="auto"/>
                <w:sz w:val="24"/>
                <w:szCs w:val="24"/>
              </w:rPr>
              <w:t>温度</w:t>
            </w:r>
            <w:r>
              <w:rPr>
                <w:rFonts w:hint="eastAsia"/>
                <w:bCs/>
                <w:color w:val="auto"/>
                <w:sz w:val="24"/>
                <w:szCs w:val="24"/>
                <w:lang w:eastAsia="zh-CN"/>
              </w:rPr>
              <w:t>较高</w:t>
            </w:r>
            <w:r>
              <w:rPr>
                <w:rFonts w:hint="eastAsia"/>
                <w:bCs/>
                <w:color w:val="auto"/>
                <w:sz w:val="24"/>
                <w:szCs w:val="24"/>
              </w:rPr>
              <w:t>，工作时间为2400h，游离性废气全部挥发出来，则产生的VOCs量为</w:t>
            </w:r>
            <w:r>
              <w:rPr>
                <w:rFonts w:hint="eastAsia"/>
                <w:bCs/>
                <w:color w:val="auto"/>
                <w:sz w:val="24"/>
                <w:szCs w:val="24"/>
                <w:u w:val="single"/>
                <w:lang w:val="en-US" w:eastAsia="zh-CN"/>
              </w:rPr>
              <w:t>0.196</w:t>
            </w:r>
            <w:r>
              <w:rPr>
                <w:rFonts w:hint="eastAsia"/>
                <w:bCs/>
                <w:color w:val="auto"/>
                <w:sz w:val="24"/>
                <w:szCs w:val="24"/>
                <w:u w:val="single"/>
              </w:rPr>
              <w:t>t/a</w:t>
            </w:r>
            <w:r>
              <w:rPr>
                <w:rFonts w:hint="eastAsia"/>
                <w:bCs/>
                <w:color w:val="auto"/>
                <w:sz w:val="24"/>
                <w:szCs w:val="24"/>
              </w:rPr>
              <w:t>，</w:t>
            </w:r>
            <w:r>
              <w:rPr>
                <w:rFonts w:hint="eastAsia"/>
                <w:bCs/>
                <w:color w:val="auto"/>
                <w:sz w:val="24"/>
                <w:szCs w:val="24"/>
                <w:lang w:eastAsia="zh-CN"/>
              </w:rPr>
              <w:t>以无组织形式排放。</w:t>
            </w:r>
          </w:p>
          <w:p>
            <w:pPr>
              <w:adjustRightInd w:val="0"/>
              <w:snapToGrid w:val="0"/>
              <w:spacing w:line="360" w:lineRule="auto"/>
              <w:ind w:firstLine="480" w:firstLineChars="200"/>
              <w:rPr>
                <w:bCs/>
                <w:color w:val="auto"/>
                <w:sz w:val="24"/>
                <w:szCs w:val="24"/>
              </w:rPr>
            </w:pPr>
            <w:r>
              <w:rPr>
                <w:rFonts w:hint="eastAsia"/>
                <w:bCs/>
                <w:color w:val="auto"/>
                <w:sz w:val="24"/>
                <w:szCs w:val="24"/>
              </w:rPr>
              <w:t>4</w:t>
            </w:r>
            <w:r>
              <w:rPr>
                <w:bCs/>
                <w:color w:val="auto"/>
                <w:sz w:val="24"/>
                <w:szCs w:val="24"/>
              </w:rPr>
              <w:t>）食堂废气</w:t>
            </w:r>
          </w:p>
          <w:p>
            <w:pPr>
              <w:spacing w:line="360" w:lineRule="auto"/>
              <w:ind w:firstLine="482"/>
              <w:rPr>
                <w:rFonts w:hint="eastAsia" w:ascii="Times New Roman" w:hAnsi="Times New Roman" w:eastAsia="宋体" w:cs="Times New Roman"/>
                <w:b w:val="0"/>
                <w:bCs/>
                <w:color w:val="auto"/>
                <w:sz w:val="24"/>
                <w:szCs w:val="24"/>
                <w:u w:val="none"/>
                <w:lang w:eastAsia="zh-CN"/>
              </w:rPr>
            </w:pPr>
            <w:r>
              <w:rPr>
                <w:rFonts w:hint="eastAsia"/>
                <w:bCs/>
                <w:color w:val="auto"/>
                <w:sz w:val="24"/>
                <w:szCs w:val="24"/>
              </w:rPr>
              <w:t>食堂厨房在运营期间会产生一定量的油烟废气。根据类比调查，平均耗油系数为30g/人·d，烹饪过程中食用油挥发损失率约为3%，项目员工共</w:t>
            </w:r>
            <w:r>
              <w:rPr>
                <w:rFonts w:hint="eastAsia"/>
                <w:bCs/>
                <w:color w:val="auto"/>
                <w:sz w:val="24"/>
                <w:szCs w:val="24"/>
                <w:lang w:val="en-US" w:eastAsia="zh-CN"/>
              </w:rPr>
              <w:t>2</w:t>
            </w:r>
            <w:r>
              <w:rPr>
                <w:rFonts w:hint="eastAsia"/>
                <w:bCs/>
                <w:color w:val="auto"/>
                <w:sz w:val="24"/>
                <w:szCs w:val="24"/>
              </w:rPr>
              <w:t>0人，则食用油消耗量为</w:t>
            </w:r>
            <w:r>
              <w:rPr>
                <w:rFonts w:hint="eastAsia"/>
                <w:bCs/>
                <w:color w:val="auto"/>
                <w:sz w:val="24"/>
                <w:szCs w:val="24"/>
                <w:lang w:val="en-US" w:eastAsia="zh-CN"/>
              </w:rPr>
              <w:t>0.6</w:t>
            </w:r>
            <w:r>
              <w:rPr>
                <w:rFonts w:hint="eastAsia"/>
                <w:bCs/>
                <w:color w:val="auto"/>
                <w:sz w:val="24"/>
                <w:szCs w:val="24"/>
              </w:rPr>
              <w:t>kg/d(0.</w:t>
            </w:r>
            <w:r>
              <w:rPr>
                <w:rFonts w:hint="eastAsia"/>
                <w:bCs/>
                <w:color w:val="auto"/>
                <w:sz w:val="24"/>
                <w:szCs w:val="24"/>
                <w:lang w:val="en-US" w:eastAsia="zh-CN"/>
              </w:rPr>
              <w:t>18</w:t>
            </w:r>
            <w:r>
              <w:rPr>
                <w:rFonts w:hint="eastAsia"/>
                <w:bCs/>
                <w:color w:val="auto"/>
                <w:sz w:val="24"/>
                <w:szCs w:val="24"/>
              </w:rPr>
              <w:t>t/a)；油烟产生量为0.0</w:t>
            </w:r>
            <w:r>
              <w:rPr>
                <w:rFonts w:hint="eastAsia"/>
                <w:bCs/>
                <w:color w:val="auto"/>
                <w:sz w:val="24"/>
                <w:szCs w:val="24"/>
                <w:lang w:val="en-US" w:eastAsia="zh-CN"/>
              </w:rPr>
              <w:t>18</w:t>
            </w:r>
            <w:r>
              <w:rPr>
                <w:rFonts w:hint="eastAsia"/>
                <w:bCs/>
                <w:color w:val="auto"/>
                <w:sz w:val="24"/>
                <w:szCs w:val="24"/>
              </w:rPr>
              <w:t>kg/d(0.0</w:t>
            </w:r>
            <w:r>
              <w:rPr>
                <w:rFonts w:hint="eastAsia"/>
                <w:bCs/>
                <w:color w:val="auto"/>
                <w:sz w:val="24"/>
                <w:szCs w:val="24"/>
                <w:lang w:val="en-US" w:eastAsia="zh-CN"/>
              </w:rPr>
              <w:t>054</w:t>
            </w:r>
            <w:r>
              <w:rPr>
                <w:rFonts w:hint="eastAsia"/>
                <w:bCs/>
                <w:color w:val="auto"/>
                <w:sz w:val="24"/>
                <w:szCs w:val="24"/>
              </w:rPr>
              <w:t>t/a)。根据建设单位提供资料，项目食堂每日提供</w:t>
            </w:r>
            <w:r>
              <w:rPr>
                <w:rFonts w:hint="eastAsia"/>
                <w:bCs/>
                <w:color w:val="auto"/>
                <w:sz w:val="24"/>
                <w:szCs w:val="24"/>
                <w:lang w:eastAsia="zh-CN"/>
              </w:rPr>
              <w:t>一</w:t>
            </w:r>
            <w:r>
              <w:rPr>
                <w:rFonts w:hint="eastAsia"/>
                <w:bCs/>
                <w:color w:val="auto"/>
                <w:sz w:val="24"/>
                <w:szCs w:val="24"/>
              </w:rPr>
              <w:t>餐，厨房共设</w:t>
            </w:r>
            <w:r>
              <w:rPr>
                <w:rFonts w:hint="eastAsia"/>
                <w:bCs/>
                <w:color w:val="auto"/>
                <w:sz w:val="24"/>
                <w:szCs w:val="24"/>
                <w:lang w:val="en-US" w:eastAsia="zh-CN"/>
              </w:rPr>
              <w:t>1</w:t>
            </w:r>
            <w:r>
              <w:rPr>
                <w:rFonts w:hint="eastAsia"/>
                <w:bCs/>
                <w:color w:val="auto"/>
                <w:sz w:val="24"/>
                <w:szCs w:val="24"/>
              </w:rPr>
              <w:t>个基准炉头；</w:t>
            </w:r>
            <w:r>
              <w:rPr>
                <w:bCs/>
                <w:color w:val="auto"/>
                <w:sz w:val="24"/>
                <w:szCs w:val="24"/>
              </w:rPr>
              <w:t>每天营运</w:t>
            </w:r>
            <w:r>
              <w:rPr>
                <w:rFonts w:hint="eastAsia"/>
                <w:bCs/>
                <w:color w:val="auto"/>
                <w:sz w:val="24"/>
                <w:szCs w:val="24"/>
                <w:lang w:val="en-US" w:eastAsia="zh-CN"/>
              </w:rPr>
              <w:t>2</w:t>
            </w:r>
            <w:r>
              <w:rPr>
                <w:bCs/>
                <w:color w:val="auto"/>
                <w:sz w:val="24"/>
                <w:szCs w:val="24"/>
              </w:rPr>
              <w:t>小时</w:t>
            </w:r>
            <w:r>
              <w:rPr>
                <w:rFonts w:hint="eastAsia"/>
                <w:bCs/>
                <w:color w:val="auto"/>
                <w:sz w:val="24"/>
                <w:szCs w:val="24"/>
              </w:rPr>
              <w:t>、年运营300天计算，则项目油烟废气产生量为</w:t>
            </w:r>
            <w:r>
              <w:rPr>
                <w:rFonts w:hint="eastAsia"/>
                <w:bCs/>
                <w:color w:val="auto"/>
                <w:sz w:val="24"/>
                <w:szCs w:val="24"/>
                <w:lang w:val="en-US" w:eastAsia="zh-CN"/>
              </w:rPr>
              <w:t>3</w:t>
            </w:r>
            <w:r>
              <w:rPr>
                <w:rFonts w:hint="eastAsia"/>
                <w:bCs/>
                <w:color w:val="auto"/>
                <w:sz w:val="24"/>
                <w:szCs w:val="24"/>
              </w:rPr>
              <w:t>000</w:t>
            </w:r>
            <w:r>
              <w:rPr>
                <w:bCs/>
                <w:color w:val="auto"/>
                <w:sz w:val="24"/>
                <w:szCs w:val="24"/>
              </w:rPr>
              <w:t>m</w:t>
            </w:r>
            <w:r>
              <w:rPr>
                <w:bCs/>
                <w:color w:val="auto"/>
                <w:sz w:val="24"/>
                <w:szCs w:val="24"/>
                <w:vertAlign w:val="superscript"/>
              </w:rPr>
              <w:t>3</w:t>
            </w:r>
            <w:r>
              <w:rPr>
                <w:bCs/>
                <w:color w:val="auto"/>
                <w:sz w:val="24"/>
                <w:szCs w:val="24"/>
              </w:rPr>
              <w:t>/h</w:t>
            </w:r>
            <w:r>
              <w:rPr>
                <w:rFonts w:hint="eastAsia"/>
                <w:bCs/>
                <w:color w:val="auto"/>
                <w:sz w:val="24"/>
                <w:szCs w:val="24"/>
              </w:rPr>
              <w:t>。项目厨房油烟废气经</w:t>
            </w:r>
            <w:r>
              <w:rPr>
                <w:rFonts w:hint="eastAsia"/>
                <w:bCs/>
                <w:color w:val="auto"/>
                <w:sz w:val="24"/>
                <w:szCs w:val="24"/>
                <w:lang w:eastAsia="zh-CN"/>
              </w:rPr>
              <w:t>抽油烟机</w:t>
            </w:r>
            <w:r>
              <w:rPr>
                <w:rFonts w:hint="eastAsia"/>
                <w:bCs/>
                <w:color w:val="auto"/>
                <w:sz w:val="24"/>
                <w:szCs w:val="24"/>
              </w:rPr>
              <w:t>处理达标后排放，其油烟去除率</w:t>
            </w:r>
            <w:r>
              <w:rPr>
                <w:rFonts w:hint="eastAsia"/>
                <w:bCs/>
                <w:color w:val="auto"/>
                <w:sz w:val="24"/>
                <w:szCs w:val="24"/>
                <w:lang w:eastAsia="zh-CN"/>
              </w:rPr>
              <w:t>约</w:t>
            </w:r>
            <w:r>
              <w:rPr>
                <w:rFonts w:hint="eastAsia"/>
                <w:bCs/>
                <w:color w:val="auto"/>
                <w:sz w:val="24"/>
                <w:szCs w:val="24"/>
                <w:lang w:val="en-US" w:eastAsia="zh-CN"/>
              </w:rPr>
              <w:t>40</w:t>
            </w:r>
            <w:r>
              <w:rPr>
                <w:rFonts w:hint="eastAsia"/>
                <w:bCs/>
                <w:color w:val="auto"/>
                <w:sz w:val="24"/>
                <w:szCs w:val="24"/>
              </w:rPr>
              <w:t>%，处理后油烟排放浓度为</w:t>
            </w:r>
            <w:r>
              <w:rPr>
                <w:rFonts w:hint="eastAsia"/>
                <w:bCs/>
                <w:color w:val="auto"/>
                <w:sz w:val="24"/>
                <w:szCs w:val="24"/>
                <w:lang w:val="en-US" w:eastAsia="zh-CN"/>
              </w:rPr>
              <w:t>0.9</w:t>
            </w:r>
            <w:r>
              <w:rPr>
                <w:rFonts w:hint="eastAsia"/>
                <w:bCs/>
                <w:color w:val="auto"/>
                <w:sz w:val="24"/>
                <w:szCs w:val="24"/>
              </w:rPr>
              <w:t>mg/m</w:t>
            </w:r>
            <w:r>
              <w:rPr>
                <w:rFonts w:hint="eastAsia"/>
                <w:bCs/>
                <w:color w:val="auto"/>
                <w:sz w:val="24"/>
                <w:szCs w:val="24"/>
                <w:vertAlign w:val="superscript"/>
              </w:rPr>
              <w:t>3</w:t>
            </w:r>
            <w:r>
              <w:rPr>
                <w:rFonts w:hint="eastAsia"/>
                <w:bCs/>
                <w:color w:val="auto"/>
                <w:sz w:val="24"/>
                <w:szCs w:val="24"/>
              </w:rPr>
              <w:t>，油烟排放量约为0.00</w:t>
            </w:r>
            <w:r>
              <w:rPr>
                <w:rFonts w:hint="eastAsia"/>
                <w:bCs/>
                <w:color w:val="auto"/>
                <w:sz w:val="24"/>
                <w:szCs w:val="24"/>
                <w:lang w:val="en-US" w:eastAsia="zh-CN"/>
              </w:rPr>
              <w:t>3</w:t>
            </w:r>
            <w:r>
              <w:rPr>
                <w:rFonts w:hint="eastAsia"/>
                <w:bCs/>
                <w:color w:val="auto"/>
                <w:sz w:val="24"/>
                <w:szCs w:val="24"/>
              </w:rPr>
              <w:t>t/a</w:t>
            </w:r>
            <w:r>
              <w:rPr>
                <w:rFonts w:hint="eastAsia"/>
                <w:bCs/>
                <w:color w:val="auto"/>
                <w:sz w:val="24"/>
                <w:szCs w:val="24"/>
                <w:lang w:eastAsia="zh-CN"/>
              </w:rPr>
              <w:t>。</w:t>
            </w:r>
          </w:p>
          <w:p>
            <w:pPr>
              <w:pStyle w:val="51"/>
              <w:numPr>
                <w:ilvl w:val="0"/>
                <w:numId w:val="4"/>
              </w:numPr>
              <w:spacing w:line="360" w:lineRule="auto"/>
              <w:ind w:left="480" w:leftChars="0" w:firstLine="0" w:firstLineChars="0"/>
              <w:rPr>
                <w:rFonts w:hint="eastAsia" w:ascii="Times New Roman" w:hAnsi="Times New Roman" w:eastAsia="宋体"/>
                <w:b/>
                <w:color w:val="auto"/>
                <w:lang w:eastAsia="zh-CN"/>
              </w:rPr>
            </w:pPr>
            <w:r>
              <w:rPr>
                <w:rFonts w:hint="eastAsia" w:ascii="Times New Roman" w:hAnsi="Times New Roman" w:eastAsia="宋体"/>
                <w:b/>
                <w:color w:val="auto"/>
                <w:lang w:eastAsia="zh-CN"/>
              </w:rPr>
              <w:t>废水</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bCs/>
                <w:color w:val="auto"/>
                <w:sz w:val="24"/>
                <w:szCs w:val="24"/>
              </w:rPr>
            </w:pPr>
            <w:r>
              <w:rPr>
                <w:rFonts w:hint="eastAsia"/>
                <w:bCs/>
                <w:color w:val="auto"/>
                <w:sz w:val="24"/>
                <w:szCs w:val="24"/>
              </w:rPr>
              <w:t>①锅炉定期排水</w:t>
            </w:r>
          </w:p>
          <w:p>
            <w:pPr>
              <w:adjustRightInd w:val="0"/>
              <w:snapToGrid w:val="0"/>
              <w:spacing w:line="360" w:lineRule="auto"/>
              <w:ind w:firstLine="480" w:firstLineChars="200"/>
              <w:rPr>
                <w:bCs/>
                <w:color w:val="auto"/>
                <w:sz w:val="24"/>
                <w:szCs w:val="24"/>
              </w:rPr>
            </w:pPr>
            <w:r>
              <w:rPr>
                <w:rFonts w:hint="eastAsia"/>
                <w:bCs/>
                <w:color w:val="auto"/>
                <w:sz w:val="24"/>
                <w:szCs w:val="24"/>
              </w:rPr>
              <w:t>项目蒸汽锅炉总用水量为4m</w:t>
            </w:r>
            <w:r>
              <w:rPr>
                <w:rFonts w:hint="eastAsia"/>
                <w:bCs/>
                <w:color w:val="auto"/>
                <w:sz w:val="24"/>
                <w:szCs w:val="24"/>
                <w:vertAlign w:val="superscript"/>
              </w:rPr>
              <w:t>3</w:t>
            </w:r>
            <w:r>
              <w:rPr>
                <w:rFonts w:hint="eastAsia"/>
                <w:bCs/>
                <w:color w:val="auto"/>
                <w:sz w:val="24"/>
                <w:szCs w:val="24"/>
              </w:rPr>
              <w:t>/h（32m</w:t>
            </w:r>
            <w:r>
              <w:rPr>
                <w:rFonts w:hint="eastAsia"/>
                <w:bCs/>
                <w:color w:val="auto"/>
                <w:sz w:val="24"/>
                <w:szCs w:val="24"/>
                <w:vertAlign w:val="superscript"/>
              </w:rPr>
              <w:t>3</w:t>
            </w:r>
            <w:r>
              <w:rPr>
                <w:rFonts w:hint="eastAsia"/>
                <w:bCs/>
                <w:color w:val="auto"/>
                <w:sz w:val="24"/>
                <w:szCs w:val="24"/>
              </w:rPr>
              <w:t>/d），蒸气经冷凝回收后循环使用。蒸汽锅炉运行一定周期后，为避免其中盐类物质蓄积对设备损害，需定期更换排放。根据</w:t>
            </w:r>
            <w:r>
              <w:rPr>
                <w:rFonts w:hint="eastAsia"/>
                <w:bCs/>
                <w:color w:val="auto"/>
                <w:sz w:val="24"/>
                <w:szCs w:val="24"/>
                <w:lang w:eastAsia="zh-CN"/>
              </w:rPr>
              <w:t>业主介绍</w:t>
            </w:r>
            <w:r>
              <w:rPr>
                <w:rFonts w:hint="eastAsia"/>
                <w:bCs/>
                <w:color w:val="auto"/>
                <w:sz w:val="24"/>
                <w:szCs w:val="24"/>
              </w:rPr>
              <w:t>，锅炉排污水量为240m</w:t>
            </w:r>
            <w:r>
              <w:rPr>
                <w:rFonts w:hint="eastAsia"/>
                <w:bCs/>
                <w:color w:val="auto"/>
                <w:sz w:val="24"/>
                <w:szCs w:val="24"/>
                <w:vertAlign w:val="superscript"/>
              </w:rPr>
              <w:t>3</w:t>
            </w:r>
            <w:r>
              <w:rPr>
                <w:rFonts w:hint="eastAsia"/>
                <w:bCs/>
                <w:color w:val="auto"/>
                <w:sz w:val="24"/>
                <w:szCs w:val="24"/>
              </w:rPr>
              <w:t>/a，</w:t>
            </w:r>
            <w:r>
              <w:rPr>
                <w:rFonts w:hint="eastAsia"/>
                <w:bCs/>
                <w:color w:val="auto"/>
                <w:sz w:val="24"/>
                <w:szCs w:val="24"/>
                <w:lang w:eastAsia="zh-CN"/>
              </w:rPr>
              <w:t>废水排入沉淀池内，用于水雾除尘器用水</w:t>
            </w:r>
            <w:r>
              <w:rPr>
                <w:rFonts w:hint="eastAsia"/>
                <w:bCs/>
                <w:color w:val="auto"/>
                <w:sz w:val="24"/>
                <w:szCs w:val="24"/>
              </w:rPr>
              <w:t>。</w:t>
            </w:r>
          </w:p>
          <w:p>
            <w:pPr>
              <w:pStyle w:val="51"/>
              <w:numPr>
                <w:ilvl w:val="0"/>
                <w:numId w:val="0"/>
              </w:numPr>
              <w:spacing w:line="360" w:lineRule="auto"/>
              <w:ind w:left="480" w:leftChars="0"/>
              <w:rPr>
                <w:rFonts w:hint="eastAsia"/>
                <w:bCs/>
                <w:color w:val="auto"/>
                <w:sz w:val="24"/>
                <w:szCs w:val="24"/>
              </w:rPr>
            </w:pPr>
            <w:r>
              <w:rPr>
                <w:rFonts w:hint="eastAsia"/>
                <w:bCs/>
                <w:color w:val="auto"/>
                <w:sz w:val="24"/>
                <w:szCs w:val="24"/>
              </w:rPr>
              <w:t>②水雾</w:t>
            </w:r>
            <w:r>
              <w:rPr>
                <w:rFonts w:hint="eastAsia"/>
                <w:bCs/>
                <w:color w:val="auto"/>
                <w:sz w:val="24"/>
                <w:szCs w:val="24"/>
                <w:lang w:eastAsia="zh-CN"/>
              </w:rPr>
              <w:t>除尘器废水</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lang w:eastAsia="zh-CN"/>
              </w:rPr>
              <w:t>水雾除尘器废水经沉淀池沉淀处理后循环使用，不外排。</w:t>
            </w:r>
            <w:r>
              <w:rPr>
                <w:rFonts w:hint="eastAsia"/>
                <w:bCs/>
                <w:color w:val="auto"/>
                <w:sz w:val="24"/>
                <w:szCs w:val="24"/>
              </w:rPr>
              <w:t>消耗部分定期补充，因此该过程无废水外排。</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③员工生活污水</w:t>
            </w:r>
          </w:p>
          <w:p>
            <w:pPr>
              <w:adjustRightInd w:val="0"/>
              <w:snapToGrid w:val="0"/>
              <w:spacing w:line="360" w:lineRule="auto"/>
              <w:ind w:firstLine="480" w:firstLineChars="200"/>
              <w:rPr>
                <w:rFonts w:hint="eastAsia" w:eastAsia="宋体"/>
                <w:bCs/>
                <w:color w:val="auto"/>
                <w:sz w:val="24"/>
                <w:szCs w:val="24"/>
                <w:u w:val="single"/>
                <w:lang w:val="en-US" w:eastAsia="zh-CN"/>
              </w:rPr>
            </w:pPr>
            <w:r>
              <w:rPr>
                <w:bCs/>
                <w:color w:val="auto"/>
                <w:sz w:val="24"/>
                <w:szCs w:val="24"/>
              </w:rPr>
              <w:t>项目共有员工</w:t>
            </w:r>
            <w:r>
              <w:rPr>
                <w:rFonts w:hint="eastAsia"/>
                <w:bCs/>
                <w:color w:val="auto"/>
                <w:sz w:val="24"/>
                <w:szCs w:val="24"/>
                <w:lang w:val="en-US" w:eastAsia="zh-CN"/>
              </w:rPr>
              <w:t>2</w:t>
            </w:r>
            <w:r>
              <w:rPr>
                <w:rFonts w:hint="eastAsia"/>
                <w:bCs/>
                <w:color w:val="auto"/>
                <w:sz w:val="24"/>
                <w:szCs w:val="24"/>
              </w:rPr>
              <w:t>0</w:t>
            </w:r>
            <w:r>
              <w:rPr>
                <w:bCs/>
                <w:color w:val="auto"/>
                <w:sz w:val="24"/>
                <w:szCs w:val="24"/>
              </w:rPr>
              <w:t>人，均在</w:t>
            </w:r>
            <w:r>
              <w:rPr>
                <w:rFonts w:hint="eastAsia"/>
                <w:bCs/>
                <w:color w:val="auto"/>
                <w:sz w:val="24"/>
                <w:szCs w:val="24"/>
                <w:lang w:eastAsia="zh-CN"/>
              </w:rPr>
              <w:t>就餐</w:t>
            </w:r>
            <w:r>
              <w:rPr>
                <w:bCs/>
                <w:color w:val="auto"/>
                <w:sz w:val="24"/>
                <w:szCs w:val="24"/>
              </w:rPr>
              <w:t>。</w:t>
            </w:r>
            <w:r>
              <w:rPr>
                <w:rFonts w:hint="default" w:ascii="Times New Roman" w:hAnsi="Times New Roman" w:cs="Times New Roman"/>
                <w:color w:val="auto"/>
                <w:kern w:val="0"/>
                <w:sz w:val="24"/>
                <w:szCs w:val="24"/>
                <w:u w:val="single"/>
              </w:rPr>
              <w:t>用水定额参照湖南省地方标准《湖南省用水定额》（DB43/T388-20</w:t>
            </w:r>
            <w:r>
              <w:rPr>
                <w:rFonts w:hint="default" w:ascii="Times New Roman" w:hAnsi="Times New Roman" w:cs="Times New Roman"/>
                <w:color w:val="auto"/>
                <w:kern w:val="0"/>
                <w:sz w:val="24"/>
                <w:szCs w:val="24"/>
                <w:u w:val="single"/>
                <w:lang w:val="en-US" w:eastAsia="zh-CN"/>
              </w:rPr>
              <w:t>20</w:t>
            </w:r>
            <w:r>
              <w:rPr>
                <w:rFonts w:hint="default" w:ascii="Times New Roman" w:hAnsi="Times New Roman" w:cs="Times New Roman"/>
                <w:color w:val="auto"/>
                <w:kern w:val="0"/>
                <w:sz w:val="24"/>
                <w:szCs w:val="24"/>
                <w:u w:val="single"/>
              </w:rPr>
              <w:t>），生活用水量按照</w:t>
            </w:r>
            <w:r>
              <w:rPr>
                <w:rFonts w:hint="eastAsia" w:cs="Times New Roman"/>
                <w:color w:val="auto"/>
                <w:kern w:val="0"/>
                <w:sz w:val="24"/>
                <w:szCs w:val="24"/>
                <w:u w:val="single"/>
                <w:lang w:val="en-US" w:eastAsia="zh-CN"/>
              </w:rPr>
              <w:t>145</w:t>
            </w:r>
            <w:r>
              <w:rPr>
                <w:rFonts w:hint="default" w:ascii="Times New Roman" w:hAnsi="Times New Roman" w:cs="Times New Roman"/>
                <w:color w:val="auto"/>
                <w:kern w:val="0"/>
                <w:sz w:val="24"/>
                <w:szCs w:val="24"/>
                <w:u w:val="single"/>
              </w:rPr>
              <w:t>L/人·d</w:t>
            </w:r>
            <w:r>
              <w:rPr>
                <w:bCs/>
                <w:color w:val="auto"/>
                <w:sz w:val="24"/>
                <w:szCs w:val="24"/>
                <w:u w:val="single"/>
              </w:rPr>
              <w:t>，</w:t>
            </w:r>
            <w:r>
              <w:rPr>
                <w:bCs/>
                <w:color w:val="auto"/>
                <w:sz w:val="24"/>
                <w:szCs w:val="24"/>
              </w:rPr>
              <w:t>则项目生活用水量为</w:t>
            </w:r>
            <w:r>
              <w:rPr>
                <w:rFonts w:hint="eastAsia"/>
                <w:bCs/>
                <w:color w:val="auto"/>
                <w:sz w:val="24"/>
                <w:szCs w:val="24"/>
                <w:u w:val="single"/>
                <w:lang w:val="en-US" w:eastAsia="zh-CN"/>
              </w:rPr>
              <w:t>2.9</w:t>
            </w:r>
            <w:r>
              <w:rPr>
                <w:bCs/>
                <w:color w:val="auto"/>
                <w:sz w:val="24"/>
                <w:szCs w:val="24"/>
              </w:rPr>
              <w:t>m</w:t>
            </w:r>
            <w:r>
              <w:rPr>
                <w:bCs/>
                <w:color w:val="auto"/>
                <w:sz w:val="24"/>
                <w:szCs w:val="24"/>
                <w:vertAlign w:val="superscript"/>
              </w:rPr>
              <w:t>3</w:t>
            </w:r>
            <w:r>
              <w:rPr>
                <w:bCs/>
                <w:color w:val="auto"/>
                <w:sz w:val="24"/>
                <w:szCs w:val="24"/>
              </w:rPr>
              <w:t>/d，排污系数按0.</w:t>
            </w:r>
            <w:r>
              <w:rPr>
                <w:rFonts w:hint="eastAsia"/>
                <w:bCs/>
                <w:color w:val="auto"/>
                <w:sz w:val="24"/>
                <w:szCs w:val="24"/>
              </w:rPr>
              <w:t>8</w:t>
            </w:r>
            <w:r>
              <w:rPr>
                <w:bCs/>
                <w:color w:val="auto"/>
                <w:sz w:val="24"/>
                <w:szCs w:val="24"/>
              </w:rPr>
              <w:t>计，则生活污水日产生量为</w:t>
            </w:r>
            <w:r>
              <w:rPr>
                <w:rFonts w:hint="eastAsia"/>
                <w:bCs/>
                <w:color w:val="auto"/>
                <w:sz w:val="24"/>
                <w:szCs w:val="24"/>
                <w:u w:val="single"/>
                <w:lang w:val="en-US" w:eastAsia="zh-CN"/>
              </w:rPr>
              <w:t>2.32</w:t>
            </w:r>
            <w:r>
              <w:rPr>
                <w:bCs/>
                <w:color w:val="auto"/>
                <w:sz w:val="24"/>
                <w:szCs w:val="24"/>
              </w:rPr>
              <w:t>m</w:t>
            </w:r>
            <w:r>
              <w:rPr>
                <w:bCs/>
                <w:color w:val="auto"/>
                <w:sz w:val="24"/>
                <w:szCs w:val="24"/>
                <w:vertAlign w:val="superscript"/>
              </w:rPr>
              <w:t>3</w:t>
            </w:r>
            <w:r>
              <w:rPr>
                <w:bCs/>
                <w:color w:val="auto"/>
                <w:sz w:val="24"/>
                <w:szCs w:val="24"/>
              </w:rPr>
              <w:t>/d，年产生量</w:t>
            </w:r>
            <w:r>
              <w:rPr>
                <w:rFonts w:hint="eastAsia"/>
                <w:bCs/>
                <w:color w:val="auto"/>
                <w:sz w:val="24"/>
                <w:szCs w:val="24"/>
              </w:rPr>
              <w:t>为</w:t>
            </w:r>
            <w:r>
              <w:rPr>
                <w:rFonts w:hint="eastAsia"/>
                <w:bCs/>
                <w:color w:val="auto"/>
                <w:sz w:val="24"/>
                <w:szCs w:val="24"/>
                <w:u w:val="single"/>
                <w:lang w:val="en-US" w:eastAsia="zh-CN"/>
              </w:rPr>
              <w:t>696</w:t>
            </w:r>
            <w:r>
              <w:rPr>
                <w:bCs/>
                <w:color w:val="auto"/>
                <w:sz w:val="24"/>
                <w:szCs w:val="24"/>
              </w:rPr>
              <w:t>m</w:t>
            </w:r>
            <w:r>
              <w:rPr>
                <w:bCs/>
                <w:color w:val="auto"/>
                <w:sz w:val="24"/>
                <w:szCs w:val="24"/>
                <w:vertAlign w:val="superscript"/>
              </w:rPr>
              <w:t>3</w:t>
            </w:r>
            <w:r>
              <w:rPr>
                <w:bCs/>
                <w:color w:val="auto"/>
                <w:sz w:val="24"/>
                <w:szCs w:val="24"/>
              </w:rPr>
              <w:t>/a</w:t>
            </w:r>
            <w:r>
              <w:rPr>
                <w:rFonts w:hint="eastAsia"/>
                <w:bCs/>
                <w:color w:val="auto"/>
                <w:sz w:val="24"/>
                <w:szCs w:val="24"/>
              </w:rPr>
              <w:t>。</w:t>
            </w:r>
            <w:r>
              <w:rPr>
                <w:bCs/>
                <w:color w:val="auto"/>
                <w:sz w:val="24"/>
                <w:szCs w:val="24"/>
              </w:rPr>
              <w:t>生活污水主要污染物因子为COD</w:t>
            </w:r>
            <w:r>
              <w:rPr>
                <w:bCs/>
                <w:color w:val="auto"/>
                <w:sz w:val="24"/>
                <w:szCs w:val="24"/>
                <w:vertAlign w:val="subscript"/>
              </w:rPr>
              <w:t>cr</w:t>
            </w:r>
            <w:r>
              <w:rPr>
                <w:bCs/>
                <w:color w:val="auto"/>
                <w:sz w:val="24"/>
                <w:szCs w:val="24"/>
              </w:rPr>
              <w:t>、BOD</w:t>
            </w:r>
            <w:r>
              <w:rPr>
                <w:bCs/>
                <w:color w:val="auto"/>
                <w:sz w:val="24"/>
                <w:szCs w:val="24"/>
                <w:vertAlign w:val="subscript"/>
              </w:rPr>
              <w:t>5</w:t>
            </w:r>
            <w:r>
              <w:rPr>
                <w:bCs/>
                <w:color w:val="auto"/>
                <w:sz w:val="24"/>
                <w:szCs w:val="24"/>
              </w:rPr>
              <w:t>、SS、氨氮</w:t>
            </w:r>
            <w:r>
              <w:rPr>
                <w:rFonts w:hint="eastAsia"/>
                <w:bCs/>
                <w:color w:val="auto"/>
                <w:sz w:val="24"/>
                <w:szCs w:val="24"/>
              </w:rPr>
              <w:t>等</w:t>
            </w:r>
            <w:r>
              <w:rPr>
                <w:rFonts w:hint="eastAsia"/>
                <w:bCs/>
                <w:color w:val="auto"/>
                <w:sz w:val="24"/>
                <w:szCs w:val="24"/>
                <w:lang w:eastAsia="zh-CN"/>
              </w:rPr>
              <w:t>。</w:t>
            </w:r>
            <w:r>
              <w:rPr>
                <w:rFonts w:hint="eastAsia" w:ascii="Times New Roman" w:hAnsi="Times New Roman" w:cs="Times New Roman"/>
                <w:bCs/>
                <w:color w:val="auto"/>
                <w:sz w:val="24"/>
                <w:szCs w:val="22"/>
                <w:u w:val="single"/>
              </w:rPr>
              <w:t>污水污染物浓度为COD</w:t>
            </w:r>
            <w:r>
              <w:rPr>
                <w:rFonts w:hint="eastAsia" w:cs="Times New Roman"/>
                <w:bCs/>
                <w:color w:val="auto"/>
                <w:sz w:val="24"/>
                <w:szCs w:val="22"/>
                <w:u w:val="single"/>
                <w:lang w:val="en-US" w:eastAsia="zh-CN"/>
              </w:rPr>
              <w:t>25</w:t>
            </w:r>
            <w:r>
              <w:rPr>
                <w:rFonts w:hint="eastAsia" w:ascii="Times New Roman" w:hAnsi="Times New Roman" w:cs="Times New Roman"/>
                <w:bCs/>
                <w:color w:val="auto"/>
                <w:sz w:val="24"/>
                <w:szCs w:val="22"/>
                <w:u w:val="single"/>
              </w:rPr>
              <w:t>0mg/L、BOD</w:t>
            </w:r>
            <w:r>
              <w:rPr>
                <w:rFonts w:hint="eastAsia" w:ascii="Times New Roman" w:hAnsi="Times New Roman" w:cs="Times New Roman"/>
                <w:bCs/>
                <w:color w:val="auto"/>
                <w:sz w:val="24"/>
                <w:szCs w:val="22"/>
                <w:u w:val="single"/>
                <w:vertAlign w:val="subscript"/>
              </w:rPr>
              <w:t>5</w:t>
            </w:r>
            <w:r>
              <w:rPr>
                <w:rFonts w:hint="eastAsia" w:cs="Times New Roman"/>
                <w:bCs/>
                <w:color w:val="auto"/>
                <w:sz w:val="24"/>
                <w:szCs w:val="22"/>
                <w:u w:val="single"/>
                <w:lang w:val="en-US" w:eastAsia="zh-CN"/>
              </w:rPr>
              <w:t>150</w:t>
            </w:r>
            <w:r>
              <w:rPr>
                <w:rFonts w:hint="eastAsia" w:ascii="Times New Roman" w:hAnsi="Times New Roman" w:cs="Times New Roman"/>
                <w:bCs/>
                <w:color w:val="auto"/>
                <w:sz w:val="24"/>
                <w:szCs w:val="22"/>
                <w:u w:val="single"/>
              </w:rPr>
              <w:t>mg/L、SS2</w:t>
            </w:r>
            <w:r>
              <w:rPr>
                <w:rFonts w:hint="eastAsia" w:cs="Times New Roman"/>
                <w:bCs/>
                <w:color w:val="auto"/>
                <w:sz w:val="24"/>
                <w:szCs w:val="22"/>
                <w:u w:val="single"/>
                <w:lang w:val="en-US" w:eastAsia="zh-CN"/>
              </w:rPr>
              <w:t>0</w:t>
            </w:r>
            <w:r>
              <w:rPr>
                <w:rFonts w:hint="eastAsia" w:ascii="Times New Roman" w:hAnsi="Times New Roman" w:cs="Times New Roman"/>
                <w:bCs/>
                <w:color w:val="auto"/>
                <w:sz w:val="24"/>
                <w:szCs w:val="22"/>
                <w:u w:val="single"/>
              </w:rPr>
              <w:t>0mg/L、氨氮</w:t>
            </w:r>
            <w:r>
              <w:rPr>
                <w:rFonts w:hint="eastAsia" w:cs="Times New Roman"/>
                <w:bCs/>
                <w:color w:val="auto"/>
                <w:sz w:val="24"/>
                <w:szCs w:val="22"/>
                <w:u w:val="single"/>
                <w:lang w:val="en-US" w:eastAsia="zh-CN"/>
              </w:rPr>
              <w:t>2</w:t>
            </w:r>
            <w:r>
              <w:rPr>
                <w:rFonts w:hint="eastAsia" w:ascii="Times New Roman" w:hAnsi="Times New Roman" w:cs="Times New Roman"/>
                <w:bCs/>
                <w:color w:val="auto"/>
                <w:sz w:val="24"/>
                <w:szCs w:val="22"/>
                <w:u w:val="single"/>
              </w:rPr>
              <w:t>5mg/L</w:t>
            </w:r>
            <w:r>
              <w:rPr>
                <w:rFonts w:hint="eastAsia" w:cs="Times New Roman"/>
                <w:bCs/>
                <w:color w:val="auto"/>
                <w:sz w:val="24"/>
                <w:szCs w:val="22"/>
                <w:u w:val="single"/>
                <w:lang w:eastAsia="zh-CN"/>
              </w:rPr>
              <w:t>、动植物油</w:t>
            </w:r>
            <w:r>
              <w:rPr>
                <w:rFonts w:hint="eastAsia" w:cs="Times New Roman"/>
                <w:bCs/>
                <w:color w:val="auto"/>
                <w:sz w:val="24"/>
                <w:szCs w:val="22"/>
                <w:u w:val="single"/>
                <w:lang w:val="en-US" w:eastAsia="zh-CN"/>
              </w:rPr>
              <w:t>40</w:t>
            </w:r>
            <w:r>
              <w:rPr>
                <w:rFonts w:hint="eastAsia" w:ascii="Times New Roman" w:hAnsi="Times New Roman" w:cs="Times New Roman"/>
                <w:bCs/>
                <w:color w:val="auto"/>
                <w:sz w:val="24"/>
                <w:szCs w:val="22"/>
                <w:u w:val="single"/>
              </w:rPr>
              <w:t>mg/L。</w:t>
            </w:r>
            <w:r>
              <w:rPr>
                <w:rFonts w:hint="eastAsia"/>
                <w:bCs/>
                <w:color w:val="auto"/>
                <w:sz w:val="24"/>
                <w:szCs w:val="24"/>
                <w:u w:val="single"/>
                <w:lang w:eastAsia="zh-CN"/>
              </w:rPr>
              <w:t>生活废水经化粪池处理后接入市政污水管网，纳入洪江区污水处理厂处理。</w:t>
            </w:r>
          </w:p>
          <w:p>
            <w:pPr>
              <w:pStyle w:val="51"/>
              <w:spacing w:line="360" w:lineRule="auto"/>
              <w:ind w:firstLine="482" w:firstLineChars="200"/>
              <w:rPr>
                <w:rFonts w:hint="eastAsia" w:ascii="Times New Roman" w:hAnsi="Times New Roman" w:eastAsia="宋体"/>
                <w:b/>
                <w:color w:val="auto"/>
              </w:rPr>
            </w:pPr>
            <w:r>
              <w:rPr>
                <w:rFonts w:hint="eastAsia" w:ascii="Times New Roman" w:hAnsi="Times New Roman" w:eastAsia="宋体"/>
                <w:b/>
                <w:color w:val="auto"/>
                <w:lang w:eastAsia="zh-CN"/>
              </w:rPr>
              <w:t>（</w:t>
            </w:r>
            <w:r>
              <w:rPr>
                <w:rFonts w:hint="eastAsia" w:ascii="Times New Roman" w:hAnsi="Times New Roman" w:eastAsia="宋体"/>
                <w:b/>
                <w:color w:val="auto"/>
                <w:lang w:val="en-US" w:eastAsia="zh-CN"/>
              </w:rPr>
              <w:t>3</w:t>
            </w:r>
            <w:r>
              <w:rPr>
                <w:rFonts w:hint="eastAsia" w:ascii="Times New Roman" w:hAnsi="Times New Roman" w:eastAsia="宋体"/>
                <w:b/>
                <w:color w:val="auto"/>
                <w:lang w:eastAsia="zh-CN"/>
              </w:rPr>
              <w:t>）</w:t>
            </w:r>
            <w:r>
              <w:rPr>
                <w:rFonts w:ascii="Times New Roman" w:hAnsi="Times New Roman" w:eastAsia="宋体"/>
                <w:b/>
                <w:color w:val="auto"/>
              </w:rPr>
              <w:t>噪声</w:t>
            </w:r>
            <w:r>
              <w:rPr>
                <w:rFonts w:hint="eastAsia" w:ascii="Times New Roman" w:hAnsi="Times New Roman" w:eastAsia="宋体"/>
                <w:b/>
                <w:color w:val="auto"/>
              </w:rPr>
              <w:t>污染源</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本项目噪声主要来源于剖篾机、热压机、</w:t>
            </w:r>
            <w:r>
              <w:rPr>
                <w:rFonts w:hint="eastAsia"/>
                <w:bCs/>
                <w:color w:val="auto"/>
                <w:sz w:val="24"/>
                <w:szCs w:val="24"/>
                <w:lang w:eastAsia="zh-CN"/>
              </w:rPr>
              <w:t>编织机</w:t>
            </w:r>
            <w:r>
              <w:rPr>
                <w:rFonts w:hint="eastAsia"/>
                <w:bCs/>
                <w:color w:val="auto"/>
                <w:sz w:val="24"/>
                <w:szCs w:val="24"/>
              </w:rPr>
              <w:t>、锯机、锅炉、运输设备等生产设备运行产生的噪声，根据同类型项目现场实测，主要高噪声设备及噪声源强见表21。</w:t>
            </w:r>
          </w:p>
          <w:p>
            <w:pPr>
              <w:pStyle w:val="7"/>
              <w:spacing w:line="360" w:lineRule="auto"/>
              <w:ind w:firstLine="200"/>
              <w:jc w:val="center"/>
              <w:rPr>
                <w:b/>
                <w:color w:val="auto"/>
                <w:sz w:val="21"/>
                <w:szCs w:val="21"/>
              </w:rPr>
            </w:pPr>
            <w:r>
              <w:rPr>
                <w:b/>
                <w:color w:val="auto"/>
                <w:sz w:val="21"/>
                <w:szCs w:val="21"/>
              </w:rPr>
              <w:t>表</w:t>
            </w:r>
            <w:r>
              <w:rPr>
                <w:rFonts w:hint="eastAsia"/>
                <w:b/>
                <w:color w:val="auto"/>
                <w:sz w:val="21"/>
                <w:szCs w:val="21"/>
              </w:rPr>
              <w:t>1</w:t>
            </w:r>
            <w:r>
              <w:rPr>
                <w:rFonts w:hint="eastAsia"/>
                <w:b/>
                <w:color w:val="auto"/>
                <w:sz w:val="21"/>
                <w:szCs w:val="21"/>
                <w:lang w:val="en-US" w:eastAsia="zh-CN"/>
              </w:rPr>
              <w:t>-9</w:t>
            </w:r>
            <w:r>
              <w:rPr>
                <w:rFonts w:hint="eastAsia"/>
                <w:b/>
                <w:color w:val="auto"/>
                <w:sz w:val="21"/>
                <w:szCs w:val="21"/>
              </w:rPr>
              <w:t xml:space="preserve"> </w:t>
            </w:r>
            <w:r>
              <w:rPr>
                <w:b/>
                <w:color w:val="auto"/>
                <w:sz w:val="21"/>
                <w:szCs w:val="21"/>
              </w:rPr>
              <w:t>主要噪声源</w:t>
            </w:r>
            <w:r>
              <w:rPr>
                <w:rFonts w:hint="eastAsia"/>
                <w:b/>
                <w:color w:val="auto"/>
                <w:sz w:val="21"/>
                <w:szCs w:val="21"/>
              </w:rPr>
              <w:t>名称</w:t>
            </w:r>
            <w:r>
              <w:rPr>
                <w:b/>
                <w:color w:val="auto"/>
                <w:sz w:val="21"/>
                <w:szCs w:val="21"/>
              </w:rPr>
              <w:t>噪声级</w:t>
            </w:r>
          </w:p>
          <w:tbl>
            <w:tblPr>
              <w:tblStyle w:val="22"/>
              <w:tblW w:w="502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3316"/>
              <w:gridCol w:w="2096"/>
              <w:gridCol w:w="36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5" w:hRule="atLeast"/>
                <w:jc w:val="center"/>
              </w:trPr>
              <w:tc>
                <w:tcPr>
                  <w:tcW w:w="1838" w:type="pct"/>
                  <w:tcBorders>
                    <w:top w:val="single" w:color="auto" w:sz="6" w:space="0"/>
                    <w:left w:val="single" w:color="auto" w:sz="6" w:space="0"/>
                    <w:bottom w:val="single" w:color="auto" w:sz="6" w:space="0"/>
                    <w:right w:val="single" w:color="auto" w:sz="6" w:space="0"/>
                  </w:tcBorders>
                  <w:noWrap w:val="0"/>
                  <w:vAlign w:val="center"/>
                </w:tcPr>
                <w:p>
                  <w:pPr>
                    <w:pStyle w:val="50"/>
                    <w:ind w:left="13" w:leftChars="-45" w:right="-94" w:rightChars="-45" w:hanging="107" w:hangingChars="51"/>
                    <w:rPr>
                      <w:rFonts w:ascii="Times New Roman" w:hAnsi="Times New Roman"/>
                      <w:color w:val="auto"/>
                    </w:rPr>
                  </w:pPr>
                  <w:r>
                    <w:rPr>
                      <w:rFonts w:ascii="Times New Roman" w:hAnsi="Times New Roman"/>
                      <w:color w:val="auto"/>
                    </w:rPr>
                    <w:t>噪声源</w:t>
                  </w:r>
                </w:p>
              </w:tc>
              <w:tc>
                <w:tcPr>
                  <w:tcW w:w="1161" w:type="pct"/>
                  <w:tcBorders>
                    <w:top w:val="single" w:color="auto" w:sz="6" w:space="0"/>
                    <w:left w:val="single" w:color="auto" w:sz="6" w:space="0"/>
                    <w:bottom w:val="single" w:color="auto" w:sz="6" w:space="0"/>
                    <w:right w:val="single" w:color="auto" w:sz="6" w:space="0"/>
                  </w:tcBorders>
                  <w:noWrap w:val="0"/>
                  <w:vAlign w:val="center"/>
                </w:tcPr>
                <w:p>
                  <w:pPr>
                    <w:pStyle w:val="50"/>
                    <w:ind w:left="13" w:leftChars="-45" w:right="-94" w:rightChars="-45" w:hanging="107" w:hangingChars="51"/>
                    <w:rPr>
                      <w:rFonts w:ascii="Times New Roman" w:hAnsi="Times New Roman"/>
                      <w:color w:val="auto"/>
                    </w:rPr>
                  </w:pPr>
                  <w:r>
                    <w:rPr>
                      <w:rFonts w:ascii="Times New Roman" w:hAnsi="Times New Roman"/>
                      <w:color w:val="auto"/>
                    </w:rPr>
                    <w:t>数量</w:t>
                  </w:r>
                </w:p>
              </w:tc>
              <w:tc>
                <w:tcPr>
                  <w:tcW w:w="2000" w:type="pct"/>
                  <w:tcBorders>
                    <w:top w:val="single" w:color="auto" w:sz="6" w:space="0"/>
                    <w:left w:val="single" w:color="auto" w:sz="6" w:space="0"/>
                    <w:bottom w:val="single" w:color="auto" w:sz="6" w:space="0"/>
                    <w:right w:val="single" w:color="auto" w:sz="6" w:space="0"/>
                  </w:tcBorders>
                  <w:noWrap w:val="0"/>
                  <w:vAlign w:val="center"/>
                </w:tcPr>
                <w:p>
                  <w:pPr>
                    <w:pStyle w:val="50"/>
                    <w:ind w:left="13" w:leftChars="-45" w:right="-94" w:rightChars="-45" w:hanging="107" w:hangingChars="51"/>
                    <w:rPr>
                      <w:rFonts w:ascii="Times New Roman" w:hAnsi="Times New Roman"/>
                      <w:color w:val="auto"/>
                    </w:rPr>
                  </w:pPr>
                  <w:r>
                    <w:rPr>
                      <w:rFonts w:ascii="Times New Roman" w:hAnsi="Times New Roman"/>
                      <w:color w:val="auto"/>
                    </w:rPr>
                    <w:t>声级dB（A）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5" w:hRule="atLeast"/>
                <w:jc w:val="center"/>
              </w:trPr>
              <w:tc>
                <w:tcPr>
                  <w:tcW w:w="1838"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rPr>
                  </w:pPr>
                  <w:r>
                    <w:rPr>
                      <w:rFonts w:hint="eastAsia" w:ascii="Times New Roman" w:hAnsi="Times New Roman" w:eastAsia="宋体" w:cs="Times New Roman"/>
                      <w:color w:val="auto"/>
                      <w:sz w:val="21"/>
                      <w:szCs w:val="21"/>
                    </w:rPr>
                    <w:t>剖篾机</w:t>
                  </w:r>
                </w:p>
              </w:tc>
              <w:tc>
                <w:tcPr>
                  <w:tcW w:w="1161"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rPr>
                  </w:pPr>
                  <w:r>
                    <w:rPr>
                      <w:rFonts w:hint="eastAsia" w:ascii="Times New Roman" w:hAnsi="Times New Roman" w:cs="Times New Roman"/>
                      <w:color w:val="auto"/>
                      <w:sz w:val="21"/>
                      <w:szCs w:val="21"/>
                      <w:lang w:val="en-US" w:eastAsia="zh-CN"/>
                    </w:rPr>
                    <w:t>20台</w:t>
                  </w:r>
                </w:p>
              </w:tc>
              <w:tc>
                <w:tcPr>
                  <w:tcW w:w="2000" w:type="pct"/>
                  <w:tcBorders>
                    <w:top w:val="single" w:color="auto" w:sz="6" w:space="0"/>
                    <w:left w:val="single" w:color="auto" w:sz="6" w:space="0"/>
                    <w:bottom w:val="single" w:color="auto" w:sz="6" w:space="0"/>
                    <w:right w:val="single" w:color="auto" w:sz="6" w:space="0"/>
                  </w:tcBorders>
                  <w:noWrap w:val="0"/>
                  <w:vAlign w:val="center"/>
                </w:tcPr>
                <w:p>
                  <w:pPr>
                    <w:pStyle w:val="50"/>
                    <w:ind w:left="13" w:leftChars="-45" w:right="-94" w:rightChars="-45" w:hanging="107" w:hangingChars="51"/>
                    <w:rPr>
                      <w:rFonts w:ascii="Times New Roman" w:hAnsi="Times New Roman"/>
                      <w:color w:val="auto"/>
                    </w:rPr>
                  </w:pPr>
                  <w:r>
                    <w:rPr>
                      <w:rFonts w:hint="eastAsia" w:ascii="Times New Roman" w:hAnsi="Times New Roman"/>
                      <w:color w:val="auto"/>
                    </w:rPr>
                    <w:t>70-7</w:t>
                  </w:r>
                  <w:r>
                    <w:rPr>
                      <w:rFonts w:ascii="Times New Roman" w:hAnsi="Times New Roman"/>
                      <w:color w:val="auto"/>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5" w:hRule="atLeast"/>
                <w:jc w:val="center"/>
              </w:trPr>
              <w:tc>
                <w:tcPr>
                  <w:tcW w:w="1838"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rPr>
                  </w:pPr>
                  <w:r>
                    <w:rPr>
                      <w:rFonts w:hint="eastAsia" w:ascii="宋体" w:hAnsi="宋体" w:eastAsia="宋体"/>
                      <w:color w:val="auto"/>
                      <w:sz w:val="21"/>
                    </w:rPr>
                    <w:t>编织机</w:t>
                  </w:r>
                </w:p>
              </w:tc>
              <w:tc>
                <w:tcPr>
                  <w:tcW w:w="1161"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rPr>
                  </w:pPr>
                  <w:r>
                    <w:rPr>
                      <w:rFonts w:hint="eastAsia" w:ascii="Times New Roman" w:hAnsi="Times New Roman" w:cs="Times New Roman"/>
                      <w:color w:val="auto"/>
                      <w:sz w:val="21"/>
                      <w:szCs w:val="21"/>
                      <w:lang w:val="en-US" w:eastAsia="zh-CN"/>
                    </w:rPr>
                    <w:t>20台</w:t>
                  </w:r>
                </w:p>
              </w:tc>
              <w:tc>
                <w:tcPr>
                  <w:tcW w:w="2000" w:type="pct"/>
                  <w:tcBorders>
                    <w:top w:val="single" w:color="auto" w:sz="6" w:space="0"/>
                    <w:left w:val="single" w:color="auto" w:sz="6" w:space="0"/>
                    <w:bottom w:val="single" w:color="auto" w:sz="6" w:space="0"/>
                    <w:right w:val="single" w:color="auto" w:sz="6" w:space="0"/>
                  </w:tcBorders>
                  <w:noWrap w:val="0"/>
                  <w:vAlign w:val="center"/>
                </w:tcPr>
                <w:p>
                  <w:pPr>
                    <w:pStyle w:val="50"/>
                    <w:ind w:left="13" w:leftChars="-45" w:right="-94" w:rightChars="-45" w:hanging="107" w:hangingChars="51"/>
                    <w:rPr>
                      <w:rFonts w:hint="eastAsia" w:ascii="Times New Roman" w:hAnsi="Times New Roman"/>
                      <w:color w:val="auto"/>
                    </w:rPr>
                  </w:pPr>
                  <w:r>
                    <w:rPr>
                      <w:rFonts w:hint="eastAsia" w:ascii="Times New Roman" w:hAnsi="Times New Roman"/>
                      <w:color w:val="auto"/>
                    </w:rPr>
                    <w:t>70-7</w:t>
                  </w:r>
                  <w:r>
                    <w:rPr>
                      <w:rFonts w:ascii="Times New Roman" w:hAnsi="Times New Roman"/>
                      <w:color w:val="auto"/>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5" w:hRule="atLeast"/>
                <w:jc w:val="center"/>
              </w:trPr>
              <w:tc>
                <w:tcPr>
                  <w:tcW w:w="1838"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color w:val="auto"/>
                    </w:rPr>
                  </w:pPr>
                  <w:r>
                    <w:rPr>
                      <w:rFonts w:hint="eastAsia" w:ascii="宋体" w:hAnsi="宋体" w:eastAsia="宋体"/>
                      <w:color w:val="auto"/>
                      <w:sz w:val="21"/>
                    </w:rPr>
                    <w:t>干燥窑</w:t>
                  </w:r>
                </w:p>
              </w:tc>
              <w:tc>
                <w:tcPr>
                  <w:tcW w:w="1161"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color w:val="auto"/>
                    </w:rPr>
                  </w:pPr>
                  <w:r>
                    <w:rPr>
                      <w:rFonts w:hint="eastAsia" w:ascii="Times New Roman" w:hAnsi="Times New Roman" w:cs="Times New Roman"/>
                      <w:color w:val="auto"/>
                      <w:sz w:val="21"/>
                      <w:szCs w:val="21"/>
                      <w:lang w:val="en-US" w:eastAsia="zh-CN"/>
                    </w:rPr>
                    <w:t>4台</w:t>
                  </w:r>
                </w:p>
              </w:tc>
              <w:tc>
                <w:tcPr>
                  <w:tcW w:w="2000" w:type="pct"/>
                  <w:tcBorders>
                    <w:top w:val="single" w:color="auto" w:sz="6" w:space="0"/>
                    <w:left w:val="single" w:color="auto" w:sz="6" w:space="0"/>
                    <w:bottom w:val="single" w:color="auto" w:sz="6" w:space="0"/>
                    <w:right w:val="single" w:color="auto" w:sz="6" w:space="0"/>
                  </w:tcBorders>
                  <w:noWrap w:val="0"/>
                  <w:vAlign w:val="center"/>
                </w:tcPr>
                <w:p>
                  <w:pPr>
                    <w:pStyle w:val="50"/>
                    <w:ind w:left="13" w:leftChars="-45" w:right="-94" w:rightChars="-45" w:hanging="107" w:hangingChars="51"/>
                    <w:rPr>
                      <w:rFonts w:hint="eastAsia" w:ascii="Times New Roman" w:hAnsi="Times New Roman"/>
                      <w:color w:val="auto"/>
                    </w:rPr>
                  </w:pPr>
                  <w:r>
                    <w:rPr>
                      <w:rFonts w:hint="eastAsia" w:ascii="Times New Roman" w:hAnsi="Times New Roman"/>
                      <w:color w:val="auto"/>
                    </w:rPr>
                    <w:t>70-7</w:t>
                  </w:r>
                  <w:r>
                    <w:rPr>
                      <w:rFonts w:ascii="Times New Roman" w:hAnsi="Times New Roman"/>
                      <w:color w:val="auto"/>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5" w:hRule="atLeast"/>
                <w:jc w:val="center"/>
              </w:trPr>
              <w:tc>
                <w:tcPr>
                  <w:tcW w:w="1838"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color w:val="auto"/>
                    </w:rPr>
                  </w:pPr>
                  <w:r>
                    <w:rPr>
                      <w:rFonts w:hint="eastAsia" w:ascii="宋体" w:hAnsi="宋体" w:eastAsia="宋体"/>
                      <w:color w:val="auto"/>
                      <w:sz w:val="21"/>
                    </w:rPr>
                    <w:t>热压机</w:t>
                  </w:r>
                </w:p>
              </w:tc>
              <w:tc>
                <w:tcPr>
                  <w:tcW w:w="1161"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color w:val="auto"/>
                    </w:rPr>
                  </w:pPr>
                  <w:r>
                    <w:rPr>
                      <w:rFonts w:hint="eastAsia" w:ascii="Times New Roman" w:hAnsi="Times New Roman" w:cs="Times New Roman"/>
                      <w:color w:val="auto"/>
                      <w:sz w:val="21"/>
                      <w:szCs w:val="21"/>
                      <w:lang w:val="en-US" w:eastAsia="zh-CN"/>
                    </w:rPr>
                    <w:t>1台</w:t>
                  </w:r>
                </w:p>
              </w:tc>
              <w:tc>
                <w:tcPr>
                  <w:tcW w:w="2000" w:type="pct"/>
                  <w:tcBorders>
                    <w:top w:val="single" w:color="auto" w:sz="6" w:space="0"/>
                    <w:left w:val="single" w:color="auto" w:sz="6" w:space="0"/>
                    <w:bottom w:val="single" w:color="auto" w:sz="6" w:space="0"/>
                    <w:right w:val="single" w:color="auto" w:sz="6" w:space="0"/>
                  </w:tcBorders>
                  <w:noWrap w:val="0"/>
                  <w:vAlign w:val="center"/>
                </w:tcPr>
                <w:p>
                  <w:pPr>
                    <w:pStyle w:val="50"/>
                    <w:ind w:left="13" w:leftChars="-45" w:right="-94" w:rightChars="-45" w:hanging="107" w:hangingChars="51"/>
                    <w:rPr>
                      <w:rFonts w:hint="default" w:ascii="Times New Roman" w:hAnsi="Times New Roman" w:eastAsia="宋体"/>
                      <w:color w:val="auto"/>
                      <w:lang w:val="en-US" w:eastAsia="zh-CN"/>
                    </w:rPr>
                  </w:pPr>
                  <w:r>
                    <w:rPr>
                      <w:rFonts w:hint="eastAsia" w:ascii="Times New Roman" w:hAnsi="Times New Roman"/>
                      <w:color w:val="auto"/>
                      <w:lang w:val="en-US" w:eastAsia="zh-CN"/>
                    </w:rPr>
                    <w:t>75-80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5" w:hRule="atLeast"/>
                <w:jc w:val="center"/>
              </w:trPr>
              <w:tc>
                <w:tcPr>
                  <w:tcW w:w="1838"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color w:val="auto"/>
                    </w:rPr>
                  </w:pPr>
                  <w:r>
                    <w:rPr>
                      <w:rFonts w:hint="eastAsia" w:ascii="Times New Roman" w:hAnsi="Times New Roman" w:eastAsia="宋体" w:cs="Times New Roman"/>
                      <w:color w:val="auto"/>
                      <w:sz w:val="21"/>
                      <w:szCs w:val="21"/>
                    </w:rPr>
                    <w:t>锯机</w:t>
                  </w:r>
                </w:p>
              </w:tc>
              <w:tc>
                <w:tcPr>
                  <w:tcW w:w="1161" w:type="pct"/>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color w:val="auto"/>
                    </w:rPr>
                  </w:pPr>
                  <w:r>
                    <w:rPr>
                      <w:rFonts w:hint="eastAsia" w:ascii="Times New Roman" w:hAnsi="Times New Roman" w:cs="Times New Roman"/>
                      <w:color w:val="auto"/>
                      <w:sz w:val="21"/>
                      <w:szCs w:val="21"/>
                      <w:lang w:val="en-US" w:eastAsia="zh-CN"/>
                    </w:rPr>
                    <w:t>3台</w:t>
                  </w:r>
                </w:p>
              </w:tc>
              <w:tc>
                <w:tcPr>
                  <w:tcW w:w="2000" w:type="pct"/>
                  <w:tcBorders>
                    <w:top w:val="single" w:color="auto" w:sz="6" w:space="0"/>
                    <w:left w:val="single" w:color="auto" w:sz="6" w:space="0"/>
                    <w:bottom w:val="single" w:color="auto" w:sz="6" w:space="0"/>
                    <w:right w:val="single" w:color="auto" w:sz="6" w:space="0"/>
                  </w:tcBorders>
                  <w:noWrap w:val="0"/>
                  <w:vAlign w:val="center"/>
                </w:tcPr>
                <w:p>
                  <w:pPr>
                    <w:pStyle w:val="50"/>
                    <w:ind w:left="13" w:leftChars="-45" w:right="-94" w:rightChars="-45" w:hanging="107" w:hangingChars="51"/>
                    <w:rPr>
                      <w:rFonts w:hint="eastAsia" w:ascii="Times New Roman" w:hAnsi="Times New Roman"/>
                      <w:color w:val="auto"/>
                    </w:rPr>
                  </w:pPr>
                  <w:r>
                    <w:rPr>
                      <w:rFonts w:ascii="Times New Roman" w:hAnsi="Times New Roman"/>
                      <w:color w:val="auto"/>
                    </w:rPr>
                    <w:t>80</w:t>
                  </w:r>
                  <w:r>
                    <w:rPr>
                      <w:rFonts w:hint="eastAsia" w:ascii="Times New Roman" w:hAnsi="Times New Roman"/>
                      <w:color w:val="auto"/>
                    </w:rPr>
                    <w:t>-85</w:t>
                  </w:r>
                </w:p>
              </w:tc>
            </w:tr>
          </w:tbl>
          <w:p>
            <w:pPr>
              <w:pStyle w:val="51"/>
              <w:spacing w:line="360" w:lineRule="auto"/>
              <w:ind w:firstLine="482" w:firstLineChars="200"/>
              <w:rPr>
                <w:rFonts w:ascii="Times New Roman" w:hAnsi="Times New Roman" w:eastAsia="宋体"/>
                <w:b/>
                <w:color w:val="auto"/>
              </w:rPr>
            </w:pPr>
            <w:r>
              <w:rPr>
                <w:rFonts w:hint="eastAsia" w:ascii="Times New Roman" w:hAnsi="Times New Roman" w:eastAsia="宋体"/>
                <w:b/>
                <w:color w:val="auto"/>
                <w:lang w:eastAsia="zh-CN"/>
              </w:rPr>
              <w:t>（</w:t>
            </w:r>
            <w:r>
              <w:rPr>
                <w:rFonts w:hint="eastAsia" w:ascii="Times New Roman" w:hAnsi="Times New Roman" w:eastAsia="宋体"/>
                <w:b/>
                <w:color w:val="auto"/>
                <w:lang w:val="en-US" w:eastAsia="zh-CN"/>
              </w:rPr>
              <w:t>4</w:t>
            </w:r>
            <w:r>
              <w:rPr>
                <w:rFonts w:hint="eastAsia" w:ascii="Times New Roman" w:hAnsi="Times New Roman" w:eastAsia="宋体"/>
                <w:b/>
                <w:color w:val="auto"/>
                <w:lang w:eastAsia="zh-CN"/>
              </w:rPr>
              <w:t>）</w:t>
            </w:r>
            <w:r>
              <w:rPr>
                <w:rFonts w:ascii="Times New Roman" w:hAnsi="Times New Roman" w:eastAsia="宋体"/>
                <w:b/>
                <w:color w:val="auto"/>
              </w:rPr>
              <w:t>固体废物</w:t>
            </w:r>
          </w:p>
          <w:p>
            <w:pPr>
              <w:adjustRightInd w:val="0"/>
              <w:snapToGrid w:val="0"/>
              <w:spacing w:line="360" w:lineRule="auto"/>
              <w:ind w:firstLine="480" w:firstLineChars="200"/>
              <w:rPr>
                <w:bCs/>
                <w:color w:val="auto"/>
                <w:sz w:val="24"/>
                <w:szCs w:val="24"/>
              </w:rPr>
            </w:pPr>
            <w:r>
              <w:rPr>
                <w:bCs/>
                <w:color w:val="auto"/>
                <w:sz w:val="24"/>
                <w:szCs w:val="24"/>
              </w:rPr>
              <w:fldChar w:fldCharType="begin"/>
            </w:r>
            <w:r>
              <w:rPr>
                <w:bCs/>
                <w:color w:val="auto"/>
                <w:sz w:val="24"/>
                <w:szCs w:val="24"/>
              </w:rPr>
              <w:instrText xml:space="preserve"> = 1 \* GB3 </w:instrText>
            </w:r>
            <w:r>
              <w:rPr>
                <w:bCs/>
                <w:color w:val="auto"/>
                <w:sz w:val="24"/>
                <w:szCs w:val="24"/>
              </w:rPr>
              <w:fldChar w:fldCharType="separate"/>
            </w:r>
            <w:r>
              <w:rPr>
                <w:rFonts w:hint="eastAsia"/>
                <w:bCs/>
                <w:color w:val="auto"/>
                <w:sz w:val="24"/>
                <w:szCs w:val="24"/>
              </w:rPr>
              <w:t>①</w:t>
            </w:r>
            <w:r>
              <w:rPr>
                <w:bCs/>
                <w:color w:val="auto"/>
                <w:sz w:val="24"/>
                <w:szCs w:val="24"/>
              </w:rPr>
              <w:fldChar w:fldCharType="end"/>
            </w:r>
            <w:r>
              <w:rPr>
                <w:bCs/>
                <w:color w:val="auto"/>
                <w:sz w:val="24"/>
                <w:szCs w:val="24"/>
              </w:rPr>
              <w:t xml:space="preserve"> 木屑、边角料</w:t>
            </w:r>
          </w:p>
          <w:p>
            <w:pPr>
              <w:adjustRightInd w:val="0"/>
              <w:snapToGrid w:val="0"/>
              <w:spacing w:line="360" w:lineRule="auto"/>
              <w:ind w:firstLine="480" w:firstLineChars="200"/>
              <w:rPr>
                <w:rFonts w:hint="eastAsia"/>
                <w:bCs/>
                <w:color w:val="auto"/>
                <w:sz w:val="24"/>
                <w:szCs w:val="24"/>
              </w:rPr>
            </w:pPr>
            <w:r>
              <w:rPr>
                <w:bCs/>
                <w:color w:val="auto"/>
                <w:sz w:val="24"/>
                <w:szCs w:val="24"/>
              </w:rPr>
              <w:t>本项目在</w:t>
            </w:r>
            <w:r>
              <w:rPr>
                <w:rFonts w:hint="eastAsia"/>
                <w:bCs/>
                <w:color w:val="auto"/>
                <w:sz w:val="24"/>
                <w:szCs w:val="24"/>
              </w:rPr>
              <w:t>裁</w:t>
            </w:r>
            <w:r>
              <w:rPr>
                <w:bCs/>
                <w:color w:val="auto"/>
                <w:sz w:val="24"/>
                <w:szCs w:val="24"/>
              </w:rPr>
              <w:t>过程会产生</w:t>
            </w:r>
            <w:r>
              <w:rPr>
                <w:rFonts w:hint="eastAsia"/>
                <w:bCs/>
                <w:color w:val="auto"/>
                <w:sz w:val="24"/>
                <w:szCs w:val="24"/>
              </w:rPr>
              <w:t>的</w:t>
            </w:r>
            <w:r>
              <w:rPr>
                <w:bCs/>
                <w:color w:val="auto"/>
                <w:sz w:val="24"/>
                <w:szCs w:val="24"/>
              </w:rPr>
              <w:t>边角料</w:t>
            </w:r>
            <w:r>
              <w:rPr>
                <w:rFonts w:hint="eastAsia"/>
                <w:bCs/>
                <w:color w:val="auto"/>
                <w:sz w:val="24"/>
                <w:szCs w:val="24"/>
              </w:rPr>
              <w:t>以及除尘器收集的粉尘</w:t>
            </w:r>
            <w:r>
              <w:rPr>
                <w:bCs/>
                <w:color w:val="auto"/>
                <w:sz w:val="24"/>
                <w:szCs w:val="24"/>
              </w:rPr>
              <w:t>，</w:t>
            </w:r>
            <w:r>
              <w:rPr>
                <w:rFonts w:hint="eastAsia"/>
                <w:bCs/>
                <w:color w:val="auto"/>
                <w:sz w:val="24"/>
                <w:szCs w:val="24"/>
              </w:rPr>
              <w:t>根据业主提供资料，边角料产生量约为20t/a，布袋除尘器收集的粉尘量为</w:t>
            </w:r>
            <w:r>
              <w:rPr>
                <w:rFonts w:hint="eastAsia"/>
                <w:bCs/>
                <w:color w:val="auto"/>
                <w:sz w:val="24"/>
                <w:szCs w:val="24"/>
                <w:lang w:val="en-US" w:eastAsia="zh-CN"/>
              </w:rPr>
              <w:t>0.95</w:t>
            </w:r>
            <w:r>
              <w:rPr>
                <w:rFonts w:hint="eastAsia"/>
                <w:bCs/>
                <w:color w:val="auto"/>
                <w:sz w:val="24"/>
                <w:szCs w:val="24"/>
              </w:rPr>
              <w:t>t/a，总计为</w:t>
            </w:r>
            <w:r>
              <w:rPr>
                <w:rFonts w:hint="eastAsia"/>
                <w:bCs/>
                <w:color w:val="auto"/>
                <w:sz w:val="24"/>
                <w:szCs w:val="24"/>
                <w:lang w:val="en-US" w:eastAsia="zh-CN"/>
              </w:rPr>
              <w:t>20.95</w:t>
            </w:r>
            <w:r>
              <w:rPr>
                <w:rFonts w:hint="eastAsia"/>
                <w:bCs/>
                <w:color w:val="auto"/>
                <w:sz w:val="24"/>
                <w:szCs w:val="24"/>
              </w:rPr>
              <w:t>t/a，</w:t>
            </w:r>
            <w:r>
              <w:rPr>
                <w:rFonts w:hint="eastAsia"/>
                <w:bCs/>
                <w:color w:val="auto"/>
                <w:sz w:val="24"/>
                <w:szCs w:val="24"/>
                <w:lang w:eastAsia="zh-CN"/>
              </w:rPr>
              <w:t>目前用作生物质锅炉燃料</w:t>
            </w:r>
            <w:r>
              <w:rPr>
                <w:rFonts w:hint="eastAsia"/>
                <w:bCs/>
                <w:color w:val="auto"/>
                <w:sz w:val="24"/>
                <w:szCs w:val="24"/>
              </w:rPr>
              <w:t>。</w:t>
            </w:r>
            <w:r>
              <w:rPr>
                <w:bCs/>
                <w:color w:val="auto"/>
                <w:sz w:val="24"/>
                <w:szCs w:val="24"/>
              </w:rPr>
              <w:t xml:space="preserve"> </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②树脂包装桶</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根据建设单位提供资料，项目酚醛树脂包装桶的年产生量约为</w:t>
            </w:r>
            <w:r>
              <w:rPr>
                <w:rFonts w:hint="eastAsia"/>
                <w:bCs/>
                <w:color w:val="auto"/>
                <w:sz w:val="24"/>
                <w:szCs w:val="24"/>
                <w:u w:val="single"/>
                <w:lang w:val="en-US" w:eastAsia="zh-CN"/>
              </w:rPr>
              <w:t>3</w:t>
            </w:r>
            <w:r>
              <w:rPr>
                <w:rFonts w:hint="eastAsia"/>
                <w:bCs/>
                <w:color w:val="auto"/>
                <w:sz w:val="24"/>
                <w:szCs w:val="24"/>
              </w:rPr>
              <w:t>t，由树脂胶供应单位</w:t>
            </w:r>
            <w:r>
              <w:rPr>
                <w:rFonts w:hint="eastAsia"/>
                <w:bCs/>
                <w:color w:val="auto"/>
                <w:sz w:val="24"/>
                <w:szCs w:val="24"/>
                <w:u w:val="single"/>
                <w:lang w:eastAsia="zh-CN"/>
              </w:rPr>
              <w:t>（湖南省中方县泸阳镇华伟胶粘剂厂）</w:t>
            </w:r>
            <w:r>
              <w:rPr>
                <w:rFonts w:hint="eastAsia"/>
                <w:bCs/>
                <w:color w:val="auto"/>
                <w:sz w:val="24"/>
                <w:szCs w:val="24"/>
                <w:u w:val="single"/>
              </w:rPr>
              <w:t>回收再利用</w:t>
            </w:r>
            <w:r>
              <w:rPr>
                <w:rFonts w:hint="eastAsia"/>
                <w:bCs/>
                <w:color w:val="auto"/>
                <w:sz w:val="24"/>
                <w:szCs w:val="24"/>
                <w:u w:val="single"/>
                <w:lang w:eastAsia="zh-CN"/>
              </w:rPr>
              <w:t>，回收证明详见附件</w:t>
            </w:r>
            <w:r>
              <w:rPr>
                <w:rFonts w:hint="eastAsia"/>
                <w:bCs/>
                <w:color w:val="auto"/>
                <w:sz w:val="24"/>
                <w:szCs w:val="24"/>
                <w:u w:val="single"/>
                <w:lang w:val="en-US" w:eastAsia="zh-CN"/>
              </w:rPr>
              <w:t>8</w:t>
            </w:r>
            <w:r>
              <w:rPr>
                <w:rFonts w:hint="eastAsia"/>
                <w:bCs/>
                <w:color w:val="auto"/>
                <w:sz w:val="24"/>
                <w:szCs w:val="24"/>
              </w:rPr>
              <w:t>。</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③锅炉</w:t>
            </w:r>
            <w:r>
              <w:rPr>
                <w:rFonts w:hint="eastAsia"/>
                <w:bCs/>
                <w:color w:val="auto"/>
                <w:sz w:val="24"/>
                <w:szCs w:val="24"/>
                <w:lang w:eastAsia="zh-CN"/>
              </w:rPr>
              <w:t>灰</w:t>
            </w:r>
            <w:r>
              <w:rPr>
                <w:rFonts w:hint="eastAsia"/>
                <w:bCs/>
                <w:color w:val="auto"/>
                <w:sz w:val="24"/>
                <w:szCs w:val="24"/>
              </w:rPr>
              <w:t>渣</w:t>
            </w:r>
          </w:p>
          <w:p>
            <w:pPr>
              <w:adjustRightInd w:val="0"/>
              <w:snapToGrid w:val="0"/>
              <w:spacing w:line="360" w:lineRule="auto"/>
              <w:ind w:firstLine="480" w:firstLineChars="200"/>
              <w:rPr>
                <w:rFonts w:hint="eastAsia"/>
                <w:bCs/>
                <w:color w:val="auto"/>
                <w:sz w:val="24"/>
                <w:szCs w:val="24"/>
              </w:rPr>
            </w:pPr>
            <w:r>
              <w:rPr>
                <w:rFonts w:hint="eastAsia"/>
                <w:color w:val="auto"/>
                <w:sz w:val="24"/>
              </w:rPr>
              <w:t>类比</w:t>
            </w:r>
            <w:r>
              <w:rPr>
                <w:color w:val="auto"/>
                <w:sz w:val="24"/>
              </w:rPr>
              <w:t>《第一次全国污染源普查工业污染源产排污系数手册（2010修订）》，</w:t>
            </w:r>
            <w:r>
              <w:rPr>
                <w:rFonts w:hint="eastAsia"/>
                <w:color w:val="auto"/>
                <w:sz w:val="24"/>
              </w:rPr>
              <w:t>锅炉运行</w:t>
            </w:r>
            <w:r>
              <w:rPr>
                <w:color w:val="auto"/>
                <w:sz w:val="24"/>
              </w:rPr>
              <w:t>过程</w:t>
            </w:r>
            <w:r>
              <w:rPr>
                <w:rFonts w:hint="eastAsia"/>
                <w:color w:val="auto"/>
                <w:sz w:val="24"/>
              </w:rPr>
              <w:t>的</w:t>
            </w:r>
            <w:r>
              <w:rPr>
                <w:color w:val="auto"/>
                <w:sz w:val="24"/>
              </w:rPr>
              <w:t>炉渣产生系数按1.01A千克/吨燃料（A为</w:t>
            </w:r>
            <w:r>
              <w:rPr>
                <w:rFonts w:hint="eastAsia"/>
                <w:color w:val="auto"/>
                <w:sz w:val="24"/>
              </w:rPr>
              <w:t>燃料</w:t>
            </w:r>
            <w:r>
              <w:rPr>
                <w:color w:val="auto"/>
                <w:sz w:val="24"/>
              </w:rPr>
              <w:t>收到基灰分含量，本项目A=1.80）计算，则</w:t>
            </w:r>
            <w:r>
              <w:rPr>
                <w:rFonts w:hint="eastAsia"/>
                <w:bCs/>
                <w:color w:val="auto"/>
                <w:sz w:val="24"/>
                <w:szCs w:val="24"/>
              </w:rPr>
              <w:t>干</w:t>
            </w:r>
            <w:r>
              <w:rPr>
                <w:bCs/>
                <w:color w:val="auto"/>
                <w:sz w:val="24"/>
                <w:szCs w:val="24"/>
              </w:rPr>
              <w:t>炉渣产生量约为</w:t>
            </w:r>
            <w:r>
              <w:rPr>
                <w:rFonts w:hint="eastAsia"/>
                <w:bCs/>
                <w:color w:val="auto"/>
                <w:sz w:val="24"/>
                <w:szCs w:val="24"/>
              </w:rPr>
              <w:t>3.6</w:t>
            </w:r>
            <w:r>
              <w:rPr>
                <w:bCs/>
                <w:color w:val="auto"/>
                <w:sz w:val="24"/>
                <w:szCs w:val="24"/>
              </w:rPr>
              <w:t>t/a</w:t>
            </w:r>
            <w:r>
              <w:rPr>
                <w:rFonts w:hint="eastAsia"/>
                <w:bCs/>
                <w:color w:val="auto"/>
                <w:sz w:val="24"/>
                <w:szCs w:val="24"/>
              </w:rPr>
              <w:t>。</w:t>
            </w:r>
            <w:r>
              <w:rPr>
                <w:bCs/>
                <w:color w:val="auto"/>
                <w:sz w:val="24"/>
                <w:szCs w:val="24"/>
              </w:rPr>
              <w:t>交由附近村庄农户用于作为果园、苗圃或绿化树木的肥料。</w:t>
            </w:r>
          </w:p>
          <w:p>
            <w:pPr>
              <w:adjustRightInd w:val="0"/>
              <w:snapToGrid w:val="0"/>
              <w:spacing w:line="360" w:lineRule="auto"/>
              <w:ind w:firstLine="480" w:firstLineChars="200"/>
              <w:rPr>
                <w:rFonts w:hint="eastAsia"/>
                <w:bCs/>
                <w:color w:val="auto"/>
                <w:sz w:val="24"/>
                <w:szCs w:val="24"/>
                <w:lang w:eastAsia="zh-CN"/>
              </w:rPr>
            </w:pPr>
            <w:r>
              <w:rPr>
                <w:rFonts w:hint="eastAsia"/>
                <w:bCs/>
                <w:color w:val="auto"/>
                <w:sz w:val="24"/>
                <w:szCs w:val="24"/>
              </w:rPr>
              <w:t>④</w:t>
            </w:r>
            <w:r>
              <w:rPr>
                <w:rFonts w:hint="eastAsia"/>
                <w:bCs/>
                <w:color w:val="auto"/>
                <w:sz w:val="24"/>
                <w:szCs w:val="24"/>
                <w:lang w:eastAsia="zh-CN"/>
              </w:rPr>
              <w:t>沉淀渣</w:t>
            </w:r>
          </w:p>
          <w:p>
            <w:pPr>
              <w:adjustRightInd w:val="0"/>
              <w:snapToGrid w:val="0"/>
              <w:spacing w:line="360" w:lineRule="auto"/>
              <w:ind w:firstLine="480" w:firstLineChars="200"/>
              <w:rPr>
                <w:rFonts w:hint="eastAsia"/>
                <w:bCs/>
                <w:color w:val="auto"/>
                <w:sz w:val="24"/>
                <w:szCs w:val="24"/>
                <w:lang w:eastAsia="zh-CN"/>
              </w:rPr>
            </w:pPr>
            <w:r>
              <w:rPr>
                <w:rFonts w:hint="eastAsia"/>
                <w:bCs/>
                <w:color w:val="auto"/>
                <w:sz w:val="24"/>
                <w:szCs w:val="24"/>
                <w:lang w:eastAsia="zh-CN"/>
              </w:rPr>
              <w:t>水雾除尘器处理收集的粉尘在沉淀池内沉淀，沉淀渣定期清理，产生量约</w:t>
            </w:r>
            <w:r>
              <w:rPr>
                <w:rFonts w:hint="eastAsia"/>
                <w:bCs/>
                <w:color w:val="auto"/>
                <w:sz w:val="24"/>
                <w:szCs w:val="24"/>
                <w:lang w:val="en-US" w:eastAsia="zh-CN"/>
              </w:rPr>
              <w:t>4t/a。</w:t>
            </w:r>
            <w:r>
              <w:rPr>
                <w:bCs/>
                <w:color w:val="auto"/>
                <w:sz w:val="24"/>
                <w:szCs w:val="24"/>
              </w:rPr>
              <w:t>交由附近村庄农户用于作为果园、苗圃或绿化树木的肥料</w:t>
            </w:r>
            <w:r>
              <w:rPr>
                <w:rFonts w:hint="eastAsia"/>
                <w:bCs/>
                <w:color w:val="auto"/>
                <w:sz w:val="24"/>
                <w:szCs w:val="24"/>
                <w:lang w:eastAsia="zh-CN"/>
              </w:rPr>
              <w:t>。</w:t>
            </w:r>
          </w:p>
          <w:p>
            <w:pPr>
              <w:adjustRightInd w:val="0"/>
              <w:snapToGrid w:val="0"/>
              <w:spacing w:line="360" w:lineRule="auto"/>
              <w:ind w:firstLine="480" w:firstLineChars="200"/>
              <w:rPr>
                <w:bCs/>
                <w:color w:val="auto"/>
                <w:sz w:val="24"/>
                <w:szCs w:val="24"/>
              </w:rPr>
            </w:pPr>
            <w:r>
              <w:rPr>
                <w:rFonts w:hint="default" w:ascii="Times New Roman" w:hAnsi="Times New Roman" w:cs="Times New Roman"/>
                <w:bCs/>
                <w:color w:val="auto"/>
                <w:sz w:val="24"/>
                <w:szCs w:val="24"/>
              </w:rPr>
              <w:t>⑤</w:t>
            </w:r>
            <w:r>
              <w:rPr>
                <w:bCs/>
                <w:color w:val="auto"/>
                <w:sz w:val="24"/>
                <w:szCs w:val="24"/>
              </w:rPr>
              <w:t xml:space="preserve">生活垃圾 </w:t>
            </w:r>
          </w:p>
          <w:p>
            <w:pPr>
              <w:spacing w:line="360" w:lineRule="auto"/>
              <w:ind w:firstLine="482"/>
              <w:rPr>
                <w:rFonts w:hint="eastAsia" w:ascii="Times New Roman" w:hAnsi="Times New Roman" w:eastAsia="宋体" w:cs="Times New Roman"/>
                <w:b w:val="0"/>
                <w:bCs/>
                <w:color w:val="auto"/>
                <w:sz w:val="24"/>
                <w:szCs w:val="24"/>
                <w:u w:val="none"/>
                <w:lang w:eastAsia="zh-CN"/>
              </w:rPr>
            </w:pPr>
            <w:r>
              <w:rPr>
                <w:rFonts w:hint="eastAsia"/>
                <w:bCs/>
                <w:color w:val="auto"/>
                <w:sz w:val="24"/>
                <w:szCs w:val="24"/>
              </w:rPr>
              <w:t>项目共有</w:t>
            </w:r>
            <w:r>
              <w:rPr>
                <w:bCs/>
                <w:color w:val="auto"/>
                <w:sz w:val="24"/>
                <w:szCs w:val="24"/>
              </w:rPr>
              <w:t>员工</w:t>
            </w:r>
            <w:r>
              <w:rPr>
                <w:rFonts w:hint="eastAsia"/>
                <w:bCs/>
                <w:color w:val="auto"/>
                <w:sz w:val="24"/>
                <w:szCs w:val="24"/>
                <w:lang w:val="en-US" w:eastAsia="zh-CN"/>
              </w:rPr>
              <w:t>2</w:t>
            </w:r>
            <w:r>
              <w:rPr>
                <w:rFonts w:hint="eastAsia"/>
                <w:bCs/>
                <w:color w:val="auto"/>
                <w:sz w:val="24"/>
                <w:szCs w:val="24"/>
              </w:rPr>
              <w:t>0</w:t>
            </w:r>
            <w:r>
              <w:rPr>
                <w:bCs/>
                <w:color w:val="auto"/>
                <w:sz w:val="24"/>
                <w:szCs w:val="24"/>
              </w:rPr>
              <w:t>人，</w:t>
            </w:r>
            <w:r>
              <w:rPr>
                <w:rFonts w:hint="eastAsia"/>
                <w:bCs/>
                <w:color w:val="auto"/>
                <w:sz w:val="24"/>
                <w:szCs w:val="24"/>
              </w:rPr>
              <w:t>在厂内食宿，</w:t>
            </w:r>
            <w:r>
              <w:rPr>
                <w:bCs/>
                <w:color w:val="auto"/>
                <w:sz w:val="24"/>
                <w:szCs w:val="24"/>
              </w:rPr>
              <w:t>人均生活垃圾排放量以0.5kg/人·天计，则生活垃圾</w:t>
            </w:r>
            <w:r>
              <w:rPr>
                <w:rFonts w:hint="eastAsia"/>
                <w:bCs/>
                <w:color w:val="auto"/>
                <w:sz w:val="24"/>
                <w:szCs w:val="24"/>
              </w:rPr>
              <w:t>产生</w:t>
            </w:r>
            <w:r>
              <w:rPr>
                <w:bCs/>
                <w:color w:val="auto"/>
                <w:sz w:val="24"/>
                <w:szCs w:val="24"/>
              </w:rPr>
              <w:t>量为</w:t>
            </w:r>
            <w:r>
              <w:rPr>
                <w:rFonts w:hint="eastAsia"/>
                <w:bCs/>
                <w:color w:val="auto"/>
                <w:sz w:val="24"/>
                <w:szCs w:val="24"/>
                <w:lang w:val="en-US" w:eastAsia="zh-CN"/>
              </w:rPr>
              <w:t>10</w:t>
            </w:r>
            <w:r>
              <w:rPr>
                <w:rFonts w:hint="eastAsia"/>
                <w:bCs/>
                <w:color w:val="auto"/>
                <w:sz w:val="24"/>
                <w:szCs w:val="24"/>
              </w:rPr>
              <w:t>kg/d、</w:t>
            </w:r>
            <w:r>
              <w:rPr>
                <w:rFonts w:hint="eastAsia"/>
                <w:bCs/>
                <w:color w:val="auto"/>
                <w:sz w:val="24"/>
                <w:szCs w:val="24"/>
                <w:lang w:val="en-US" w:eastAsia="zh-CN"/>
              </w:rPr>
              <w:t>3</w:t>
            </w:r>
            <w:r>
              <w:rPr>
                <w:bCs/>
                <w:color w:val="auto"/>
                <w:sz w:val="24"/>
                <w:szCs w:val="24"/>
              </w:rPr>
              <w:t>t/a</w:t>
            </w:r>
            <w:r>
              <w:rPr>
                <w:rFonts w:hint="eastAsia"/>
                <w:bCs/>
                <w:color w:val="auto"/>
                <w:sz w:val="24"/>
                <w:szCs w:val="24"/>
              </w:rPr>
              <w:t>，交</w:t>
            </w:r>
            <w:r>
              <w:rPr>
                <w:bCs/>
                <w:color w:val="auto"/>
                <w:sz w:val="24"/>
                <w:szCs w:val="24"/>
              </w:rPr>
              <w:t>环卫</w:t>
            </w:r>
            <w:r>
              <w:rPr>
                <w:rFonts w:hint="eastAsia"/>
                <w:bCs/>
                <w:color w:val="auto"/>
                <w:sz w:val="24"/>
                <w:szCs w:val="24"/>
              </w:rPr>
              <w:t>部门</w:t>
            </w:r>
            <w:r>
              <w:rPr>
                <w:bCs/>
                <w:color w:val="auto"/>
                <w:sz w:val="24"/>
                <w:szCs w:val="24"/>
              </w:rPr>
              <w:t>统一</w:t>
            </w:r>
            <w:r>
              <w:rPr>
                <w:rFonts w:hint="eastAsia"/>
                <w:bCs/>
                <w:color w:val="auto"/>
                <w:sz w:val="24"/>
                <w:szCs w:val="24"/>
              </w:rPr>
              <w:t>清运</w:t>
            </w:r>
            <w:r>
              <w:rPr>
                <w:rFonts w:hint="eastAsia"/>
                <w:bCs/>
                <w:color w:val="auto"/>
                <w:sz w:val="24"/>
                <w:szCs w:val="24"/>
                <w:lang w:eastAsia="zh-CN"/>
              </w:rPr>
              <w:t>。</w:t>
            </w:r>
          </w:p>
          <w:p>
            <w:pPr>
              <w:spacing w:line="360" w:lineRule="auto"/>
              <w:ind w:firstLine="482"/>
              <w:rPr>
                <w:rFonts w:hint="eastAsia" w:hAnsi="宋体"/>
                <w:b/>
                <w:bCs/>
                <w:color w:val="auto"/>
                <w:sz w:val="21"/>
                <w:szCs w:val="21"/>
                <w:lang w:val="en-US" w:eastAsia="zh-CN"/>
              </w:rPr>
            </w:pPr>
            <w:r>
              <w:rPr>
                <w:rFonts w:hint="eastAsia" w:ascii="Times New Roman" w:hAnsi="Times New Roman" w:eastAsia="宋体" w:cs="Times New Roman"/>
                <w:b w:val="0"/>
                <w:bCs/>
                <w:color w:val="auto"/>
                <w:sz w:val="24"/>
                <w:szCs w:val="24"/>
                <w:u w:val="none"/>
                <w:lang w:eastAsia="zh-CN"/>
              </w:rPr>
              <w:t>（</w:t>
            </w:r>
            <w:r>
              <w:rPr>
                <w:rFonts w:hint="eastAsia" w:ascii="Times New Roman" w:hAnsi="Times New Roman" w:eastAsia="宋体" w:cs="Times New Roman"/>
                <w:b w:val="0"/>
                <w:bCs/>
                <w:color w:val="auto"/>
                <w:sz w:val="24"/>
                <w:szCs w:val="24"/>
                <w:u w:val="none"/>
                <w:lang w:val="en-US" w:eastAsia="zh-CN"/>
              </w:rPr>
              <w:t>5</w:t>
            </w:r>
            <w:r>
              <w:rPr>
                <w:rFonts w:hint="eastAsia" w:ascii="Times New Roman" w:hAnsi="Times New Roman" w:eastAsia="宋体" w:cs="Times New Roman"/>
                <w:b w:val="0"/>
                <w:bCs/>
                <w:color w:val="auto"/>
                <w:sz w:val="24"/>
                <w:szCs w:val="24"/>
                <w:u w:val="none"/>
                <w:lang w:eastAsia="zh-CN"/>
              </w:rPr>
              <w:t>）主要环境问题见下表1-</w:t>
            </w:r>
            <w:r>
              <w:rPr>
                <w:rFonts w:hint="eastAsia" w:cs="Times New Roman"/>
                <w:b w:val="0"/>
                <w:bCs/>
                <w:color w:val="auto"/>
                <w:sz w:val="24"/>
                <w:szCs w:val="24"/>
                <w:u w:val="none"/>
                <w:lang w:val="en-US" w:eastAsia="zh-CN"/>
              </w:rPr>
              <w:t>10</w:t>
            </w:r>
            <w:r>
              <w:rPr>
                <w:rFonts w:hint="eastAsia" w:ascii="Times New Roman" w:hAnsi="Times New Roman" w:eastAsia="宋体" w:cs="Times New Roman"/>
                <w:b w:val="0"/>
                <w:bCs/>
                <w:color w:val="auto"/>
                <w:sz w:val="24"/>
                <w:szCs w:val="24"/>
                <w:u w:val="none"/>
                <w:lang w:eastAsia="zh-CN"/>
              </w:rPr>
              <w:t>。</w:t>
            </w:r>
          </w:p>
          <w:p>
            <w:pPr>
              <w:pStyle w:val="2"/>
              <w:widowControl w:val="0"/>
              <w:numPr>
                <w:ilvl w:val="0"/>
                <w:numId w:val="0"/>
              </w:numPr>
              <w:autoSpaceDE w:val="0"/>
              <w:autoSpaceDN w:val="0"/>
              <w:adjustRightInd/>
              <w:spacing w:line="360" w:lineRule="auto"/>
              <w:jc w:val="center"/>
              <w:rPr>
                <w:rFonts w:hint="default" w:hAnsi="宋体"/>
                <w:b/>
                <w:bCs/>
                <w:color w:val="auto"/>
                <w:sz w:val="21"/>
                <w:szCs w:val="21"/>
                <w:lang w:val="en-US" w:eastAsia="zh-CN"/>
              </w:rPr>
            </w:pPr>
            <w:r>
              <w:rPr>
                <w:rFonts w:hint="eastAsia" w:hAnsi="宋体"/>
                <w:b/>
                <w:bCs/>
                <w:color w:val="auto"/>
                <w:sz w:val="21"/>
                <w:szCs w:val="21"/>
                <w:lang w:val="en-US" w:eastAsia="zh-CN"/>
              </w:rPr>
              <w:t>表1-10  项目现有的污染防治措施以及存在的主要环境问题</w:t>
            </w:r>
          </w:p>
          <w:tbl>
            <w:tblPr>
              <w:tblStyle w:val="23"/>
              <w:tblW w:w="9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729"/>
              <w:gridCol w:w="2989"/>
              <w:gridCol w:w="1745"/>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项目</w:t>
                  </w: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污染源</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现有污染防治措施</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存在的环境问题</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以新带老措施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大气污染</w:t>
                  </w: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default" w:hAnsi="宋体"/>
                      <w:color w:val="auto"/>
                      <w:kern w:val="0"/>
                      <w:sz w:val="21"/>
                      <w:szCs w:val="21"/>
                      <w:vertAlign w:val="baseline"/>
                      <w:lang w:val="en-US" w:eastAsia="zh-CN"/>
                    </w:rPr>
                    <w:t>锅炉烟气</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color w:val="auto"/>
                      <w:kern w:val="0"/>
                      <w:sz w:val="19"/>
                      <w:szCs w:val="20"/>
                      <w:lang w:eastAsia="zh-CN"/>
                    </w:rPr>
                    <w:t>经</w:t>
                  </w:r>
                  <w:r>
                    <w:rPr>
                      <w:rFonts w:hint="default"/>
                      <w:color w:val="auto"/>
                      <w:kern w:val="0"/>
                      <w:sz w:val="19"/>
                      <w:szCs w:val="20"/>
                      <w:u w:val="single"/>
                    </w:rPr>
                    <w:t>水</w:t>
                  </w:r>
                  <w:r>
                    <w:rPr>
                      <w:rFonts w:hint="eastAsia"/>
                      <w:color w:val="auto"/>
                      <w:kern w:val="0"/>
                      <w:sz w:val="19"/>
                      <w:szCs w:val="20"/>
                      <w:u w:val="single"/>
                      <w:lang w:eastAsia="zh-CN"/>
                    </w:rPr>
                    <w:t>雾</w:t>
                  </w:r>
                  <w:r>
                    <w:rPr>
                      <w:rFonts w:hint="default" w:hAnsi="宋体"/>
                      <w:color w:val="auto"/>
                      <w:kern w:val="0"/>
                      <w:sz w:val="21"/>
                      <w:szCs w:val="21"/>
                      <w:vertAlign w:val="baseline"/>
                      <w:lang w:val="en-US" w:eastAsia="zh-CN"/>
                    </w:rPr>
                    <w:t>除尘器+碱液喷淋</w:t>
                  </w:r>
                  <w:r>
                    <w:rPr>
                      <w:rFonts w:hint="eastAsia" w:hAnsi="宋体"/>
                      <w:color w:val="auto"/>
                      <w:kern w:val="0"/>
                      <w:sz w:val="21"/>
                      <w:szCs w:val="21"/>
                      <w:vertAlign w:val="baseline"/>
                      <w:lang w:val="en-US" w:eastAsia="zh-CN"/>
                    </w:rPr>
                    <w:t>处理后</w:t>
                  </w:r>
                  <w:r>
                    <w:rPr>
                      <w:rFonts w:hint="eastAsia" w:hAnsi="宋体"/>
                      <w:color w:val="auto"/>
                      <w:kern w:val="0"/>
                      <w:sz w:val="21"/>
                      <w:szCs w:val="21"/>
                      <w:u w:val="single"/>
                      <w:vertAlign w:val="baseline"/>
                      <w:lang w:val="en-US" w:eastAsia="zh-CN"/>
                    </w:rPr>
                    <w:t>，经35米排气筒排放</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default" w:hAnsi="宋体"/>
                      <w:color w:val="auto"/>
                      <w:kern w:val="0"/>
                      <w:sz w:val="21"/>
                      <w:szCs w:val="21"/>
                      <w:vertAlign w:val="baseline"/>
                      <w:lang w:val="en-US" w:eastAsia="zh-CN"/>
                    </w:rPr>
                    <w:t>调胶、浸胶废气</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无组织排放</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default" w:hAnsi="宋体"/>
                      <w:color w:val="auto"/>
                      <w:kern w:val="0"/>
                      <w:sz w:val="21"/>
                      <w:szCs w:val="21"/>
                      <w:vertAlign w:val="baseline"/>
                      <w:lang w:val="en-US" w:eastAsia="zh-CN"/>
                    </w:rPr>
                    <w:t>热压工序产生的废气</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无组织排放</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u w:val="single"/>
                      <w:vertAlign w:val="baseline"/>
                      <w:lang w:val="en-US" w:eastAsia="zh-CN"/>
                    </w:rPr>
                  </w:pPr>
                  <w:r>
                    <w:rPr>
                      <w:rFonts w:hint="eastAsia" w:hAnsi="宋体"/>
                      <w:color w:val="auto"/>
                      <w:kern w:val="0"/>
                      <w:sz w:val="21"/>
                      <w:szCs w:val="21"/>
                      <w:u w:val="single"/>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eastAsia="宋体"/>
                      <w:color w:val="auto"/>
                      <w:kern w:val="0"/>
                      <w:sz w:val="21"/>
                      <w:szCs w:val="21"/>
                      <w:u w:val="single"/>
                      <w:vertAlign w:val="baseline"/>
                      <w:lang w:val="en-US" w:eastAsia="zh-CN"/>
                    </w:rPr>
                  </w:pPr>
                  <w:r>
                    <w:rPr>
                      <w:rFonts w:hint="eastAsia" w:hAnsi="宋体"/>
                      <w:color w:val="auto"/>
                      <w:kern w:val="0"/>
                      <w:sz w:val="21"/>
                      <w:szCs w:val="21"/>
                      <w:u w:val="single"/>
                      <w:vertAlign w:val="baseline"/>
                      <w:lang w:val="en-US" w:eastAsia="zh-CN"/>
                    </w:rPr>
                    <w:t>加强车间通风换气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default" w:hAnsi="宋体"/>
                      <w:color w:val="auto"/>
                      <w:kern w:val="0"/>
                      <w:sz w:val="21"/>
                      <w:szCs w:val="21"/>
                      <w:vertAlign w:val="baseline"/>
                      <w:lang w:val="en-US" w:eastAsia="zh-CN"/>
                    </w:rPr>
                    <w:t>粉尘废气</w:t>
                  </w:r>
                </w:p>
              </w:tc>
              <w:tc>
                <w:tcPr>
                  <w:tcW w:w="2989" w:type="dxa"/>
                  <w:vAlign w:val="center"/>
                </w:tcPr>
                <w:p>
                  <w:pPr>
                    <w:pStyle w:val="2"/>
                    <w:keepNext w:val="0"/>
                    <w:keepLines w:val="0"/>
                    <w:pageBreakBefore w:val="0"/>
                    <w:widowControl w:val="0"/>
                    <w:numPr>
                      <w:ilvl w:val="0"/>
                      <w:numId w:val="0"/>
                    </w:numPr>
                    <w:tabs>
                      <w:tab w:val="left" w:pos="814"/>
                      <w:tab w:val="center" w:pos="1446"/>
                    </w:tabs>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u w:val="single"/>
                      <w:vertAlign w:val="baseline"/>
                      <w:lang w:val="en-US" w:eastAsia="zh-CN"/>
                    </w:rPr>
                    <w:t>经布袋除尘处理后无组织排放</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食堂油烟</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经抽油烟机处理后外排</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22" w:type="dxa"/>
                  <w:vMerge w:val="restart"/>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水污染</w:t>
                  </w: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员工生活废水</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u w:val="single"/>
                      <w:vertAlign w:val="baseline"/>
                      <w:lang w:val="en-US" w:eastAsia="zh-CN"/>
                    </w:rPr>
                    <w:t>经化粪池处理后排入市政污水管网</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default"/>
                      <w:color w:val="auto"/>
                      <w:kern w:val="0"/>
                      <w:sz w:val="19"/>
                      <w:szCs w:val="20"/>
                    </w:rPr>
                    <w:t>水</w:t>
                  </w:r>
                  <w:r>
                    <w:rPr>
                      <w:rFonts w:hint="eastAsia"/>
                      <w:color w:val="auto"/>
                      <w:kern w:val="0"/>
                      <w:sz w:val="19"/>
                      <w:szCs w:val="20"/>
                      <w:lang w:eastAsia="zh-CN"/>
                    </w:rPr>
                    <w:t>雾</w:t>
                  </w:r>
                  <w:r>
                    <w:rPr>
                      <w:rFonts w:hint="eastAsia" w:hAnsi="宋体"/>
                      <w:color w:val="auto"/>
                      <w:kern w:val="0"/>
                      <w:sz w:val="21"/>
                      <w:szCs w:val="21"/>
                      <w:vertAlign w:val="baseline"/>
                      <w:lang w:val="en-US" w:eastAsia="zh-CN"/>
                    </w:rPr>
                    <w:t>除尘器废水</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沉淀池沉淀后循环使用</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锅炉定期排水</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沉淀池收集后回用</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2" w:type="dxa"/>
                  <w:vMerge w:val="restart"/>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噪声</w:t>
                  </w:r>
                </w:p>
              </w:tc>
              <w:tc>
                <w:tcPr>
                  <w:tcW w:w="1729" w:type="dxa"/>
                  <w:vAlign w:val="center"/>
                </w:tcPr>
                <w:p>
                  <w:pPr>
                    <w:pStyle w:val="2"/>
                    <w:keepNext w:val="0"/>
                    <w:keepLines w:val="0"/>
                    <w:pageBreakBefore w:val="0"/>
                    <w:widowControl w:val="0"/>
                    <w:kinsoku/>
                    <w:wordWrap/>
                    <w:overflowPunct/>
                    <w:topLinePunct w:val="0"/>
                    <w:bidi w:val="0"/>
                    <w:adjustRightInd/>
                    <w:snapToGrid/>
                    <w:spacing w:line="360" w:lineRule="auto"/>
                    <w:jc w:val="center"/>
                    <w:textAlignment w:val="auto"/>
                    <w:rPr>
                      <w:rFonts w:hint="eastAsia" w:hAnsi="宋体"/>
                      <w:color w:val="auto"/>
                      <w:kern w:val="0"/>
                      <w:sz w:val="21"/>
                      <w:szCs w:val="21"/>
                      <w:vertAlign w:val="baseline"/>
                      <w:lang w:val="en-US" w:eastAsia="zh-CN"/>
                    </w:rPr>
                  </w:pPr>
                  <w:r>
                    <w:rPr>
                      <w:rFonts w:hint="eastAsia" w:ascii="Times New Roman" w:hAnsi="Times New Roman" w:cs="Times New Roman" w:eastAsiaTheme="minorEastAsia"/>
                      <w:color w:val="auto"/>
                      <w:kern w:val="0"/>
                      <w:sz w:val="21"/>
                      <w:szCs w:val="21"/>
                      <w:u w:val="none"/>
                      <w:vertAlign w:val="baseline"/>
                      <w:lang w:val="en-US" w:eastAsia="zh-CN"/>
                    </w:rPr>
                    <w:t>设备噪声</w:t>
                  </w:r>
                </w:p>
              </w:tc>
              <w:tc>
                <w:tcPr>
                  <w:tcW w:w="2989" w:type="dxa"/>
                  <w:vAlign w:val="center"/>
                </w:tcPr>
                <w:p>
                  <w:pPr>
                    <w:pStyle w:val="2"/>
                    <w:keepNext w:val="0"/>
                    <w:keepLines w:val="0"/>
                    <w:pageBreakBefore w:val="0"/>
                    <w:widowControl w:val="0"/>
                    <w:kinsoku/>
                    <w:wordWrap/>
                    <w:overflowPunct/>
                    <w:topLinePunct w:val="0"/>
                    <w:bidi w:val="0"/>
                    <w:adjustRightInd/>
                    <w:snapToGrid/>
                    <w:spacing w:line="360" w:lineRule="auto"/>
                    <w:jc w:val="center"/>
                    <w:textAlignment w:val="auto"/>
                    <w:rPr>
                      <w:rFonts w:hint="default" w:hAnsi="宋体"/>
                      <w:color w:val="auto"/>
                      <w:kern w:val="0"/>
                      <w:sz w:val="21"/>
                      <w:szCs w:val="21"/>
                      <w:vertAlign w:val="baseline"/>
                      <w:lang w:val="en-US" w:eastAsia="zh-CN"/>
                    </w:rPr>
                  </w:pPr>
                  <w:r>
                    <w:rPr>
                      <w:rFonts w:hint="eastAsia" w:ascii="宋体" w:hAnsi="宋体" w:eastAsia="宋体" w:cs="宋体"/>
                      <w:color w:val="auto"/>
                      <w:kern w:val="0"/>
                      <w:sz w:val="21"/>
                      <w:szCs w:val="21"/>
                      <w:u w:val="none"/>
                      <w:lang w:eastAsia="zh-CN"/>
                    </w:rPr>
                    <w:t>绿化、隔声及距离衰减</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kinsoku/>
                    <w:wordWrap/>
                    <w:overflowPunct/>
                    <w:topLinePunct w:val="0"/>
                    <w:bidi w:val="0"/>
                    <w:adjustRightInd/>
                    <w:snapToGrid/>
                    <w:spacing w:line="360" w:lineRule="auto"/>
                    <w:jc w:val="center"/>
                    <w:textAlignment w:val="auto"/>
                    <w:rPr>
                      <w:rFonts w:hint="eastAsia" w:hAnsi="宋体"/>
                      <w:color w:val="auto"/>
                      <w:kern w:val="0"/>
                      <w:sz w:val="21"/>
                      <w:szCs w:val="21"/>
                      <w:vertAlign w:val="baseline"/>
                      <w:lang w:val="en-US" w:eastAsia="zh-CN"/>
                    </w:rPr>
                  </w:pPr>
                  <w:r>
                    <w:rPr>
                      <w:rFonts w:hint="eastAsia" w:ascii="Times New Roman" w:hAnsi="Times New Roman" w:cs="Times New Roman" w:eastAsiaTheme="minorEastAsia"/>
                      <w:color w:val="auto"/>
                      <w:kern w:val="0"/>
                      <w:sz w:val="21"/>
                      <w:szCs w:val="21"/>
                      <w:u w:val="none"/>
                      <w:vertAlign w:val="baseline"/>
                      <w:lang w:val="en-US" w:eastAsia="zh-CN"/>
                    </w:rPr>
                    <w:t>车辆进出噪声</w:t>
                  </w:r>
                </w:p>
              </w:tc>
              <w:tc>
                <w:tcPr>
                  <w:tcW w:w="2989" w:type="dxa"/>
                  <w:vAlign w:val="center"/>
                </w:tcPr>
                <w:p>
                  <w:pPr>
                    <w:pStyle w:val="2"/>
                    <w:keepNext w:val="0"/>
                    <w:keepLines w:val="0"/>
                    <w:pageBreakBefore w:val="0"/>
                    <w:widowControl w:val="0"/>
                    <w:kinsoku/>
                    <w:wordWrap/>
                    <w:overflowPunct/>
                    <w:topLinePunct w:val="0"/>
                    <w:bidi w:val="0"/>
                    <w:adjustRightInd/>
                    <w:snapToGrid/>
                    <w:spacing w:line="360" w:lineRule="auto"/>
                    <w:jc w:val="center"/>
                    <w:textAlignment w:val="auto"/>
                    <w:rPr>
                      <w:rFonts w:hint="default" w:hAnsi="宋体"/>
                      <w:color w:val="auto"/>
                      <w:kern w:val="0"/>
                      <w:sz w:val="21"/>
                      <w:szCs w:val="21"/>
                      <w:vertAlign w:val="baseline"/>
                      <w:lang w:val="en-US" w:eastAsia="zh-CN"/>
                    </w:rPr>
                  </w:pPr>
                  <w:r>
                    <w:rPr>
                      <w:rFonts w:hint="eastAsia" w:hAnsi="宋体" w:cs="宋体"/>
                      <w:color w:val="auto"/>
                      <w:kern w:val="0"/>
                      <w:sz w:val="21"/>
                      <w:szCs w:val="21"/>
                      <w:u w:val="none"/>
                      <w:lang w:eastAsia="zh-CN"/>
                    </w:rPr>
                    <w:t>禁止鸣笛</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固体废物</w:t>
                  </w: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生活垃圾</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环卫部门处理</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u w:val="single"/>
                      <w:vertAlign w:val="baseline"/>
                      <w:lang w:val="en-US" w:eastAsia="zh-CN"/>
                    </w:rPr>
                  </w:pPr>
                  <w:r>
                    <w:rPr>
                      <w:rFonts w:hint="eastAsia" w:hAnsi="宋体"/>
                      <w:color w:val="auto"/>
                      <w:kern w:val="0"/>
                      <w:sz w:val="21"/>
                      <w:szCs w:val="21"/>
                      <w:u w:val="single"/>
                      <w:vertAlign w:val="baseline"/>
                      <w:lang w:val="en-US" w:eastAsia="zh-CN"/>
                    </w:rPr>
                    <w:t>木屑、边角料</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u w:val="single"/>
                      <w:vertAlign w:val="baseline"/>
                      <w:lang w:val="en-US" w:eastAsia="zh-CN"/>
                    </w:rPr>
                  </w:pPr>
                  <w:r>
                    <w:rPr>
                      <w:rFonts w:hint="default" w:hAnsi="宋体"/>
                      <w:color w:val="auto"/>
                      <w:kern w:val="0"/>
                      <w:sz w:val="21"/>
                      <w:szCs w:val="21"/>
                      <w:u w:val="single"/>
                      <w:vertAlign w:val="baseline"/>
                      <w:lang w:val="en-US" w:eastAsia="zh-CN"/>
                    </w:rPr>
                    <w:t>目前用作生物质锅炉燃料</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树脂包装桶</w:t>
                  </w:r>
                </w:p>
              </w:tc>
              <w:tc>
                <w:tcPr>
                  <w:tcW w:w="298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default" w:hAnsi="宋体"/>
                      <w:color w:val="auto"/>
                      <w:kern w:val="0"/>
                      <w:sz w:val="21"/>
                      <w:szCs w:val="21"/>
                      <w:vertAlign w:val="baseline"/>
                      <w:lang w:val="en-US" w:eastAsia="zh-CN"/>
                    </w:rPr>
                    <w:t>由树脂胶供应单位</w:t>
                  </w:r>
                  <w:r>
                    <w:rPr>
                      <w:rFonts w:hint="eastAsia" w:hAnsi="宋体"/>
                      <w:color w:val="auto"/>
                      <w:kern w:val="0"/>
                      <w:sz w:val="21"/>
                      <w:szCs w:val="21"/>
                      <w:u w:val="single"/>
                      <w:vertAlign w:val="baseline"/>
                      <w:lang w:val="en-US" w:eastAsia="zh-CN"/>
                    </w:rPr>
                    <w:t>（湖南省中方县泸阳镇华伟胶粘剂厂）</w:t>
                  </w:r>
                  <w:r>
                    <w:rPr>
                      <w:rFonts w:hint="default" w:hAnsi="宋体"/>
                      <w:color w:val="auto"/>
                      <w:kern w:val="0"/>
                      <w:sz w:val="21"/>
                      <w:szCs w:val="21"/>
                      <w:vertAlign w:val="baseline"/>
                      <w:lang w:val="en-US" w:eastAsia="zh-CN"/>
                    </w:rPr>
                    <w:t>回收再利用</w:t>
                  </w:r>
                  <w:r>
                    <w:rPr>
                      <w:rFonts w:hint="eastAsia" w:hAnsi="宋体"/>
                      <w:color w:val="auto"/>
                      <w:kern w:val="0"/>
                      <w:sz w:val="21"/>
                      <w:szCs w:val="21"/>
                      <w:vertAlign w:val="baseline"/>
                      <w:lang w:val="en-US" w:eastAsia="zh-CN"/>
                    </w:rPr>
                    <w:t>，</w:t>
                  </w:r>
                  <w:r>
                    <w:rPr>
                      <w:rFonts w:hint="eastAsia" w:hAnsi="宋体"/>
                      <w:color w:val="auto"/>
                      <w:kern w:val="0"/>
                      <w:sz w:val="21"/>
                      <w:szCs w:val="21"/>
                      <w:u w:val="single"/>
                      <w:vertAlign w:val="baseline"/>
                      <w:lang w:val="en-US" w:eastAsia="zh-CN"/>
                    </w:rPr>
                    <w:t>回收证明详见附件8</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锅炉灰渣</w:t>
                  </w:r>
                </w:p>
              </w:tc>
              <w:tc>
                <w:tcPr>
                  <w:tcW w:w="2989" w:type="dxa"/>
                  <w:vMerge w:val="restart"/>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r>
                    <w:rPr>
                      <w:rFonts w:hint="default" w:hAnsi="宋体"/>
                      <w:color w:val="auto"/>
                      <w:kern w:val="0"/>
                      <w:sz w:val="21"/>
                      <w:szCs w:val="21"/>
                      <w:vertAlign w:val="baseline"/>
                      <w:lang w:val="en-US" w:eastAsia="zh-CN"/>
                    </w:rPr>
                    <w:t>交由附近村庄农户用于作为果园、苗圃或绿化树木的肥料</w:t>
                  </w: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29"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沉淀渣</w:t>
                  </w:r>
                </w:p>
              </w:tc>
              <w:tc>
                <w:tcPr>
                  <w:tcW w:w="2989" w:type="dxa"/>
                  <w:vMerge w:val="continue"/>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hAnsi="宋体"/>
                      <w:color w:val="auto"/>
                      <w:kern w:val="0"/>
                      <w:sz w:val="21"/>
                      <w:szCs w:val="21"/>
                      <w:vertAlign w:val="baseline"/>
                      <w:lang w:val="en-US" w:eastAsia="zh-CN"/>
                    </w:rPr>
                  </w:pPr>
                </w:p>
              </w:tc>
              <w:tc>
                <w:tcPr>
                  <w:tcW w:w="174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c>
                <w:tcPr>
                  <w:tcW w:w="1964"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宋体" w:eastAsia="宋体" w:cs="Times New Roman"/>
                      <w:color w:val="auto"/>
                      <w:kern w:val="0"/>
                      <w:sz w:val="21"/>
                      <w:szCs w:val="21"/>
                      <w:vertAlign w:val="baseline"/>
                      <w:lang w:val="en-US" w:eastAsia="zh-CN" w:bidi="ar-SA"/>
                    </w:rPr>
                  </w:pPr>
                  <w:r>
                    <w:rPr>
                      <w:rFonts w:hint="eastAsia" w:hAnsi="宋体"/>
                      <w:color w:val="auto"/>
                      <w:kern w:val="0"/>
                      <w:sz w:val="21"/>
                      <w:szCs w:val="21"/>
                      <w:vertAlign w:val="baseline"/>
                      <w:lang w:val="en-US" w:eastAsia="zh-CN"/>
                    </w:rPr>
                    <w:t>无</w:t>
                  </w:r>
                </w:p>
              </w:tc>
            </w:tr>
          </w:tbl>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color w:val="auto"/>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lang w:val="en-US" w:eastAsia="zh-CN"/>
              </w:rPr>
              <w:t>（</w:t>
            </w:r>
            <w:r>
              <w:rPr>
                <w:rFonts w:hint="eastAsia" w:asciiTheme="minorEastAsia" w:hAnsiTheme="minorEastAsia" w:eastAsiaTheme="minorEastAsia" w:cstheme="minorEastAsia"/>
                <w:color w:val="auto"/>
                <w:sz w:val="24"/>
                <w:szCs w:val="24"/>
                <w:lang w:val="en-US" w:eastAsia="zh-CN"/>
              </w:rPr>
              <w:t>6）本项目三本账</w:t>
            </w:r>
          </w:p>
          <w:p>
            <w:pPr>
              <w:pStyle w:val="2"/>
              <w:adjustRightInd/>
              <w:spacing w:line="360" w:lineRule="auto"/>
              <w:ind w:firstLine="480" w:firstLineChars="200"/>
              <w:jc w:val="both"/>
              <w:rPr>
                <w:rFonts w:hint="eastAsia" w:hAnsi="宋体"/>
                <w:color w:val="auto"/>
                <w:lang w:val="en-US" w:eastAsia="zh-CN"/>
              </w:rPr>
            </w:pPr>
            <w:r>
              <w:rPr>
                <w:rFonts w:hint="eastAsia" w:asciiTheme="minorEastAsia" w:hAnsiTheme="minorEastAsia" w:eastAsiaTheme="minorEastAsia" w:cstheme="minorEastAsia"/>
                <w:b w:val="0"/>
                <w:bCs/>
                <w:color w:val="auto"/>
                <w:sz w:val="24"/>
                <w:szCs w:val="24"/>
                <w:u w:val="none"/>
                <w:lang w:eastAsia="zh-CN"/>
              </w:rPr>
              <w:t>本次改扩建后“三本账”如下所示</w:t>
            </w:r>
            <w:r>
              <w:rPr>
                <w:rFonts w:hint="eastAsia" w:hAnsi="宋体"/>
                <w:color w:val="auto"/>
                <w:lang w:val="en-US" w:eastAsia="zh-CN"/>
              </w:rPr>
              <w:t>。</w:t>
            </w:r>
          </w:p>
          <w:p>
            <w:pPr>
              <w:pStyle w:val="2"/>
              <w:adjustRightInd/>
              <w:spacing w:line="360" w:lineRule="auto"/>
              <w:ind w:firstLine="480" w:firstLineChars="200"/>
              <w:jc w:val="both"/>
              <w:rPr>
                <w:rFonts w:hint="eastAsia" w:hAnsi="宋体"/>
                <w:color w:val="auto"/>
                <w:lang w:val="en-US" w:eastAsia="zh-CN"/>
              </w:rPr>
            </w:pPr>
          </w:p>
          <w:p>
            <w:pPr>
              <w:pStyle w:val="2"/>
              <w:adjustRightInd/>
              <w:spacing w:line="360" w:lineRule="auto"/>
              <w:ind w:firstLine="480" w:firstLineChars="200"/>
              <w:jc w:val="both"/>
              <w:rPr>
                <w:rFonts w:hint="eastAsia" w:hAnsi="宋体"/>
                <w:color w:val="auto"/>
                <w:lang w:val="en-US" w:eastAsia="zh-CN"/>
              </w:rPr>
            </w:pPr>
          </w:p>
          <w:p>
            <w:pPr>
              <w:pStyle w:val="2"/>
              <w:adjustRightInd/>
              <w:spacing w:line="360" w:lineRule="auto"/>
              <w:ind w:firstLine="480" w:firstLineChars="200"/>
              <w:jc w:val="both"/>
              <w:rPr>
                <w:rFonts w:hint="default" w:hAnsi="宋体"/>
                <w:color w:val="auto"/>
                <w:lang w:val="en-US" w:eastAsia="zh-CN"/>
              </w:rPr>
            </w:pPr>
          </w:p>
          <w:p>
            <w:pPr>
              <w:pStyle w:val="2"/>
              <w:jc w:val="center"/>
              <w:rPr>
                <w:rFonts w:hint="default" w:ascii="Times New Roman" w:hAnsi="Times New Roman" w:eastAsia="宋体"/>
                <w:b/>
                <w:bCs w:val="0"/>
                <w:color w:val="auto"/>
                <w:sz w:val="21"/>
                <w:szCs w:val="21"/>
                <w:u w:val="none"/>
              </w:rPr>
            </w:pPr>
            <w:r>
              <w:rPr>
                <w:rFonts w:hint="default" w:ascii="Times New Roman" w:hAnsi="Times New Roman" w:eastAsia="宋体"/>
                <w:b/>
                <w:bCs w:val="0"/>
                <w:color w:val="auto"/>
                <w:sz w:val="21"/>
                <w:szCs w:val="21"/>
                <w:u w:val="none"/>
              </w:rPr>
              <w:t>表</w:t>
            </w:r>
            <w:r>
              <w:rPr>
                <w:rFonts w:hint="eastAsia" w:ascii="Times New Roman" w:hAnsi="Times New Roman" w:eastAsia="宋体"/>
                <w:b/>
                <w:bCs w:val="0"/>
                <w:color w:val="auto"/>
                <w:sz w:val="21"/>
                <w:szCs w:val="21"/>
                <w:u w:val="none"/>
                <w:lang w:val="en-US" w:eastAsia="zh-CN"/>
              </w:rPr>
              <w:t>1</w:t>
            </w:r>
            <w:r>
              <w:rPr>
                <w:rFonts w:hint="default" w:ascii="Times New Roman" w:hAnsi="Times New Roman" w:eastAsia="宋体"/>
                <w:b/>
                <w:bCs w:val="0"/>
                <w:color w:val="auto"/>
                <w:sz w:val="21"/>
                <w:szCs w:val="21"/>
                <w:u w:val="none"/>
              </w:rPr>
              <w:t>-</w:t>
            </w:r>
            <w:r>
              <w:rPr>
                <w:rFonts w:hint="eastAsia"/>
                <w:b/>
                <w:bCs w:val="0"/>
                <w:color w:val="auto"/>
                <w:sz w:val="21"/>
                <w:szCs w:val="21"/>
                <w:u w:val="none"/>
                <w:lang w:val="en-US" w:eastAsia="zh-CN"/>
              </w:rPr>
              <w:t>11</w:t>
            </w:r>
            <w:r>
              <w:rPr>
                <w:rFonts w:hint="default" w:ascii="Times New Roman" w:hAnsi="Times New Roman" w:eastAsia="宋体"/>
                <w:b/>
                <w:bCs w:val="0"/>
                <w:color w:val="auto"/>
                <w:sz w:val="21"/>
                <w:szCs w:val="21"/>
                <w:u w:val="none"/>
              </w:rPr>
              <w:t xml:space="preserve"> 本项目改</w:t>
            </w:r>
            <w:r>
              <w:rPr>
                <w:rFonts w:hint="eastAsia" w:ascii="Times New Roman" w:hAnsi="Times New Roman"/>
                <w:b/>
                <w:bCs w:val="0"/>
                <w:color w:val="auto"/>
                <w:sz w:val="21"/>
                <w:szCs w:val="21"/>
                <w:u w:val="none"/>
                <w:lang w:eastAsia="zh-CN"/>
              </w:rPr>
              <w:t>扩建</w:t>
            </w:r>
            <w:r>
              <w:rPr>
                <w:rFonts w:ascii="Times New Roman" w:hAnsi="Times New Roman" w:eastAsia="宋体"/>
                <w:b/>
                <w:bCs w:val="0"/>
                <w:color w:val="auto"/>
                <w:sz w:val="21"/>
                <w:szCs w:val="21"/>
                <w:u w:val="none"/>
              </w:rPr>
              <w:t>前后“三本帐”分析一览表</w:t>
            </w:r>
          </w:p>
          <w:tbl>
            <w:tblPr>
              <w:tblStyle w:val="22"/>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610"/>
              <w:gridCol w:w="1364"/>
              <w:gridCol w:w="1336"/>
              <w:gridCol w:w="1320"/>
              <w:gridCol w:w="1571"/>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209" w:type="dxa"/>
                  <w:gridSpan w:val="2"/>
                  <w:noWrap w:val="0"/>
                  <w:vAlign w:val="center"/>
                </w:tcPr>
                <w:p>
                  <w:pPr>
                    <w:pStyle w:val="2"/>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项目</w:t>
                  </w:r>
                </w:p>
              </w:tc>
              <w:tc>
                <w:tcPr>
                  <w:tcW w:w="1364" w:type="dxa"/>
                  <w:noWrap w:val="0"/>
                  <w:vAlign w:val="center"/>
                </w:tcPr>
                <w:p>
                  <w:pPr>
                    <w:pStyle w:val="2"/>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原有工程排放量（t/a）</w:t>
                  </w:r>
                </w:p>
              </w:tc>
              <w:tc>
                <w:tcPr>
                  <w:tcW w:w="1336" w:type="dxa"/>
                  <w:noWrap w:val="0"/>
                  <w:vAlign w:val="center"/>
                </w:tcPr>
                <w:p>
                  <w:pPr>
                    <w:pStyle w:val="2"/>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扩建工程排放量（t/a）</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“以新带老”削减量（t/a）</w:t>
                  </w:r>
                </w:p>
              </w:tc>
              <w:tc>
                <w:tcPr>
                  <w:tcW w:w="1571" w:type="dxa"/>
                  <w:noWrap w:val="0"/>
                  <w:vAlign w:val="center"/>
                </w:tcPr>
                <w:p>
                  <w:pPr>
                    <w:pStyle w:val="2"/>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扩建完成后</w:t>
                  </w:r>
                </w:p>
                <w:p>
                  <w:pPr>
                    <w:pStyle w:val="2"/>
                    <w:jc w:val="center"/>
                    <w:rPr>
                      <w:rFonts w:hint="eastAsia" w:ascii="Times New Roman" w:hAnsi="Times New Roman" w:cs="Times New Roman" w:eastAsiaTheme="minorEastAsia"/>
                      <w:b w:val="0"/>
                      <w:bCs/>
                      <w:color w:val="auto"/>
                      <w:sz w:val="21"/>
                      <w:szCs w:val="21"/>
                      <w:u w:val="none"/>
                      <w:lang w:eastAsia="zh-CN"/>
                    </w:rPr>
                  </w:pPr>
                  <w:r>
                    <w:rPr>
                      <w:rFonts w:hint="default" w:ascii="Times New Roman" w:hAnsi="Times New Roman" w:cs="Times New Roman" w:eastAsiaTheme="minorEastAsia"/>
                      <w:b w:val="0"/>
                      <w:bCs/>
                      <w:color w:val="auto"/>
                      <w:sz w:val="21"/>
                      <w:szCs w:val="21"/>
                      <w:u w:val="none"/>
                    </w:rPr>
                    <w:t>总排放量（t/a）</w:t>
                  </w:r>
                </w:p>
              </w:tc>
              <w:tc>
                <w:tcPr>
                  <w:tcW w:w="1237" w:type="dxa"/>
                  <w:noWrap w:val="0"/>
                  <w:vAlign w:val="center"/>
                </w:tcPr>
                <w:p>
                  <w:pPr>
                    <w:pStyle w:val="2"/>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排污增减量（t/a）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99" w:type="dxa"/>
                  <w:vMerge w:val="restart"/>
                  <w:noWrap w:val="0"/>
                  <w:vAlign w:val="center"/>
                </w:tcPr>
                <w:p>
                  <w:pPr>
                    <w:pStyle w:val="2"/>
                    <w:jc w:val="center"/>
                    <w:rPr>
                      <w:rFonts w:hint="default" w:ascii="Times New Roman" w:hAnsi="Times New Roman" w:cs="Times New Roman" w:eastAsiaTheme="minorEastAsia"/>
                      <w:b w:val="0"/>
                      <w:bCs/>
                      <w:color w:val="auto"/>
                      <w:sz w:val="21"/>
                      <w:szCs w:val="21"/>
                      <w:u w:val="none"/>
                      <w:lang w:eastAsia="zh-CN"/>
                    </w:rPr>
                  </w:pPr>
                  <w:r>
                    <w:rPr>
                      <w:rFonts w:hint="default" w:ascii="Times New Roman" w:hAnsi="Times New Roman" w:cs="Times New Roman" w:eastAsiaTheme="minorEastAsia"/>
                      <w:b w:val="0"/>
                      <w:bCs/>
                      <w:color w:val="auto"/>
                      <w:sz w:val="21"/>
                      <w:szCs w:val="21"/>
                      <w:u w:val="none"/>
                    </w:rPr>
                    <w:t>废水</w:t>
                  </w:r>
                  <w:r>
                    <w:rPr>
                      <w:rFonts w:hint="default" w:ascii="Times New Roman" w:hAnsi="Times New Roman" w:cs="Times New Roman" w:eastAsiaTheme="minorEastAsia"/>
                      <w:b w:val="0"/>
                      <w:bCs/>
                      <w:color w:val="auto"/>
                      <w:sz w:val="21"/>
                      <w:szCs w:val="21"/>
                      <w:u w:val="none"/>
                      <w:lang w:eastAsia="zh-CN"/>
                    </w:rPr>
                    <w:t>（生活废水）</w:t>
                  </w:r>
                </w:p>
              </w:tc>
              <w:tc>
                <w:tcPr>
                  <w:tcW w:w="1610" w:type="dxa"/>
                  <w:noWrap w:val="0"/>
                  <w:vAlign w:val="center"/>
                </w:tcPr>
                <w:p>
                  <w:pPr>
                    <w:spacing w:line="240" w:lineRule="auto"/>
                    <w:ind w:firstLine="0" w:firstLineChars="0"/>
                    <w:jc w:val="center"/>
                    <w:rPr>
                      <w:rFonts w:hint="default" w:ascii="Times New Roman" w:hAnsi="Times New Roman" w:cs="Times New Roman" w:eastAsiaTheme="minorEastAsia"/>
                      <w:b w:val="0"/>
                      <w:bCs/>
                      <w:color w:val="auto"/>
                      <w:sz w:val="21"/>
                      <w:szCs w:val="21"/>
                      <w:u w:val="none"/>
                      <w:lang w:eastAsia="zh-CN"/>
                    </w:rPr>
                  </w:pPr>
                  <w:r>
                    <w:rPr>
                      <w:rFonts w:hint="default" w:ascii="Times New Roman" w:hAnsi="Times New Roman" w:cs="Times New Roman" w:eastAsiaTheme="minorEastAsia"/>
                      <w:b w:val="0"/>
                      <w:bCs/>
                      <w:color w:val="auto"/>
                      <w:sz w:val="21"/>
                      <w:szCs w:val="21"/>
                      <w:u w:val="none"/>
                    </w:rPr>
                    <w:t>废水量</w:t>
                  </w:r>
                </w:p>
              </w:tc>
              <w:tc>
                <w:tcPr>
                  <w:tcW w:w="1364"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696</w:t>
                  </w:r>
                </w:p>
              </w:tc>
              <w:tc>
                <w:tcPr>
                  <w:tcW w:w="1336" w:type="dxa"/>
                  <w:noWrap w:val="0"/>
                  <w:vAlign w:val="center"/>
                </w:tcPr>
                <w:p>
                  <w:pPr>
                    <w:jc w:val="center"/>
                    <w:rPr>
                      <w:rFonts w:hint="default" w:ascii="Times New Roman" w:hAnsi="Times New Roman" w:cs="Times New Roman" w:eastAsiaTheme="minorEastAsia"/>
                      <w:b w:val="0"/>
                      <w:bCs/>
                      <w:color w:val="auto"/>
                      <w:kern w:val="2"/>
                      <w:sz w:val="21"/>
                      <w:szCs w:val="21"/>
                      <w:u w:val="single"/>
                      <w:lang w:val="en-US" w:eastAsia="zh-CN" w:bidi="ar-SA"/>
                    </w:rPr>
                  </w:pPr>
                  <w:r>
                    <w:rPr>
                      <w:rFonts w:hint="eastAsia" w:ascii="Times New Roman" w:hAnsi="Times New Roman" w:cs="Times New Roman" w:eastAsiaTheme="minorEastAsia"/>
                      <w:b w:val="0"/>
                      <w:bCs/>
                      <w:color w:val="auto"/>
                      <w:sz w:val="21"/>
                      <w:szCs w:val="21"/>
                      <w:u w:val="single"/>
                      <w:lang w:val="en-US" w:eastAsia="zh-CN"/>
                    </w:rPr>
                    <w:t>0</w:t>
                  </w:r>
                </w:p>
              </w:tc>
              <w:tc>
                <w:tcPr>
                  <w:tcW w:w="1320" w:type="dxa"/>
                  <w:noWrap w:val="0"/>
                  <w:vAlign w:val="center"/>
                </w:tcPr>
                <w:p>
                  <w:pPr>
                    <w:jc w:val="center"/>
                    <w:rPr>
                      <w:rFonts w:hint="default" w:ascii="Times New Roman" w:hAnsi="Times New Roman" w:cs="Times New Roman" w:eastAsiaTheme="minorEastAsia"/>
                      <w:b w:val="0"/>
                      <w:bCs/>
                      <w:color w:val="auto"/>
                      <w:sz w:val="21"/>
                      <w:szCs w:val="21"/>
                      <w:u w:val="single"/>
                      <w:lang w:val="en-US" w:eastAsia="zh-CN"/>
                    </w:rPr>
                  </w:pPr>
                  <w:r>
                    <w:rPr>
                      <w:rFonts w:hint="eastAsia" w:ascii="Times New Roman" w:hAnsi="Times New Roman" w:cs="Times New Roman" w:eastAsiaTheme="minorEastAsia"/>
                      <w:b w:val="0"/>
                      <w:bCs/>
                      <w:color w:val="auto"/>
                      <w:sz w:val="21"/>
                      <w:szCs w:val="21"/>
                      <w:u w:val="single"/>
                      <w:lang w:val="en-US" w:eastAsia="zh-CN"/>
                    </w:rPr>
                    <w:t>0</w:t>
                  </w:r>
                </w:p>
              </w:tc>
              <w:tc>
                <w:tcPr>
                  <w:tcW w:w="1571" w:type="dxa"/>
                  <w:noWrap w:val="0"/>
                  <w:vAlign w:val="center"/>
                </w:tcPr>
                <w:p>
                  <w:pPr>
                    <w:pStyle w:val="2"/>
                    <w:jc w:val="center"/>
                    <w:rPr>
                      <w:rFonts w:hint="eastAsia" w:ascii="Times New Roman" w:hAnsi="Times New Roman" w:cs="Times New Roman" w:eastAsiaTheme="minorEastAsia"/>
                      <w:b w:val="0"/>
                      <w:bCs/>
                      <w:color w:val="auto"/>
                      <w:sz w:val="21"/>
                      <w:szCs w:val="21"/>
                      <w:u w:val="single"/>
                      <w:lang w:val="en-US" w:eastAsia="zh-CN" w:bidi="ar-SA"/>
                    </w:rPr>
                  </w:pPr>
                  <w:r>
                    <w:rPr>
                      <w:rFonts w:hint="eastAsia" w:cs="Times New Roman" w:eastAsiaTheme="minorEastAsia"/>
                      <w:b w:val="0"/>
                      <w:bCs/>
                      <w:color w:val="auto"/>
                      <w:sz w:val="21"/>
                      <w:szCs w:val="21"/>
                      <w:u w:val="single"/>
                      <w:lang w:val="en-US" w:eastAsia="zh-CN"/>
                    </w:rPr>
                    <w:t>696</w:t>
                  </w:r>
                </w:p>
              </w:tc>
              <w:tc>
                <w:tcPr>
                  <w:tcW w:w="1237"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spacing w:line="240" w:lineRule="auto"/>
                    <w:ind w:firstLine="0" w:firstLineChars="0"/>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COD</w:t>
                  </w:r>
                </w:p>
              </w:tc>
              <w:tc>
                <w:tcPr>
                  <w:tcW w:w="1364" w:type="dxa"/>
                  <w:noWrap w:val="0"/>
                  <w:vAlign w:val="center"/>
                </w:tcPr>
                <w:p>
                  <w:pPr>
                    <w:spacing w:line="240" w:lineRule="atLeast"/>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0.174</w:t>
                  </w:r>
                </w:p>
              </w:tc>
              <w:tc>
                <w:tcPr>
                  <w:tcW w:w="1336" w:type="dxa"/>
                  <w:noWrap w:val="0"/>
                  <w:vAlign w:val="center"/>
                </w:tcPr>
                <w:p>
                  <w:pPr>
                    <w:jc w:val="center"/>
                    <w:rPr>
                      <w:rFonts w:hint="default" w:ascii="Times New Roman" w:hAnsi="Times New Roman" w:cs="Times New Roman" w:eastAsiaTheme="minorEastAsia"/>
                      <w:b w:val="0"/>
                      <w:bCs/>
                      <w:color w:val="auto"/>
                      <w:kern w:val="2"/>
                      <w:sz w:val="21"/>
                      <w:szCs w:val="21"/>
                      <w:u w:val="single"/>
                      <w:lang w:val="en-US" w:eastAsia="zh-CN" w:bidi="ar-SA"/>
                    </w:rPr>
                  </w:pPr>
                  <w:r>
                    <w:rPr>
                      <w:rFonts w:hint="eastAsia" w:ascii="Times New Roman" w:hAnsi="Times New Roman" w:cs="Times New Roman" w:eastAsiaTheme="minorEastAsia"/>
                      <w:b w:val="0"/>
                      <w:bCs/>
                      <w:color w:val="auto"/>
                      <w:sz w:val="21"/>
                      <w:szCs w:val="21"/>
                      <w:u w:val="single"/>
                      <w:lang w:val="en-US" w:eastAsia="zh-CN"/>
                    </w:rPr>
                    <w:t>0</w:t>
                  </w:r>
                </w:p>
              </w:tc>
              <w:tc>
                <w:tcPr>
                  <w:tcW w:w="1320" w:type="dxa"/>
                  <w:noWrap w:val="0"/>
                  <w:vAlign w:val="center"/>
                </w:tcPr>
                <w:p>
                  <w:pPr>
                    <w:jc w:val="center"/>
                    <w:rPr>
                      <w:rFonts w:hint="eastAsia" w:ascii="Times New Roman" w:hAnsi="Times New Roman" w:cs="Times New Roman" w:eastAsiaTheme="minorEastAsia"/>
                      <w:b w:val="0"/>
                      <w:bCs/>
                      <w:color w:val="auto"/>
                      <w:sz w:val="21"/>
                      <w:szCs w:val="21"/>
                      <w:u w:val="single"/>
                      <w:lang w:val="en-US" w:eastAsia="zh-CN"/>
                    </w:rPr>
                  </w:pPr>
                  <w:r>
                    <w:rPr>
                      <w:rFonts w:hint="eastAsia" w:ascii="Times New Roman" w:hAnsi="Times New Roman" w:cs="Times New Roman" w:eastAsiaTheme="minorEastAsia"/>
                      <w:b w:val="0"/>
                      <w:bCs/>
                      <w:color w:val="auto"/>
                      <w:sz w:val="21"/>
                      <w:szCs w:val="21"/>
                      <w:u w:val="single"/>
                      <w:lang w:val="en-US" w:eastAsia="zh-CN"/>
                    </w:rPr>
                    <w:t>0</w:t>
                  </w:r>
                </w:p>
              </w:tc>
              <w:tc>
                <w:tcPr>
                  <w:tcW w:w="1571" w:type="dxa"/>
                  <w:noWrap w:val="0"/>
                  <w:vAlign w:val="center"/>
                </w:tcPr>
                <w:p>
                  <w:pPr>
                    <w:spacing w:line="240" w:lineRule="atLeast"/>
                    <w:jc w:val="center"/>
                    <w:rPr>
                      <w:rFonts w:hint="eastAsia" w:ascii="Times New Roman" w:hAnsi="Times New Roman" w:cs="Times New Roman" w:eastAsiaTheme="minorEastAsia"/>
                      <w:b w:val="0"/>
                      <w:bCs/>
                      <w:color w:val="auto"/>
                      <w:kern w:val="2"/>
                      <w:sz w:val="21"/>
                      <w:szCs w:val="21"/>
                      <w:u w:val="single"/>
                      <w:lang w:val="en-US" w:eastAsia="zh-CN" w:bidi="ar-SA"/>
                    </w:rPr>
                  </w:pPr>
                  <w:r>
                    <w:rPr>
                      <w:rFonts w:hint="eastAsia" w:cs="Times New Roman" w:eastAsiaTheme="minorEastAsia"/>
                      <w:b w:val="0"/>
                      <w:bCs/>
                      <w:color w:val="auto"/>
                      <w:sz w:val="21"/>
                      <w:szCs w:val="21"/>
                      <w:u w:val="single"/>
                      <w:lang w:val="en-US" w:eastAsia="zh-CN"/>
                    </w:rPr>
                    <w:t>0.174</w:t>
                  </w:r>
                </w:p>
              </w:tc>
              <w:tc>
                <w:tcPr>
                  <w:tcW w:w="1237" w:type="dxa"/>
                  <w:noWrap w:val="0"/>
                  <w:vAlign w:val="center"/>
                </w:tcPr>
                <w:p>
                  <w:pPr>
                    <w:jc w:val="center"/>
                    <w:rPr>
                      <w:rFonts w:hint="default" w:ascii="Times New Roman" w:hAnsi="Times New Roman" w:cs="Times New Roman" w:eastAsiaTheme="minorEastAsia"/>
                      <w:b w:val="0"/>
                      <w:bCs/>
                      <w:color w:val="auto"/>
                      <w:sz w:val="21"/>
                      <w:szCs w:val="21"/>
                      <w:u w:val="singl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spacing w:line="240" w:lineRule="auto"/>
                    <w:ind w:firstLine="0" w:firstLineChars="0"/>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BOD</w:t>
                  </w:r>
                  <w:r>
                    <w:rPr>
                      <w:rFonts w:hint="default" w:ascii="Times New Roman" w:hAnsi="Times New Roman" w:cs="Times New Roman" w:eastAsiaTheme="minorEastAsia"/>
                      <w:b w:val="0"/>
                      <w:bCs/>
                      <w:color w:val="auto"/>
                      <w:sz w:val="21"/>
                      <w:szCs w:val="21"/>
                      <w:u w:val="none"/>
                      <w:vertAlign w:val="subscript"/>
                    </w:rPr>
                    <w:t>5</w:t>
                  </w:r>
                </w:p>
              </w:tc>
              <w:tc>
                <w:tcPr>
                  <w:tcW w:w="1364" w:type="dxa"/>
                  <w:noWrap w:val="0"/>
                  <w:vAlign w:val="center"/>
                </w:tcPr>
                <w:p>
                  <w:pPr>
                    <w:spacing w:line="240" w:lineRule="atLeast"/>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0.104</w:t>
                  </w:r>
                </w:p>
              </w:tc>
              <w:tc>
                <w:tcPr>
                  <w:tcW w:w="1336" w:type="dxa"/>
                  <w:noWrap w:val="0"/>
                  <w:vAlign w:val="center"/>
                </w:tcPr>
                <w:p>
                  <w:pPr>
                    <w:jc w:val="center"/>
                    <w:rPr>
                      <w:rFonts w:hint="default" w:ascii="Times New Roman" w:hAnsi="Times New Roman" w:cs="Times New Roman" w:eastAsiaTheme="minorEastAsia"/>
                      <w:b w:val="0"/>
                      <w:bCs/>
                      <w:color w:val="auto"/>
                      <w:kern w:val="2"/>
                      <w:sz w:val="21"/>
                      <w:szCs w:val="21"/>
                      <w:u w:val="single"/>
                      <w:lang w:val="en-US" w:eastAsia="zh-CN" w:bidi="ar-SA"/>
                    </w:rPr>
                  </w:pPr>
                  <w:r>
                    <w:rPr>
                      <w:rFonts w:hint="eastAsia" w:ascii="Times New Roman" w:hAnsi="Times New Roman" w:cs="Times New Roman" w:eastAsiaTheme="minorEastAsia"/>
                      <w:b w:val="0"/>
                      <w:bCs/>
                      <w:color w:val="auto"/>
                      <w:sz w:val="21"/>
                      <w:szCs w:val="21"/>
                      <w:u w:val="single"/>
                      <w:lang w:val="en-US" w:eastAsia="zh-CN"/>
                    </w:rPr>
                    <w:t>0</w:t>
                  </w:r>
                </w:p>
              </w:tc>
              <w:tc>
                <w:tcPr>
                  <w:tcW w:w="1320" w:type="dxa"/>
                  <w:noWrap w:val="0"/>
                  <w:vAlign w:val="center"/>
                </w:tcPr>
                <w:p>
                  <w:pPr>
                    <w:jc w:val="center"/>
                    <w:rPr>
                      <w:rFonts w:hint="eastAsia" w:ascii="Times New Roman" w:hAnsi="Times New Roman" w:cs="Times New Roman" w:eastAsiaTheme="minorEastAsia"/>
                      <w:b w:val="0"/>
                      <w:bCs/>
                      <w:color w:val="auto"/>
                      <w:sz w:val="21"/>
                      <w:szCs w:val="21"/>
                      <w:u w:val="single"/>
                      <w:lang w:val="en-US" w:eastAsia="zh-CN"/>
                    </w:rPr>
                  </w:pPr>
                  <w:r>
                    <w:rPr>
                      <w:rFonts w:hint="eastAsia" w:ascii="Times New Roman" w:hAnsi="Times New Roman" w:cs="Times New Roman" w:eastAsiaTheme="minorEastAsia"/>
                      <w:b w:val="0"/>
                      <w:bCs/>
                      <w:color w:val="auto"/>
                      <w:sz w:val="21"/>
                      <w:szCs w:val="21"/>
                      <w:u w:val="single"/>
                      <w:lang w:val="en-US" w:eastAsia="zh-CN"/>
                    </w:rPr>
                    <w:t>0</w:t>
                  </w:r>
                </w:p>
              </w:tc>
              <w:tc>
                <w:tcPr>
                  <w:tcW w:w="1571" w:type="dxa"/>
                  <w:noWrap w:val="0"/>
                  <w:vAlign w:val="center"/>
                </w:tcPr>
                <w:p>
                  <w:pPr>
                    <w:spacing w:line="240" w:lineRule="atLeast"/>
                    <w:jc w:val="center"/>
                    <w:rPr>
                      <w:rFonts w:hint="eastAsia" w:ascii="Times New Roman" w:hAnsi="Times New Roman" w:cs="Times New Roman" w:eastAsiaTheme="minorEastAsia"/>
                      <w:b w:val="0"/>
                      <w:bCs/>
                      <w:color w:val="auto"/>
                      <w:kern w:val="2"/>
                      <w:sz w:val="21"/>
                      <w:szCs w:val="21"/>
                      <w:u w:val="single"/>
                      <w:lang w:val="en-US" w:eastAsia="zh-CN" w:bidi="ar-SA"/>
                    </w:rPr>
                  </w:pPr>
                  <w:r>
                    <w:rPr>
                      <w:rFonts w:hint="eastAsia" w:cs="Times New Roman" w:eastAsiaTheme="minorEastAsia"/>
                      <w:b w:val="0"/>
                      <w:bCs/>
                      <w:color w:val="auto"/>
                      <w:sz w:val="21"/>
                      <w:szCs w:val="21"/>
                      <w:u w:val="single"/>
                      <w:lang w:val="en-US" w:eastAsia="zh-CN"/>
                    </w:rPr>
                    <w:t>0.104</w:t>
                  </w:r>
                </w:p>
              </w:tc>
              <w:tc>
                <w:tcPr>
                  <w:tcW w:w="1237"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spacing w:line="240" w:lineRule="auto"/>
                    <w:ind w:firstLine="0" w:firstLineChars="0"/>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SS</w:t>
                  </w:r>
                </w:p>
              </w:tc>
              <w:tc>
                <w:tcPr>
                  <w:tcW w:w="1364" w:type="dxa"/>
                  <w:noWrap w:val="0"/>
                  <w:vAlign w:val="center"/>
                </w:tcPr>
                <w:p>
                  <w:pPr>
                    <w:spacing w:line="240" w:lineRule="atLeast"/>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0.139</w:t>
                  </w:r>
                </w:p>
              </w:tc>
              <w:tc>
                <w:tcPr>
                  <w:tcW w:w="1336" w:type="dxa"/>
                  <w:noWrap w:val="0"/>
                  <w:vAlign w:val="center"/>
                </w:tcPr>
                <w:p>
                  <w:pPr>
                    <w:jc w:val="center"/>
                    <w:rPr>
                      <w:rFonts w:hint="default" w:ascii="Times New Roman" w:hAnsi="Times New Roman" w:cs="Times New Roman" w:eastAsiaTheme="minorEastAsia"/>
                      <w:b w:val="0"/>
                      <w:bCs/>
                      <w:color w:val="auto"/>
                      <w:kern w:val="2"/>
                      <w:sz w:val="21"/>
                      <w:szCs w:val="21"/>
                      <w:u w:val="single"/>
                      <w:lang w:val="en-US" w:eastAsia="zh-CN" w:bidi="ar-SA"/>
                    </w:rPr>
                  </w:pPr>
                  <w:r>
                    <w:rPr>
                      <w:rFonts w:hint="eastAsia" w:ascii="Times New Roman" w:hAnsi="Times New Roman" w:cs="Times New Roman" w:eastAsiaTheme="minorEastAsia"/>
                      <w:b w:val="0"/>
                      <w:bCs/>
                      <w:color w:val="auto"/>
                      <w:sz w:val="21"/>
                      <w:szCs w:val="21"/>
                      <w:u w:val="single"/>
                      <w:lang w:val="en-US" w:eastAsia="zh-CN"/>
                    </w:rPr>
                    <w:t>0</w:t>
                  </w:r>
                </w:p>
              </w:tc>
              <w:tc>
                <w:tcPr>
                  <w:tcW w:w="1320" w:type="dxa"/>
                  <w:noWrap w:val="0"/>
                  <w:vAlign w:val="center"/>
                </w:tcPr>
                <w:p>
                  <w:pPr>
                    <w:jc w:val="center"/>
                    <w:rPr>
                      <w:rFonts w:hint="eastAsia" w:ascii="Times New Roman" w:hAnsi="Times New Roman" w:cs="Times New Roman" w:eastAsiaTheme="minorEastAsia"/>
                      <w:b w:val="0"/>
                      <w:bCs/>
                      <w:color w:val="auto"/>
                      <w:sz w:val="21"/>
                      <w:szCs w:val="21"/>
                      <w:u w:val="single"/>
                      <w:lang w:val="en-US" w:eastAsia="zh-CN"/>
                    </w:rPr>
                  </w:pPr>
                  <w:r>
                    <w:rPr>
                      <w:rFonts w:hint="eastAsia" w:ascii="Times New Roman" w:hAnsi="Times New Roman" w:cs="Times New Roman" w:eastAsiaTheme="minorEastAsia"/>
                      <w:b w:val="0"/>
                      <w:bCs/>
                      <w:color w:val="auto"/>
                      <w:sz w:val="21"/>
                      <w:szCs w:val="21"/>
                      <w:u w:val="single"/>
                      <w:lang w:val="en-US" w:eastAsia="zh-CN"/>
                    </w:rPr>
                    <w:t>0</w:t>
                  </w:r>
                </w:p>
              </w:tc>
              <w:tc>
                <w:tcPr>
                  <w:tcW w:w="1571" w:type="dxa"/>
                  <w:noWrap w:val="0"/>
                  <w:vAlign w:val="center"/>
                </w:tcPr>
                <w:p>
                  <w:pPr>
                    <w:spacing w:line="240" w:lineRule="atLeast"/>
                    <w:jc w:val="center"/>
                    <w:rPr>
                      <w:rFonts w:hint="eastAsia" w:ascii="Times New Roman" w:hAnsi="Times New Roman" w:cs="Times New Roman" w:eastAsiaTheme="minorEastAsia"/>
                      <w:b w:val="0"/>
                      <w:bCs/>
                      <w:color w:val="auto"/>
                      <w:kern w:val="2"/>
                      <w:sz w:val="21"/>
                      <w:szCs w:val="21"/>
                      <w:u w:val="single"/>
                      <w:lang w:val="en-US" w:eastAsia="zh-CN" w:bidi="ar-SA"/>
                    </w:rPr>
                  </w:pPr>
                  <w:r>
                    <w:rPr>
                      <w:rFonts w:hint="eastAsia" w:cs="Times New Roman" w:eastAsiaTheme="minorEastAsia"/>
                      <w:b w:val="0"/>
                      <w:bCs/>
                      <w:color w:val="auto"/>
                      <w:sz w:val="21"/>
                      <w:szCs w:val="21"/>
                      <w:u w:val="single"/>
                      <w:lang w:val="en-US" w:eastAsia="zh-CN"/>
                    </w:rPr>
                    <w:t>0.139</w:t>
                  </w:r>
                </w:p>
              </w:tc>
              <w:tc>
                <w:tcPr>
                  <w:tcW w:w="1237" w:type="dxa"/>
                  <w:noWrap w:val="0"/>
                  <w:vAlign w:val="center"/>
                </w:tcPr>
                <w:p>
                  <w:pPr>
                    <w:jc w:val="center"/>
                    <w:rPr>
                      <w:rFonts w:hint="default" w:ascii="Times New Roman" w:hAnsi="Times New Roman" w:cs="Times New Roman" w:eastAsiaTheme="minorEastAsia"/>
                      <w:b w:val="0"/>
                      <w:bCs/>
                      <w:color w:val="auto"/>
                      <w:sz w:val="21"/>
                      <w:szCs w:val="21"/>
                      <w:u w:val="singl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spacing w:line="240" w:lineRule="auto"/>
                    <w:ind w:firstLine="0" w:firstLineChars="0"/>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NH</w:t>
                  </w:r>
                  <w:r>
                    <w:rPr>
                      <w:rFonts w:hint="default" w:ascii="Times New Roman" w:hAnsi="Times New Roman" w:cs="Times New Roman" w:eastAsiaTheme="minorEastAsia"/>
                      <w:b w:val="0"/>
                      <w:bCs/>
                      <w:color w:val="auto"/>
                      <w:sz w:val="21"/>
                      <w:szCs w:val="21"/>
                      <w:u w:val="none"/>
                      <w:vertAlign w:val="subscript"/>
                    </w:rPr>
                    <w:t>3</w:t>
                  </w:r>
                  <w:r>
                    <w:rPr>
                      <w:rFonts w:hint="default" w:ascii="Times New Roman" w:hAnsi="Times New Roman" w:cs="Times New Roman" w:eastAsiaTheme="minorEastAsia"/>
                      <w:b w:val="0"/>
                      <w:bCs/>
                      <w:color w:val="auto"/>
                      <w:sz w:val="21"/>
                      <w:szCs w:val="21"/>
                      <w:u w:val="none"/>
                    </w:rPr>
                    <w:t>-N</w:t>
                  </w:r>
                </w:p>
              </w:tc>
              <w:tc>
                <w:tcPr>
                  <w:tcW w:w="1364" w:type="dxa"/>
                  <w:noWrap w:val="0"/>
                  <w:vAlign w:val="center"/>
                </w:tcPr>
                <w:p>
                  <w:pPr>
                    <w:spacing w:line="240" w:lineRule="atLeast"/>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0.017</w:t>
                  </w:r>
                </w:p>
              </w:tc>
              <w:tc>
                <w:tcPr>
                  <w:tcW w:w="1336" w:type="dxa"/>
                  <w:noWrap w:val="0"/>
                  <w:vAlign w:val="center"/>
                </w:tcPr>
                <w:p>
                  <w:pPr>
                    <w:jc w:val="center"/>
                    <w:rPr>
                      <w:rFonts w:hint="default" w:ascii="Times New Roman" w:hAnsi="Times New Roman" w:cs="Times New Roman" w:eastAsiaTheme="minorEastAsia"/>
                      <w:b w:val="0"/>
                      <w:bCs/>
                      <w:color w:val="auto"/>
                      <w:kern w:val="2"/>
                      <w:sz w:val="21"/>
                      <w:szCs w:val="21"/>
                      <w:u w:val="single"/>
                      <w:lang w:val="en-US" w:eastAsia="zh-CN" w:bidi="ar-SA"/>
                    </w:rPr>
                  </w:pPr>
                  <w:r>
                    <w:rPr>
                      <w:rFonts w:hint="eastAsia" w:ascii="Times New Roman" w:hAnsi="Times New Roman" w:cs="Times New Roman" w:eastAsiaTheme="minorEastAsia"/>
                      <w:b w:val="0"/>
                      <w:bCs/>
                      <w:color w:val="auto"/>
                      <w:sz w:val="21"/>
                      <w:szCs w:val="21"/>
                      <w:u w:val="single"/>
                      <w:lang w:val="en-US" w:eastAsia="zh-CN"/>
                    </w:rPr>
                    <w:t>0</w:t>
                  </w:r>
                </w:p>
              </w:tc>
              <w:tc>
                <w:tcPr>
                  <w:tcW w:w="1320" w:type="dxa"/>
                  <w:noWrap w:val="0"/>
                  <w:vAlign w:val="center"/>
                </w:tcPr>
                <w:p>
                  <w:pPr>
                    <w:jc w:val="center"/>
                    <w:rPr>
                      <w:rFonts w:hint="eastAsia" w:ascii="Times New Roman" w:hAnsi="Times New Roman" w:cs="Times New Roman" w:eastAsiaTheme="minorEastAsia"/>
                      <w:b w:val="0"/>
                      <w:bCs/>
                      <w:color w:val="auto"/>
                      <w:sz w:val="21"/>
                      <w:szCs w:val="21"/>
                      <w:u w:val="single"/>
                      <w:lang w:val="en-US" w:eastAsia="zh-CN"/>
                    </w:rPr>
                  </w:pPr>
                  <w:r>
                    <w:rPr>
                      <w:rFonts w:hint="eastAsia" w:ascii="Times New Roman" w:hAnsi="Times New Roman" w:cs="Times New Roman" w:eastAsiaTheme="minorEastAsia"/>
                      <w:b w:val="0"/>
                      <w:bCs/>
                      <w:color w:val="auto"/>
                      <w:sz w:val="21"/>
                      <w:szCs w:val="21"/>
                      <w:u w:val="single"/>
                      <w:lang w:val="en-US" w:eastAsia="zh-CN"/>
                    </w:rPr>
                    <w:t>0</w:t>
                  </w:r>
                </w:p>
              </w:tc>
              <w:tc>
                <w:tcPr>
                  <w:tcW w:w="1571" w:type="dxa"/>
                  <w:noWrap w:val="0"/>
                  <w:vAlign w:val="center"/>
                </w:tcPr>
                <w:p>
                  <w:pPr>
                    <w:spacing w:line="240" w:lineRule="atLeast"/>
                    <w:jc w:val="center"/>
                    <w:rPr>
                      <w:rFonts w:hint="eastAsia" w:ascii="Times New Roman" w:hAnsi="Times New Roman" w:cs="Times New Roman" w:eastAsiaTheme="minorEastAsia"/>
                      <w:b w:val="0"/>
                      <w:bCs/>
                      <w:color w:val="auto"/>
                      <w:kern w:val="2"/>
                      <w:sz w:val="21"/>
                      <w:szCs w:val="21"/>
                      <w:u w:val="single"/>
                      <w:lang w:val="en-US" w:eastAsia="zh-CN" w:bidi="ar-SA"/>
                    </w:rPr>
                  </w:pPr>
                  <w:r>
                    <w:rPr>
                      <w:rFonts w:hint="eastAsia" w:cs="Times New Roman" w:eastAsiaTheme="minorEastAsia"/>
                      <w:b w:val="0"/>
                      <w:bCs/>
                      <w:color w:val="auto"/>
                      <w:sz w:val="21"/>
                      <w:szCs w:val="21"/>
                      <w:u w:val="single"/>
                      <w:lang w:val="en-US" w:eastAsia="zh-CN"/>
                    </w:rPr>
                    <w:t>0.017</w:t>
                  </w:r>
                </w:p>
              </w:tc>
              <w:tc>
                <w:tcPr>
                  <w:tcW w:w="1237"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spacing w:line="240" w:lineRule="auto"/>
                    <w:ind w:firstLine="0" w:firstLineChars="0"/>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color w:val="auto"/>
                      <w:sz w:val="21"/>
                      <w:szCs w:val="21"/>
                      <w:u w:val="none"/>
                      <w:lang w:eastAsia="zh-CN"/>
                    </w:rPr>
                    <w:t>动植物油</w:t>
                  </w:r>
                </w:p>
              </w:tc>
              <w:tc>
                <w:tcPr>
                  <w:tcW w:w="1364" w:type="dxa"/>
                  <w:noWrap w:val="0"/>
                  <w:vAlign w:val="center"/>
                </w:tcPr>
                <w:p>
                  <w:pPr>
                    <w:spacing w:line="240" w:lineRule="atLeast"/>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0.028</w:t>
                  </w:r>
                </w:p>
              </w:tc>
              <w:tc>
                <w:tcPr>
                  <w:tcW w:w="1336" w:type="dxa"/>
                  <w:noWrap w:val="0"/>
                  <w:vAlign w:val="center"/>
                </w:tcPr>
                <w:p>
                  <w:pPr>
                    <w:jc w:val="center"/>
                    <w:rPr>
                      <w:rFonts w:hint="default" w:ascii="Times New Roman" w:hAnsi="Times New Roman" w:cs="Times New Roman" w:eastAsiaTheme="minorEastAsia"/>
                      <w:color w:val="auto"/>
                      <w:kern w:val="2"/>
                      <w:sz w:val="21"/>
                      <w:szCs w:val="21"/>
                      <w:u w:val="single"/>
                      <w:lang w:val="en-US" w:eastAsia="zh-CN" w:bidi="ar-SA"/>
                    </w:rPr>
                  </w:pPr>
                  <w:r>
                    <w:rPr>
                      <w:rFonts w:hint="eastAsia" w:ascii="Times New Roman" w:hAnsi="Times New Roman" w:cs="Times New Roman" w:eastAsiaTheme="minorEastAsia"/>
                      <w:color w:val="auto"/>
                      <w:sz w:val="21"/>
                      <w:szCs w:val="21"/>
                      <w:u w:val="single"/>
                      <w:lang w:val="en-US" w:eastAsia="zh-CN"/>
                    </w:rPr>
                    <w:t>0</w:t>
                  </w:r>
                </w:p>
              </w:tc>
              <w:tc>
                <w:tcPr>
                  <w:tcW w:w="1320" w:type="dxa"/>
                  <w:noWrap w:val="0"/>
                  <w:vAlign w:val="center"/>
                </w:tcPr>
                <w:p>
                  <w:pPr>
                    <w:jc w:val="center"/>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0</w:t>
                  </w:r>
                </w:p>
              </w:tc>
              <w:tc>
                <w:tcPr>
                  <w:tcW w:w="1571" w:type="dxa"/>
                  <w:noWrap w:val="0"/>
                  <w:vAlign w:val="center"/>
                </w:tcPr>
                <w:p>
                  <w:pPr>
                    <w:spacing w:line="240" w:lineRule="atLeast"/>
                    <w:jc w:val="center"/>
                    <w:rPr>
                      <w:rFonts w:hint="eastAsia" w:ascii="Times New Roman" w:hAnsi="Times New Roman" w:cs="Times New Roman" w:eastAsiaTheme="minorEastAsia"/>
                      <w:b w:val="0"/>
                      <w:bCs/>
                      <w:color w:val="auto"/>
                      <w:kern w:val="2"/>
                      <w:sz w:val="21"/>
                      <w:szCs w:val="21"/>
                      <w:u w:val="single"/>
                      <w:lang w:val="en-US" w:eastAsia="zh-CN" w:bidi="ar-SA"/>
                    </w:rPr>
                  </w:pPr>
                  <w:r>
                    <w:rPr>
                      <w:rFonts w:hint="eastAsia" w:cs="Times New Roman" w:eastAsiaTheme="minorEastAsia"/>
                      <w:b w:val="0"/>
                      <w:bCs/>
                      <w:color w:val="auto"/>
                      <w:sz w:val="21"/>
                      <w:szCs w:val="21"/>
                      <w:u w:val="single"/>
                      <w:lang w:val="en-US" w:eastAsia="zh-CN"/>
                    </w:rPr>
                    <w:t>0.028</w:t>
                  </w:r>
                </w:p>
              </w:tc>
              <w:tc>
                <w:tcPr>
                  <w:tcW w:w="1237" w:type="dxa"/>
                  <w:noWrap w:val="0"/>
                  <w:vAlign w:val="center"/>
                </w:tcPr>
                <w:p>
                  <w:pPr>
                    <w:jc w:val="center"/>
                    <w:rPr>
                      <w:rFonts w:hint="default" w:ascii="Times New Roman" w:hAnsi="Times New Roman" w:cs="Times New Roman" w:eastAsiaTheme="minorEastAsia"/>
                      <w:b w:val="0"/>
                      <w:bCs/>
                      <w:color w:val="auto"/>
                      <w:sz w:val="21"/>
                      <w:szCs w:val="21"/>
                      <w:u w:val="singl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99" w:type="dxa"/>
                  <w:vMerge w:val="restart"/>
                  <w:noWrap w:val="0"/>
                  <w:vAlign w:val="center"/>
                </w:tcPr>
                <w:p>
                  <w:pPr>
                    <w:pStyle w:val="2"/>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固废</w:t>
                  </w:r>
                </w:p>
              </w:tc>
              <w:tc>
                <w:tcPr>
                  <w:tcW w:w="1610" w:type="dxa"/>
                  <w:noWrap w:val="0"/>
                  <w:vAlign w:val="center"/>
                </w:tcPr>
                <w:p>
                  <w:pPr>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eastAsia="宋体" w:cs="Times New Roman"/>
                      <w:color w:val="auto"/>
                      <w:sz w:val="21"/>
                      <w:szCs w:val="21"/>
                      <w:u w:val="none"/>
                    </w:rPr>
                    <w:t>日常生活垃圾</w:t>
                  </w:r>
                </w:p>
              </w:tc>
              <w:tc>
                <w:tcPr>
                  <w:tcW w:w="1364" w:type="dxa"/>
                  <w:noWrap w:val="0"/>
                  <w:vAlign w:val="center"/>
                </w:tcPr>
                <w:p>
                  <w:pPr>
                    <w:jc w:val="center"/>
                    <w:rPr>
                      <w:rFonts w:hint="default" w:ascii="Times New Roman" w:hAnsi="Times New Roman" w:cs="Times New Roman" w:eastAsiaTheme="minorEastAsia"/>
                      <w:b w:val="0"/>
                      <w:bCs/>
                      <w:color w:val="auto"/>
                      <w:sz w:val="21"/>
                      <w:szCs w:val="21"/>
                      <w:u w:val="none"/>
                      <w:lang w:val="en-US"/>
                    </w:rPr>
                  </w:pPr>
                  <w:r>
                    <w:rPr>
                      <w:rFonts w:hint="eastAsia" w:cs="Times New Roman"/>
                      <w:color w:val="auto"/>
                      <w:sz w:val="21"/>
                      <w:szCs w:val="21"/>
                      <w:u w:val="none"/>
                      <w:lang w:val="en-US" w:eastAsia="zh-CN"/>
                    </w:rPr>
                    <w:t>3</w:t>
                  </w:r>
                </w:p>
              </w:tc>
              <w:tc>
                <w:tcPr>
                  <w:tcW w:w="1336"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1.2</w:t>
                  </w:r>
                </w:p>
              </w:tc>
              <w:tc>
                <w:tcPr>
                  <w:tcW w:w="1320" w:type="dxa"/>
                  <w:noWrap w:val="0"/>
                  <w:vAlign w:val="center"/>
                </w:tcPr>
                <w:p>
                  <w:pPr>
                    <w:pStyle w:val="2"/>
                    <w:jc w:val="center"/>
                    <w:rPr>
                      <w:rFonts w:hint="eastAsia" w:ascii="Times New Roman" w:hAnsi="Times New Roman" w:cs="Times New Roman" w:eastAsiaTheme="minorEastAsia"/>
                      <w:b w:val="0"/>
                      <w:bCs/>
                      <w:color w:val="auto"/>
                      <w:sz w:val="21"/>
                      <w:szCs w:val="21"/>
                      <w:u w:val="non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c>
                <w:tcPr>
                  <w:tcW w:w="1571" w:type="dxa"/>
                  <w:noWrap w:val="0"/>
                  <w:vAlign w:val="center"/>
                </w:tcPr>
                <w:p>
                  <w:pPr>
                    <w:pStyle w:val="2"/>
                    <w:jc w:val="center"/>
                    <w:rPr>
                      <w:rFonts w:hint="eastAsia"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4.2</w:t>
                  </w:r>
                </w:p>
              </w:tc>
              <w:tc>
                <w:tcPr>
                  <w:tcW w:w="1237"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sz w:val="21"/>
                      <w:szCs w:val="21"/>
                      <w:u w:val="none"/>
                    </w:rPr>
                  </w:pPr>
                  <w:r>
                    <w:rPr>
                      <w:rFonts w:hint="eastAsia" w:hAnsi="宋体"/>
                      <w:color w:val="auto"/>
                      <w:kern w:val="0"/>
                      <w:sz w:val="21"/>
                      <w:szCs w:val="21"/>
                      <w:u w:val="none"/>
                      <w:vertAlign w:val="baseline"/>
                      <w:lang w:val="en-US" w:eastAsia="zh-CN"/>
                    </w:rPr>
                    <w:t>树脂包装桶</w:t>
                  </w:r>
                </w:p>
              </w:tc>
              <w:tc>
                <w:tcPr>
                  <w:tcW w:w="1364" w:type="dxa"/>
                  <w:noWrap w:val="0"/>
                  <w:vAlign w:val="center"/>
                </w:tcPr>
                <w:p>
                  <w:pPr>
                    <w:jc w:val="center"/>
                    <w:rPr>
                      <w:rFonts w:hint="eastAsia"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3</w:t>
                  </w:r>
                </w:p>
              </w:tc>
              <w:tc>
                <w:tcPr>
                  <w:tcW w:w="1336" w:type="dxa"/>
                  <w:noWrap w:val="0"/>
                  <w:vAlign w:val="center"/>
                </w:tcPr>
                <w:p>
                  <w:pPr>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3</w:t>
                  </w:r>
                </w:p>
              </w:tc>
              <w:tc>
                <w:tcPr>
                  <w:tcW w:w="1320" w:type="dxa"/>
                  <w:noWrap w:val="0"/>
                  <w:vAlign w:val="center"/>
                </w:tcPr>
                <w:p>
                  <w:pPr>
                    <w:pStyle w:val="2"/>
                    <w:jc w:val="center"/>
                    <w:rPr>
                      <w:rFonts w:hint="eastAsia" w:ascii="Times New Roman" w:hAnsi="Times New Roman" w:cs="Times New Roman" w:eastAsiaTheme="minorEastAsia"/>
                      <w:b w:val="0"/>
                      <w:bCs/>
                      <w:color w:val="auto"/>
                      <w:sz w:val="21"/>
                      <w:szCs w:val="21"/>
                      <w:u w:val="non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c>
                <w:tcPr>
                  <w:tcW w:w="1571" w:type="dxa"/>
                  <w:noWrap w:val="0"/>
                  <w:vAlign w:val="center"/>
                </w:tcPr>
                <w:p>
                  <w:pPr>
                    <w:jc w:val="center"/>
                    <w:rPr>
                      <w:rFonts w:hint="eastAsia" w:cs="Times New Roman" w:eastAsiaTheme="minorEastAsia"/>
                      <w:b w:val="0"/>
                      <w:bCs/>
                      <w:color w:val="auto"/>
                      <w:sz w:val="21"/>
                      <w:szCs w:val="21"/>
                      <w:u w:val="none"/>
                      <w:lang w:val="en-US" w:eastAsia="zh-CN"/>
                    </w:rPr>
                  </w:pPr>
                  <w:r>
                    <w:rPr>
                      <w:rFonts w:hint="eastAsia" w:cs="Times New Roman"/>
                      <w:color w:val="auto"/>
                      <w:sz w:val="21"/>
                      <w:szCs w:val="21"/>
                      <w:u w:val="single"/>
                      <w:lang w:val="en-US" w:eastAsia="zh-CN"/>
                    </w:rPr>
                    <w:t>3</w:t>
                  </w:r>
                </w:p>
              </w:tc>
              <w:tc>
                <w:tcPr>
                  <w:tcW w:w="1237" w:type="dxa"/>
                  <w:noWrap w:val="0"/>
                  <w:vAlign w:val="center"/>
                </w:tcPr>
                <w:p>
                  <w:pPr>
                    <w:pStyle w:val="2"/>
                    <w:jc w:val="center"/>
                    <w:rPr>
                      <w:rFonts w:hint="eastAsia" w:ascii="Times New Roman" w:hAnsi="Times New Roman" w:eastAsia="宋体" w:cs="Times New Roman"/>
                      <w:b w:val="0"/>
                      <w:bCs/>
                      <w:color w:val="auto"/>
                      <w:sz w:val="21"/>
                      <w:szCs w:val="21"/>
                      <w:u w:val="none"/>
                      <w:lang w:val="en-US" w:eastAsia="zh-CN"/>
                    </w:rPr>
                  </w:pPr>
                  <w:r>
                    <w:rPr>
                      <w:rFonts w:hint="eastAsia"/>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sz w:val="21"/>
                      <w:szCs w:val="21"/>
                      <w:u w:val="none"/>
                    </w:rPr>
                  </w:pPr>
                  <w:r>
                    <w:rPr>
                      <w:rFonts w:hint="eastAsia" w:hAnsi="宋体"/>
                      <w:color w:val="auto"/>
                      <w:kern w:val="0"/>
                      <w:sz w:val="21"/>
                      <w:szCs w:val="21"/>
                      <w:u w:val="none"/>
                      <w:vertAlign w:val="baseline"/>
                      <w:lang w:val="en-US" w:eastAsia="zh-CN"/>
                    </w:rPr>
                    <w:t>锅炉灰渣</w:t>
                  </w:r>
                </w:p>
              </w:tc>
              <w:tc>
                <w:tcPr>
                  <w:tcW w:w="1364" w:type="dxa"/>
                  <w:noWrap w:val="0"/>
                  <w:vAlign w:val="center"/>
                </w:tcPr>
                <w:p>
                  <w:pPr>
                    <w:jc w:val="center"/>
                    <w:rPr>
                      <w:rFonts w:hint="default" w:ascii="Times New Roman" w:hAnsi="Times New Roman" w:cs="Times New Roman" w:eastAsiaTheme="minorEastAsia"/>
                      <w:b w:val="0"/>
                      <w:bCs/>
                      <w:color w:val="auto"/>
                      <w:sz w:val="21"/>
                      <w:szCs w:val="21"/>
                      <w:u w:val="none"/>
                      <w:lang w:val="en-US"/>
                    </w:rPr>
                  </w:pPr>
                  <w:r>
                    <w:rPr>
                      <w:rFonts w:hint="eastAsia" w:cs="Times New Roman"/>
                      <w:color w:val="auto"/>
                      <w:sz w:val="21"/>
                      <w:szCs w:val="21"/>
                      <w:u w:val="none"/>
                      <w:lang w:val="en-US" w:eastAsia="zh-CN"/>
                    </w:rPr>
                    <w:t>3.6</w:t>
                  </w:r>
                </w:p>
              </w:tc>
              <w:tc>
                <w:tcPr>
                  <w:tcW w:w="1336" w:type="dxa"/>
                  <w:noWrap w:val="0"/>
                  <w:vAlign w:val="center"/>
                </w:tcPr>
                <w:p>
                  <w:pPr>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color w:val="auto"/>
                      <w:sz w:val="21"/>
                      <w:szCs w:val="21"/>
                      <w:u w:val="none"/>
                      <w:lang w:val="en-US" w:eastAsia="zh-CN"/>
                    </w:rPr>
                    <w:t>0</w:t>
                  </w:r>
                </w:p>
              </w:tc>
              <w:tc>
                <w:tcPr>
                  <w:tcW w:w="1320" w:type="dxa"/>
                  <w:noWrap w:val="0"/>
                  <w:vAlign w:val="center"/>
                </w:tcPr>
                <w:p>
                  <w:pPr>
                    <w:pStyle w:val="2"/>
                    <w:jc w:val="center"/>
                    <w:rPr>
                      <w:rFonts w:hint="eastAsia" w:ascii="Times New Roman" w:hAnsi="Times New Roman" w:cs="Times New Roman" w:eastAsiaTheme="minorEastAsia"/>
                      <w:b w:val="0"/>
                      <w:bCs/>
                      <w:color w:val="auto"/>
                      <w:sz w:val="21"/>
                      <w:szCs w:val="21"/>
                      <w:u w:val="non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c>
                <w:tcPr>
                  <w:tcW w:w="1571" w:type="dxa"/>
                  <w:noWrap w:val="0"/>
                  <w:vAlign w:val="center"/>
                </w:tcPr>
                <w:p>
                  <w:pPr>
                    <w:jc w:val="center"/>
                    <w:rPr>
                      <w:rFonts w:hint="eastAsia" w:ascii="Times New Roman" w:hAnsi="Times New Roman" w:cs="Times New Roman" w:eastAsiaTheme="minorEastAsia"/>
                      <w:b w:val="0"/>
                      <w:bCs/>
                      <w:color w:val="auto"/>
                      <w:sz w:val="21"/>
                      <w:szCs w:val="21"/>
                      <w:u w:val="none"/>
                      <w:lang w:val="en-US" w:eastAsia="zh-CN"/>
                    </w:rPr>
                  </w:pPr>
                  <w:r>
                    <w:rPr>
                      <w:rFonts w:hint="eastAsia" w:cs="Times New Roman"/>
                      <w:color w:val="auto"/>
                      <w:sz w:val="21"/>
                      <w:szCs w:val="21"/>
                      <w:u w:val="none"/>
                      <w:lang w:val="en-US" w:eastAsia="zh-CN"/>
                    </w:rPr>
                    <w:t>3.6</w:t>
                  </w:r>
                </w:p>
              </w:tc>
              <w:tc>
                <w:tcPr>
                  <w:tcW w:w="1237" w:type="dxa"/>
                  <w:noWrap w:val="0"/>
                  <w:vAlign w:val="center"/>
                </w:tcPr>
                <w:p>
                  <w:pPr>
                    <w:jc w:val="center"/>
                    <w:rPr>
                      <w:rFonts w:hint="default" w:ascii="Times New Roman" w:hAnsi="Times New Roman" w:cs="Times New Roman" w:eastAsiaTheme="minorEastAsia"/>
                      <w:b w:val="0"/>
                      <w:bCs/>
                      <w:color w:val="auto"/>
                      <w:sz w:val="21"/>
                      <w:szCs w:val="21"/>
                      <w:u w:val="non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sz w:val="21"/>
                      <w:szCs w:val="21"/>
                      <w:u w:val="none"/>
                    </w:rPr>
                  </w:pPr>
                  <w:r>
                    <w:rPr>
                      <w:rFonts w:hint="eastAsia" w:hAnsi="宋体"/>
                      <w:color w:val="auto"/>
                      <w:kern w:val="0"/>
                      <w:sz w:val="21"/>
                      <w:szCs w:val="21"/>
                      <w:u w:val="none"/>
                      <w:vertAlign w:val="baseline"/>
                      <w:lang w:val="en-US" w:eastAsia="zh-CN"/>
                    </w:rPr>
                    <w:t>沉淀渣</w:t>
                  </w:r>
                </w:p>
              </w:tc>
              <w:tc>
                <w:tcPr>
                  <w:tcW w:w="1364" w:type="dxa"/>
                  <w:noWrap w:val="0"/>
                  <w:vAlign w:val="center"/>
                </w:tcPr>
                <w:p>
                  <w:pPr>
                    <w:jc w:val="center"/>
                    <w:rPr>
                      <w:rFonts w:hint="default" w:ascii="Times New Roman" w:hAnsi="Times New Roman" w:cs="Times New Roman" w:eastAsiaTheme="minorEastAsia"/>
                      <w:color w:val="auto"/>
                      <w:sz w:val="21"/>
                      <w:szCs w:val="21"/>
                      <w:u w:val="none"/>
                      <w:lang w:val="en-US" w:eastAsia="zh-CN"/>
                    </w:rPr>
                  </w:pPr>
                  <w:r>
                    <w:rPr>
                      <w:rFonts w:hint="eastAsia" w:cs="Times New Roman"/>
                      <w:color w:val="auto"/>
                      <w:sz w:val="21"/>
                      <w:szCs w:val="21"/>
                      <w:u w:val="none"/>
                      <w:lang w:val="en-US" w:eastAsia="zh-CN"/>
                    </w:rPr>
                    <w:t>4</w:t>
                  </w:r>
                </w:p>
              </w:tc>
              <w:tc>
                <w:tcPr>
                  <w:tcW w:w="133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single"/>
                      <w:lang w:val="en-US" w:eastAsia="zh-CN"/>
                    </w:rPr>
                    <w:t>47.33</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c>
                <w:tcPr>
                  <w:tcW w:w="157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single"/>
                      <w:lang w:val="en-US" w:eastAsia="zh-CN"/>
                    </w:rPr>
                    <w:t>51.33</w:t>
                  </w:r>
                </w:p>
              </w:tc>
              <w:tc>
                <w:tcPr>
                  <w:tcW w:w="1237" w:type="dxa"/>
                  <w:noWrap w:val="0"/>
                  <w:vAlign w:val="center"/>
                </w:tcPr>
                <w:p>
                  <w:pPr>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single"/>
                      <w:lang w:val="en-US" w:eastAsia="zh-CN"/>
                    </w:rPr>
                    <w:t>+47.33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hAnsi="宋体"/>
                      <w:color w:val="auto"/>
                      <w:kern w:val="0"/>
                      <w:sz w:val="21"/>
                      <w:szCs w:val="21"/>
                      <w:u w:val="none"/>
                      <w:vertAlign w:val="baseline"/>
                      <w:lang w:val="en-US" w:eastAsia="zh-CN"/>
                    </w:rPr>
                  </w:pPr>
                  <w:r>
                    <w:rPr>
                      <w:rFonts w:hint="eastAsia" w:hAnsi="宋体"/>
                      <w:color w:val="auto"/>
                      <w:kern w:val="0"/>
                      <w:sz w:val="21"/>
                      <w:szCs w:val="21"/>
                      <w:u w:val="none"/>
                      <w:vertAlign w:val="baseline"/>
                      <w:lang w:val="en-US" w:eastAsia="zh-CN"/>
                    </w:rPr>
                    <w:t>残次品</w:t>
                  </w:r>
                </w:p>
              </w:tc>
              <w:tc>
                <w:tcPr>
                  <w:tcW w:w="1364" w:type="dxa"/>
                  <w:noWrap w:val="0"/>
                  <w:vAlign w:val="center"/>
                </w:tcPr>
                <w:p>
                  <w:pPr>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w:t>
                  </w:r>
                </w:p>
              </w:tc>
              <w:tc>
                <w:tcPr>
                  <w:tcW w:w="133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60</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0</w:t>
                  </w:r>
                </w:p>
              </w:tc>
              <w:tc>
                <w:tcPr>
                  <w:tcW w:w="1571" w:type="dxa"/>
                  <w:noWrap w:val="0"/>
                  <w:vAlign w:val="center"/>
                </w:tcPr>
                <w:p>
                  <w:pPr>
                    <w:pStyle w:val="2"/>
                    <w:jc w:val="center"/>
                    <w:rPr>
                      <w:rFonts w:hint="eastAsia"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60</w:t>
                  </w:r>
                </w:p>
              </w:tc>
              <w:tc>
                <w:tcPr>
                  <w:tcW w:w="1237"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hAnsi="宋体"/>
                      <w:color w:val="auto"/>
                      <w:kern w:val="0"/>
                      <w:sz w:val="21"/>
                      <w:szCs w:val="21"/>
                      <w:u w:val="none"/>
                      <w:vertAlign w:val="baseline"/>
                      <w:lang w:val="en-US" w:eastAsia="zh-CN"/>
                    </w:rPr>
                  </w:pPr>
                  <w:r>
                    <w:rPr>
                      <w:rFonts w:hint="eastAsia" w:hAnsi="宋体"/>
                      <w:color w:val="auto"/>
                      <w:kern w:val="0"/>
                      <w:sz w:val="21"/>
                      <w:szCs w:val="21"/>
                      <w:u w:val="none"/>
                      <w:vertAlign w:val="baseline"/>
                      <w:lang w:val="en-US" w:eastAsia="zh-CN"/>
                    </w:rPr>
                    <w:t>回收粉尘</w:t>
                  </w:r>
                </w:p>
              </w:tc>
              <w:tc>
                <w:tcPr>
                  <w:tcW w:w="1364" w:type="dxa"/>
                  <w:noWrap w:val="0"/>
                  <w:vAlign w:val="center"/>
                </w:tcPr>
                <w:p>
                  <w:pPr>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w:t>
                  </w:r>
                </w:p>
              </w:tc>
              <w:tc>
                <w:tcPr>
                  <w:tcW w:w="133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3.5</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w:t>
                  </w:r>
                </w:p>
              </w:tc>
              <w:tc>
                <w:tcPr>
                  <w:tcW w:w="1571" w:type="dxa"/>
                  <w:noWrap w:val="0"/>
                  <w:vAlign w:val="center"/>
                </w:tcPr>
                <w:p>
                  <w:pPr>
                    <w:pStyle w:val="2"/>
                    <w:jc w:val="center"/>
                    <w:rPr>
                      <w:rFonts w:hint="default"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3.5</w:t>
                  </w:r>
                </w:p>
              </w:tc>
              <w:tc>
                <w:tcPr>
                  <w:tcW w:w="1237"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hAnsi="宋体"/>
                      <w:color w:val="auto"/>
                      <w:kern w:val="0"/>
                      <w:sz w:val="21"/>
                      <w:szCs w:val="21"/>
                      <w:u w:val="none"/>
                      <w:vertAlign w:val="baseline"/>
                      <w:lang w:val="en-US" w:eastAsia="zh-CN"/>
                    </w:rPr>
                  </w:pPr>
                  <w:r>
                    <w:rPr>
                      <w:rFonts w:hint="eastAsia" w:hAnsi="宋体"/>
                      <w:color w:val="auto"/>
                      <w:kern w:val="0"/>
                      <w:sz w:val="21"/>
                      <w:szCs w:val="21"/>
                      <w:u w:val="none"/>
                      <w:vertAlign w:val="baseline"/>
                      <w:lang w:val="en-US" w:eastAsia="zh-CN"/>
                    </w:rPr>
                    <w:t>烘干机炉渣</w:t>
                  </w:r>
                </w:p>
              </w:tc>
              <w:tc>
                <w:tcPr>
                  <w:tcW w:w="1364" w:type="dxa"/>
                  <w:noWrap w:val="0"/>
                  <w:vAlign w:val="center"/>
                </w:tcPr>
                <w:p>
                  <w:pPr>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w:t>
                  </w:r>
                </w:p>
              </w:tc>
              <w:tc>
                <w:tcPr>
                  <w:tcW w:w="133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3</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w:t>
                  </w:r>
                </w:p>
              </w:tc>
              <w:tc>
                <w:tcPr>
                  <w:tcW w:w="1571" w:type="dxa"/>
                  <w:noWrap w:val="0"/>
                  <w:vAlign w:val="center"/>
                </w:tcPr>
                <w:p>
                  <w:pPr>
                    <w:pStyle w:val="2"/>
                    <w:jc w:val="center"/>
                    <w:rPr>
                      <w:rFonts w:hint="eastAsia"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3</w:t>
                  </w:r>
                </w:p>
              </w:tc>
              <w:tc>
                <w:tcPr>
                  <w:tcW w:w="1237"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hAnsi="宋体"/>
                      <w:color w:val="auto"/>
                      <w:kern w:val="0"/>
                      <w:sz w:val="21"/>
                      <w:szCs w:val="21"/>
                      <w:u w:val="none"/>
                      <w:vertAlign w:val="baseline"/>
                      <w:lang w:val="en-US" w:eastAsia="zh-CN"/>
                    </w:rPr>
                  </w:pPr>
                  <w:r>
                    <w:rPr>
                      <w:rFonts w:hint="eastAsia" w:hAnsi="宋体"/>
                      <w:color w:val="auto"/>
                      <w:kern w:val="0"/>
                      <w:sz w:val="21"/>
                      <w:szCs w:val="21"/>
                      <w:u w:val="none"/>
                      <w:vertAlign w:val="baseline"/>
                      <w:lang w:val="en-US" w:eastAsia="zh-CN"/>
                    </w:rPr>
                    <w:t>包装废弃物</w:t>
                  </w:r>
                </w:p>
              </w:tc>
              <w:tc>
                <w:tcPr>
                  <w:tcW w:w="1364" w:type="dxa"/>
                  <w:noWrap w:val="0"/>
                  <w:vAlign w:val="center"/>
                </w:tcPr>
                <w:p>
                  <w:pPr>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w:t>
                  </w:r>
                </w:p>
              </w:tc>
              <w:tc>
                <w:tcPr>
                  <w:tcW w:w="133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color w:val="auto"/>
                      <w:sz w:val="21"/>
                      <w:szCs w:val="21"/>
                      <w:u w:val="none"/>
                      <w:lang w:val="en-US" w:eastAsia="zh-CN"/>
                    </w:rPr>
                  </w:pPr>
                  <w:r>
                    <w:rPr>
                      <w:rFonts w:hint="eastAsia"/>
                      <w:color w:val="auto"/>
                      <w:szCs w:val="21"/>
                      <w:u w:val="none"/>
                    </w:rPr>
                    <w:t>0.</w:t>
                  </w:r>
                  <w:r>
                    <w:rPr>
                      <w:rFonts w:hint="eastAsia"/>
                      <w:color w:val="auto"/>
                      <w:szCs w:val="21"/>
                      <w:u w:val="none"/>
                      <w:lang w:val="en-US" w:eastAsia="zh-CN"/>
                    </w:rPr>
                    <w:t>3</w:t>
                  </w:r>
                </w:p>
              </w:tc>
              <w:tc>
                <w:tcPr>
                  <w:tcW w:w="1320" w:type="dxa"/>
                  <w:noWrap w:val="0"/>
                  <w:vAlign w:val="center"/>
                </w:tcPr>
                <w:p>
                  <w:pPr>
                    <w:pStyle w:val="2"/>
                    <w:jc w:val="center"/>
                    <w:rPr>
                      <w:rFonts w:hint="default"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0</w:t>
                  </w:r>
                </w:p>
              </w:tc>
              <w:tc>
                <w:tcPr>
                  <w:tcW w:w="1571" w:type="dxa"/>
                  <w:noWrap w:val="0"/>
                  <w:vAlign w:val="center"/>
                </w:tcPr>
                <w:p>
                  <w:pPr>
                    <w:pStyle w:val="2"/>
                    <w:jc w:val="center"/>
                    <w:rPr>
                      <w:rFonts w:hint="eastAsia"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0.3</w:t>
                  </w:r>
                </w:p>
              </w:tc>
              <w:tc>
                <w:tcPr>
                  <w:tcW w:w="1237" w:type="dxa"/>
                  <w:noWrap w:val="0"/>
                  <w:vAlign w:val="center"/>
                </w:tcPr>
                <w:p>
                  <w:pPr>
                    <w:jc w:val="center"/>
                    <w:rPr>
                      <w:rFonts w:hint="default"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hAnsi="宋体"/>
                      <w:color w:val="auto"/>
                      <w:kern w:val="0"/>
                      <w:sz w:val="21"/>
                      <w:szCs w:val="21"/>
                      <w:u w:val="single"/>
                      <w:vertAlign w:val="baseline"/>
                      <w:lang w:val="en-US" w:eastAsia="zh-CN"/>
                    </w:rPr>
                  </w:pPr>
                  <w:r>
                    <w:rPr>
                      <w:rFonts w:hint="eastAsia" w:hAnsi="宋体"/>
                      <w:color w:val="auto"/>
                      <w:kern w:val="0"/>
                      <w:sz w:val="21"/>
                      <w:szCs w:val="21"/>
                      <w:u w:val="single"/>
                      <w:vertAlign w:val="baseline"/>
                      <w:lang w:val="en-US" w:eastAsia="zh-CN"/>
                    </w:rPr>
                    <w:t>木焦油、木醋液</w:t>
                  </w:r>
                </w:p>
              </w:tc>
              <w:tc>
                <w:tcPr>
                  <w:tcW w:w="1364" w:type="dxa"/>
                  <w:noWrap w:val="0"/>
                  <w:vAlign w:val="center"/>
                </w:tcPr>
                <w:p>
                  <w:pPr>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0</w:t>
                  </w:r>
                </w:p>
              </w:tc>
              <w:tc>
                <w:tcPr>
                  <w:tcW w:w="133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u w:val="single"/>
                      <w:lang w:val="en-US" w:eastAsia="zh-CN"/>
                    </w:rPr>
                  </w:pPr>
                  <w:r>
                    <w:rPr>
                      <w:rFonts w:hint="eastAsia" w:cs="Times New Roman"/>
                      <w:color w:val="auto"/>
                      <w:kern w:val="0"/>
                      <w:sz w:val="21"/>
                      <w:szCs w:val="21"/>
                      <w:u w:val="single"/>
                      <w:lang w:val="en-US" w:eastAsia="zh-CN"/>
                    </w:rPr>
                    <w:t>3000</w:t>
                  </w:r>
                </w:p>
              </w:tc>
              <w:tc>
                <w:tcPr>
                  <w:tcW w:w="1320" w:type="dxa"/>
                  <w:noWrap w:val="0"/>
                  <w:vAlign w:val="center"/>
                </w:tcPr>
                <w:p>
                  <w:pPr>
                    <w:pStyle w:val="2"/>
                    <w:jc w:val="center"/>
                    <w:rPr>
                      <w:rFonts w:hint="default"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w:t>
                  </w:r>
                </w:p>
              </w:tc>
              <w:tc>
                <w:tcPr>
                  <w:tcW w:w="157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eastAsiaTheme="minorEastAsia"/>
                      <w:b w:val="0"/>
                      <w:bCs/>
                      <w:color w:val="auto"/>
                      <w:sz w:val="21"/>
                      <w:szCs w:val="21"/>
                      <w:u w:val="single"/>
                      <w:lang w:val="en-US" w:eastAsia="zh-CN"/>
                    </w:rPr>
                  </w:pPr>
                  <w:r>
                    <w:rPr>
                      <w:rFonts w:hint="eastAsia" w:cs="Times New Roman"/>
                      <w:color w:val="auto"/>
                      <w:kern w:val="0"/>
                      <w:sz w:val="21"/>
                      <w:szCs w:val="21"/>
                      <w:u w:val="single"/>
                      <w:lang w:val="en-US" w:eastAsia="zh-CN"/>
                    </w:rPr>
                    <w:t>3000</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0"/>
                      <w:sz w:val="21"/>
                      <w:szCs w:val="21"/>
                      <w:u w:val="single"/>
                      <w:lang w:val="en-US" w:eastAsia="zh-CN"/>
                    </w:rPr>
                    <w:t>+</w:t>
                  </w:r>
                  <w:r>
                    <w:rPr>
                      <w:rFonts w:hint="eastAsia" w:cs="Times New Roman"/>
                      <w:color w:val="auto"/>
                      <w:kern w:val="0"/>
                      <w:sz w:val="21"/>
                      <w:szCs w:val="21"/>
                      <w:u w:val="singl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keepNext w:val="0"/>
                    <w:keepLines w:val="0"/>
                    <w:widowControl/>
                    <w:suppressLineNumbers w:val="0"/>
                    <w:jc w:val="center"/>
                    <w:textAlignment w:val="center"/>
                    <w:rPr>
                      <w:rFonts w:hint="eastAsia" w:hAnsi="宋体"/>
                      <w:color w:val="auto"/>
                      <w:kern w:val="0"/>
                      <w:sz w:val="21"/>
                      <w:szCs w:val="21"/>
                      <w:u w:val="single"/>
                      <w:vertAlign w:val="baseline"/>
                      <w:lang w:val="en-US" w:eastAsia="zh-CN"/>
                    </w:rPr>
                  </w:pPr>
                  <w:r>
                    <w:rPr>
                      <w:rFonts w:hint="eastAsia"/>
                      <w:color w:val="auto"/>
                      <w:szCs w:val="21"/>
                      <w:u w:val="single"/>
                    </w:rPr>
                    <w:t>废润滑油</w:t>
                  </w:r>
                </w:p>
              </w:tc>
              <w:tc>
                <w:tcPr>
                  <w:tcW w:w="1364" w:type="dxa"/>
                  <w:noWrap w:val="0"/>
                  <w:vAlign w:val="center"/>
                </w:tcPr>
                <w:p>
                  <w:pPr>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0</w:t>
                  </w:r>
                </w:p>
              </w:tc>
              <w:tc>
                <w:tcPr>
                  <w:tcW w:w="1336" w:type="dxa"/>
                  <w:noWrap w:val="0"/>
                  <w:vAlign w:val="center"/>
                </w:tcPr>
                <w:p>
                  <w:pPr>
                    <w:jc w:val="center"/>
                    <w:rPr>
                      <w:rFonts w:hint="default"/>
                      <w:color w:val="auto"/>
                      <w:szCs w:val="21"/>
                      <w:u w:val="single"/>
                      <w:lang w:val="en-US" w:eastAsia="zh-CN"/>
                    </w:rPr>
                  </w:pPr>
                  <w:r>
                    <w:rPr>
                      <w:rFonts w:hint="eastAsia" w:cs="Times New Roman"/>
                      <w:color w:val="auto"/>
                      <w:kern w:val="0"/>
                      <w:sz w:val="21"/>
                      <w:szCs w:val="21"/>
                      <w:u w:val="single"/>
                      <w:lang w:val="en-US" w:eastAsia="zh-CN"/>
                    </w:rPr>
                    <w:t>0.02</w:t>
                  </w:r>
                </w:p>
              </w:tc>
              <w:tc>
                <w:tcPr>
                  <w:tcW w:w="1320" w:type="dxa"/>
                  <w:noWrap w:val="0"/>
                  <w:vAlign w:val="center"/>
                </w:tcPr>
                <w:p>
                  <w:pPr>
                    <w:pStyle w:val="2"/>
                    <w:jc w:val="center"/>
                    <w:rPr>
                      <w:rFonts w:hint="default"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w:t>
                  </w:r>
                </w:p>
              </w:tc>
              <w:tc>
                <w:tcPr>
                  <w:tcW w:w="1571" w:type="dxa"/>
                  <w:noWrap w:val="0"/>
                  <w:vAlign w:val="center"/>
                </w:tcPr>
                <w:p>
                  <w:pPr>
                    <w:jc w:val="center"/>
                    <w:rPr>
                      <w:rFonts w:hint="eastAsia" w:cs="Times New Roman" w:eastAsiaTheme="minorEastAsia"/>
                      <w:b w:val="0"/>
                      <w:bCs/>
                      <w:color w:val="auto"/>
                      <w:sz w:val="21"/>
                      <w:szCs w:val="21"/>
                      <w:u w:val="single"/>
                      <w:lang w:val="en-US" w:eastAsia="zh-CN"/>
                    </w:rPr>
                  </w:pPr>
                  <w:r>
                    <w:rPr>
                      <w:rFonts w:hint="eastAsia" w:cs="Times New Roman"/>
                      <w:color w:val="auto"/>
                      <w:kern w:val="0"/>
                      <w:sz w:val="21"/>
                      <w:szCs w:val="21"/>
                      <w:u w:val="single"/>
                      <w:lang w:val="en-US" w:eastAsia="zh-CN"/>
                    </w:rPr>
                    <w:t>0.02</w:t>
                  </w:r>
                </w:p>
              </w:tc>
              <w:tc>
                <w:tcPr>
                  <w:tcW w:w="1237" w:type="dxa"/>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rFonts w:hint="eastAsia" w:cs="Times New Roman"/>
                      <w:color w:val="auto"/>
                      <w:kern w:val="0"/>
                      <w:sz w:val="21"/>
                      <w:szCs w:val="21"/>
                      <w:u w:val="singl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keepNext w:val="0"/>
                    <w:keepLines w:val="0"/>
                    <w:widowControl/>
                    <w:suppressLineNumbers w:val="0"/>
                    <w:jc w:val="center"/>
                    <w:textAlignment w:val="center"/>
                    <w:rPr>
                      <w:rFonts w:hint="eastAsia" w:hAnsi="宋体"/>
                      <w:color w:val="auto"/>
                      <w:kern w:val="0"/>
                      <w:sz w:val="21"/>
                      <w:szCs w:val="21"/>
                      <w:u w:val="single"/>
                      <w:vertAlign w:val="baseline"/>
                      <w:lang w:val="en-US" w:eastAsia="zh-CN"/>
                    </w:rPr>
                  </w:pPr>
                  <w:r>
                    <w:rPr>
                      <w:rFonts w:hint="eastAsia"/>
                      <w:color w:val="auto"/>
                      <w:szCs w:val="21"/>
                      <w:u w:val="single"/>
                    </w:rPr>
                    <w:t>含油废手套（抹布）</w:t>
                  </w:r>
                </w:p>
              </w:tc>
              <w:tc>
                <w:tcPr>
                  <w:tcW w:w="1364" w:type="dxa"/>
                  <w:noWrap w:val="0"/>
                  <w:vAlign w:val="center"/>
                </w:tcPr>
                <w:p>
                  <w:pPr>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0</w:t>
                  </w:r>
                </w:p>
              </w:tc>
              <w:tc>
                <w:tcPr>
                  <w:tcW w:w="1336" w:type="dxa"/>
                  <w:noWrap w:val="0"/>
                  <w:vAlign w:val="center"/>
                </w:tcPr>
                <w:p>
                  <w:pPr>
                    <w:jc w:val="center"/>
                    <w:rPr>
                      <w:rFonts w:hint="default"/>
                      <w:color w:val="auto"/>
                      <w:szCs w:val="21"/>
                      <w:u w:val="single"/>
                      <w:lang w:val="en-US" w:eastAsia="zh-CN"/>
                    </w:rPr>
                  </w:pPr>
                  <w:r>
                    <w:rPr>
                      <w:rFonts w:hint="eastAsia" w:cs="Times New Roman"/>
                      <w:color w:val="auto"/>
                      <w:kern w:val="0"/>
                      <w:sz w:val="21"/>
                      <w:szCs w:val="21"/>
                      <w:u w:val="single"/>
                      <w:lang w:val="en-US" w:eastAsia="zh-CN"/>
                    </w:rPr>
                    <w:t>0.01</w:t>
                  </w:r>
                </w:p>
              </w:tc>
              <w:tc>
                <w:tcPr>
                  <w:tcW w:w="1320" w:type="dxa"/>
                  <w:noWrap w:val="0"/>
                  <w:vAlign w:val="center"/>
                </w:tcPr>
                <w:p>
                  <w:pPr>
                    <w:pStyle w:val="2"/>
                    <w:jc w:val="center"/>
                    <w:rPr>
                      <w:rFonts w:hint="default"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w:t>
                  </w:r>
                </w:p>
              </w:tc>
              <w:tc>
                <w:tcPr>
                  <w:tcW w:w="1571" w:type="dxa"/>
                  <w:noWrap w:val="0"/>
                  <w:vAlign w:val="center"/>
                </w:tcPr>
                <w:p>
                  <w:pPr>
                    <w:jc w:val="center"/>
                    <w:rPr>
                      <w:rFonts w:hint="eastAsia" w:cs="Times New Roman" w:eastAsiaTheme="minorEastAsia"/>
                      <w:b w:val="0"/>
                      <w:bCs/>
                      <w:color w:val="auto"/>
                      <w:sz w:val="21"/>
                      <w:szCs w:val="21"/>
                      <w:u w:val="single"/>
                      <w:lang w:val="en-US" w:eastAsia="zh-CN"/>
                    </w:rPr>
                  </w:pPr>
                  <w:r>
                    <w:rPr>
                      <w:rFonts w:hint="eastAsia" w:cs="Times New Roman"/>
                      <w:color w:val="auto"/>
                      <w:kern w:val="0"/>
                      <w:sz w:val="21"/>
                      <w:szCs w:val="21"/>
                      <w:u w:val="single"/>
                      <w:lang w:val="en-US" w:eastAsia="zh-CN"/>
                    </w:rPr>
                    <w:t>0.01</w:t>
                  </w:r>
                </w:p>
              </w:tc>
              <w:tc>
                <w:tcPr>
                  <w:tcW w:w="1237" w:type="dxa"/>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rFonts w:hint="eastAsia" w:cs="Times New Roman"/>
                      <w:color w:val="auto"/>
                      <w:kern w:val="0"/>
                      <w:sz w:val="21"/>
                      <w:szCs w:val="21"/>
                      <w:u w:val="singl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99" w:type="dxa"/>
                  <w:vMerge w:val="restart"/>
                  <w:noWrap w:val="0"/>
                  <w:vAlign w:val="center"/>
                </w:tcPr>
                <w:p>
                  <w:pPr>
                    <w:pStyle w:val="2"/>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b w:val="0"/>
                      <w:bCs/>
                      <w:color w:val="auto"/>
                      <w:sz w:val="21"/>
                      <w:szCs w:val="21"/>
                      <w:u w:val="none"/>
                    </w:rPr>
                    <w:t>废气</w:t>
                  </w:r>
                </w:p>
              </w:tc>
              <w:tc>
                <w:tcPr>
                  <w:tcW w:w="1610" w:type="dxa"/>
                  <w:noWrap w:val="0"/>
                  <w:vAlign w:val="center"/>
                </w:tcPr>
                <w:p>
                  <w:pPr>
                    <w:pStyle w:val="2"/>
                    <w:jc w:val="center"/>
                    <w:rPr>
                      <w:rFonts w:hint="default" w:ascii="Times New Roman" w:hAnsi="Times New Roman" w:cs="Times New Roman" w:eastAsiaTheme="minorEastAsia"/>
                      <w:b w:val="0"/>
                      <w:bCs/>
                      <w:color w:val="auto"/>
                      <w:sz w:val="21"/>
                      <w:szCs w:val="21"/>
                      <w:u w:val="none"/>
                    </w:rPr>
                  </w:pPr>
                  <w:r>
                    <w:rPr>
                      <w:rFonts w:hint="default" w:ascii="Times New Roman" w:hAnsi="Times New Roman" w:cs="Times New Roman" w:eastAsiaTheme="minorEastAsia"/>
                      <w:color w:val="auto"/>
                      <w:sz w:val="21"/>
                      <w:szCs w:val="20"/>
                      <w:u w:val="none"/>
                      <w:lang w:eastAsia="zh-CN"/>
                    </w:rPr>
                    <w:t>无组织</w:t>
                  </w:r>
                  <w:r>
                    <w:rPr>
                      <w:rFonts w:hint="eastAsia" w:ascii="Times New Roman" w:hAnsi="Times New Roman" w:cs="Times New Roman" w:eastAsiaTheme="minorEastAsia"/>
                      <w:color w:val="auto"/>
                      <w:sz w:val="21"/>
                      <w:szCs w:val="20"/>
                      <w:u w:val="none"/>
                      <w:lang w:eastAsia="zh-CN"/>
                    </w:rPr>
                    <w:t>粉尘</w:t>
                  </w:r>
                </w:p>
              </w:tc>
              <w:tc>
                <w:tcPr>
                  <w:tcW w:w="1364"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single"/>
                      <w:lang w:val="en-US" w:eastAsia="zh-CN"/>
                    </w:rPr>
                    <w:t>0.05</w:t>
                  </w:r>
                </w:p>
              </w:tc>
              <w:tc>
                <w:tcPr>
                  <w:tcW w:w="1336"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bidi="ar-SA"/>
                    </w:rPr>
                  </w:pPr>
                  <w:r>
                    <w:rPr>
                      <w:rFonts w:hint="eastAsia" w:cs="Times New Roman" w:eastAsiaTheme="minorEastAsia"/>
                      <w:b w:val="0"/>
                      <w:bCs/>
                      <w:color w:val="auto"/>
                      <w:sz w:val="21"/>
                      <w:szCs w:val="21"/>
                      <w:u w:val="single"/>
                      <w:lang w:val="en-US" w:eastAsia="zh-CN"/>
                    </w:rPr>
                    <w:t>0.87</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bidi="ar-SA"/>
                    </w:rPr>
                  </w:pPr>
                  <w:r>
                    <w:rPr>
                      <w:rFonts w:hint="eastAsia" w:cs="Times New Roman" w:eastAsiaTheme="minorEastAsia"/>
                      <w:b w:val="0"/>
                      <w:bCs/>
                      <w:color w:val="auto"/>
                      <w:sz w:val="21"/>
                      <w:szCs w:val="21"/>
                      <w:u w:val="none"/>
                      <w:lang w:val="en-US" w:eastAsia="zh-CN"/>
                    </w:rPr>
                    <w:t>0</w:t>
                  </w:r>
                </w:p>
              </w:tc>
              <w:tc>
                <w:tcPr>
                  <w:tcW w:w="1571" w:type="dxa"/>
                  <w:noWrap w:val="0"/>
                  <w:vAlign w:val="center"/>
                </w:tcPr>
                <w:p>
                  <w:pPr>
                    <w:pStyle w:val="2"/>
                    <w:jc w:val="center"/>
                    <w:rPr>
                      <w:rFonts w:hint="default"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0.92</w:t>
                  </w:r>
                </w:p>
              </w:tc>
              <w:tc>
                <w:tcPr>
                  <w:tcW w:w="1237"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jc w:val="center"/>
                    <w:rPr>
                      <w:rFonts w:hint="default" w:ascii="Times New Roman" w:hAnsi="Times New Roman" w:cs="Times New Roman" w:eastAsiaTheme="minorEastAsia"/>
                      <w:color w:val="auto"/>
                      <w:sz w:val="21"/>
                      <w:szCs w:val="20"/>
                      <w:u w:val="none"/>
                      <w:lang w:eastAsia="zh-CN"/>
                    </w:rPr>
                  </w:pPr>
                  <w:r>
                    <w:rPr>
                      <w:rFonts w:hint="default" w:ascii="Times New Roman" w:hAnsi="Times New Roman" w:cs="Times New Roman" w:eastAsiaTheme="minorEastAsia"/>
                      <w:color w:val="auto"/>
                      <w:sz w:val="21"/>
                      <w:szCs w:val="20"/>
                      <w:u w:val="none"/>
                      <w:lang w:eastAsia="zh-CN"/>
                    </w:rPr>
                    <w:t>无组织</w:t>
                  </w:r>
                  <w:r>
                    <w:rPr>
                      <w:rFonts w:hint="eastAsia" w:cs="Times New Roman" w:eastAsiaTheme="minorEastAsia"/>
                      <w:color w:val="auto"/>
                      <w:sz w:val="21"/>
                      <w:szCs w:val="20"/>
                      <w:u w:val="none"/>
                      <w:lang w:val="en-US" w:eastAsia="zh-CN"/>
                    </w:rPr>
                    <w:t>VOCs</w:t>
                  </w:r>
                </w:p>
              </w:tc>
              <w:tc>
                <w:tcPr>
                  <w:tcW w:w="1364" w:type="dxa"/>
                  <w:noWrap w:val="0"/>
                  <w:vAlign w:val="center"/>
                </w:tcPr>
                <w:p>
                  <w:pPr>
                    <w:pStyle w:val="2"/>
                    <w:jc w:val="center"/>
                    <w:rPr>
                      <w:rFonts w:hint="default" w:ascii="Times New Roman" w:hAnsi="Times New Roman" w:eastAsia="宋体" w:cs="Times New Roman"/>
                      <w:color w:val="auto"/>
                      <w:sz w:val="21"/>
                      <w:szCs w:val="20"/>
                      <w:u w:val="single"/>
                      <w:lang w:val="en-US" w:eastAsia="zh-CN"/>
                    </w:rPr>
                  </w:pPr>
                  <w:r>
                    <w:rPr>
                      <w:rFonts w:hint="eastAsia" w:cs="Times New Roman"/>
                      <w:color w:val="auto"/>
                      <w:sz w:val="21"/>
                      <w:szCs w:val="21"/>
                      <w:u w:val="single"/>
                      <w:lang w:val="en-US" w:eastAsia="zh-CN"/>
                    </w:rPr>
                    <w:t>0.2</w:t>
                  </w:r>
                </w:p>
              </w:tc>
              <w:tc>
                <w:tcPr>
                  <w:tcW w:w="1336"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w:t>
                  </w:r>
                </w:p>
              </w:tc>
              <w:tc>
                <w:tcPr>
                  <w:tcW w:w="1571" w:type="dxa"/>
                  <w:noWrap w:val="0"/>
                  <w:vAlign w:val="center"/>
                </w:tcPr>
                <w:p>
                  <w:pPr>
                    <w:pStyle w:val="2"/>
                    <w:ind w:firstLine="0" w:firstLineChars="0"/>
                    <w:jc w:val="center"/>
                    <w:rPr>
                      <w:rFonts w:hint="default"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0.2</w:t>
                  </w:r>
                </w:p>
              </w:tc>
              <w:tc>
                <w:tcPr>
                  <w:tcW w:w="1237" w:type="dxa"/>
                  <w:noWrap w:val="0"/>
                  <w:vAlign w:val="center"/>
                </w:tcPr>
                <w:p>
                  <w:pPr>
                    <w:pStyle w:val="2"/>
                    <w:ind w:firstLine="0" w:firstLineChars="0"/>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jc w:val="center"/>
                    <w:rPr>
                      <w:rFonts w:hint="default" w:ascii="Times New Roman" w:hAnsi="Times New Roman" w:cs="Times New Roman" w:eastAsiaTheme="minorEastAsia"/>
                      <w:color w:val="auto"/>
                      <w:sz w:val="21"/>
                      <w:szCs w:val="20"/>
                      <w:u w:val="none"/>
                      <w:lang w:val="en-US" w:eastAsia="zh-CN"/>
                    </w:rPr>
                  </w:pPr>
                  <w:r>
                    <w:rPr>
                      <w:rFonts w:hint="eastAsia" w:cs="Times New Roman" w:eastAsiaTheme="minorEastAsia"/>
                      <w:color w:val="auto"/>
                      <w:sz w:val="21"/>
                      <w:szCs w:val="20"/>
                      <w:u w:val="none"/>
                      <w:lang w:val="en-US" w:eastAsia="zh-CN"/>
                    </w:rPr>
                    <w:t>有组织粉尘</w:t>
                  </w:r>
                </w:p>
              </w:tc>
              <w:tc>
                <w:tcPr>
                  <w:tcW w:w="1364" w:type="dxa"/>
                  <w:noWrap w:val="0"/>
                  <w:vAlign w:val="center"/>
                </w:tcPr>
                <w:p>
                  <w:pPr>
                    <w:pStyle w:val="2"/>
                    <w:jc w:val="center"/>
                    <w:rPr>
                      <w:rFonts w:hint="default"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0.02</w:t>
                  </w:r>
                </w:p>
              </w:tc>
              <w:tc>
                <w:tcPr>
                  <w:tcW w:w="1336"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0.18</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c>
                <w:tcPr>
                  <w:tcW w:w="1571"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0.20</w:t>
                  </w:r>
                </w:p>
              </w:tc>
              <w:tc>
                <w:tcPr>
                  <w:tcW w:w="1237" w:type="dxa"/>
                  <w:noWrap w:val="0"/>
                  <w:vAlign w:val="center"/>
                </w:tcPr>
                <w:p>
                  <w:pPr>
                    <w:pStyle w:val="2"/>
                    <w:ind w:firstLine="0" w:firstLineChars="0"/>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+0.269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jc w:val="center"/>
                    <w:rPr>
                      <w:rFonts w:hint="default" w:ascii="Times New Roman" w:hAnsi="Times New Roman" w:cs="Times New Roman" w:eastAsiaTheme="minorEastAsia"/>
                      <w:color w:val="auto"/>
                      <w:sz w:val="21"/>
                      <w:szCs w:val="20"/>
                      <w:u w:val="none"/>
                      <w:lang w:val="en-US" w:eastAsia="zh-CN"/>
                    </w:rPr>
                  </w:pPr>
                  <w:r>
                    <w:rPr>
                      <w:rFonts w:hint="eastAsia" w:cs="Times New Roman" w:eastAsiaTheme="minorEastAsia"/>
                      <w:color w:val="auto"/>
                      <w:sz w:val="21"/>
                      <w:szCs w:val="20"/>
                      <w:u w:val="none"/>
                      <w:lang w:eastAsia="zh-CN"/>
                    </w:rPr>
                    <w:t>有组织</w:t>
                  </w:r>
                  <w:r>
                    <w:rPr>
                      <w:rFonts w:hint="eastAsia" w:cs="Times New Roman" w:eastAsiaTheme="minorEastAsia"/>
                      <w:color w:val="auto"/>
                      <w:sz w:val="21"/>
                      <w:szCs w:val="20"/>
                      <w:u w:val="none"/>
                      <w:lang w:val="en-US" w:eastAsia="zh-CN"/>
                    </w:rPr>
                    <w:t>SO</w:t>
                  </w:r>
                  <w:r>
                    <w:rPr>
                      <w:rFonts w:hint="eastAsia" w:cs="Times New Roman" w:eastAsiaTheme="minorEastAsia"/>
                      <w:color w:val="auto"/>
                      <w:sz w:val="21"/>
                      <w:szCs w:val="20"/>
                      <w:u w:val="none"/>
                      <w:vertAlign w:val="subscript"/>
                      <w:lang w:val="en-US" w:eastAsia="zh-CN"/>
                    </w:rPr>
                    <w:t>2</w:t>
                  </w:r>
                </w:p>
              </w:tc>
              <w:tc>
                <w:tcPr>
                  <w:tcW w:w="1364"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bidi="ar-SA"/>
                    </w:rPr>
                  </w:pPr>
                  <w:r>
                    <w:rPr>
                      <w:rFonts w:hint="eastAsia" w:cs="Times New Roman" w:eastAsiaTheme="minorEastAsia"/>
                      <w:b w:val="0"/>
                      <w:bCs/>
                      <w:color w:val="auto"/>
                      <w:sz w:val="21"/>
                      <w:szCs w:val="21"/>
                      <w:u w:val="single"/>
                      <w:lang w:val="en-US" w:eastAsia="zh-CN" w:bidi="ar-SA"/>
                    </w:rPr>
                    <w:t>0.42</w:t>
                  </w:r>
                </w:p>
              </w:tc>
              <w:tc>
                <w:tcPr>
                  <w:tcW w:w="1336" w:type="dxa"/>
                  <w:noWrap w:val="0"/>
                  <w:vAlign w:val="center"/>
                </w:tcPr>
                <w:p>
                  <w:pPr>
                    <w:pStyle w:val="2"/>
                    <w:ind w:firstLine="0" w:firstLineChars="0"/>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1.24</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c>
                <w:tcPr>
                  <w:tcW w:w="1571"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1.66</w:t>
                  </w:r>
                </w:p>
              </w:tc>
              <w:tc>
                <w:tcPr>
                  <w:tcW w:w="1237" w:type="dxa"/>
                  <w:noWrap w:val="0"/>
                  <w:vAlign w:val="center"/>
                </w:tcPr>
                <w:p>
                  <w:pPr>
                    <w:pStyle w:val="2"/>
                    <w:ind w:firstLine="0" w:firstLineChars="0"/>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jc w:val="center"/>
                    <w:rPr>
                      <w:rFonts w:hint="default" w:ascii="Times New Roman" w:hAnsi="Times New Roman" w:cs="Times New Roman" w:eastAsiaTheme="minorEastAsia"/>
                      <w:color w:val="auto"/>
                      <w:sz w:val="21"/>
                      <w:szCs w:val="20"/>
                      <w:u w:val="none"/>
                      <w:lang w:val="en-US" w:eastAsia="zh-CN"/>
                    </w:rPr>
                  </w:pPr>
                  <w:r>
                    <w:rPr>
                      <w:rFonts w:hint="eastAsia" w:cs="Times New Roman" w:eastAsiaTheme="minorEastAsia"/>
                      <w:color w:val="auto"/>
                      <w:sz w:val="21"/>
                      <w:szCs w:val="20"/>
                      <w:u w:val="none"/>
                      <w:lang w:val="en-US" w:eastAsia="zh-CN"/>
                    </w:rPr>
                    <w:t>有组织NO</w:t>
                  </w:r>
                  <w:r>
                    <w:rPr>
                      <w:rFonts w:hint="eastAsia" w:cs="Times New Roman" w:eastAsiaTheme="minorEastAsia"/>
                      <w:color w:val="auto"/>
                      <w:sz w:val="21"/>
                      <w:szCs w:val="20"/>
                      <w:u w:val="none"/>
                      <w:vertAlign w:val="subscript"/>
                      <w:lang w:val="en-US" w:eastAsia="zh-CN"/>
                    </w:rPr>
                    <w:t>X</w:t>
                  </w:r>
                </w:p>
              </w:tc>
              <w:tc>
                <w:tcPr>
                  <w:tcW w:w="1364" w:type="dxa"/>
                  <w:noWrap w:val="0"/>
                  <w:vAlign w:val="center"/>
                </w:tcPr>
                <w:p>
                  <w:pPr>
                    <w:pStyle w:val="2"/>
                    <w:jc w:val="center"/>
                    <w:rPr>
                      <w:rFonts w:hint="default" w:ascii="Times New Roman" w:hAnsi="Times New Roman" w:cs="Times New Roman" w:eastAsiaTheme="minorEastAsia"/>
                      <w:b w:val="0"/>
                      <w:bCs/>
                      <w:color w:val="auto"/>
                      <w:sz w:val="21"/>
                      <w:szCs w:val="21"/>
                      <w:u w:val="single"/>
                      <w:lang w:val="en-US" w:eastAsia="zh-CN" w:bidi="ar-SA"/>
                    </w:rPr>
                  </w:pPr>
                  <w:r>
                    <w:rPr>
                      <w:rFonts w:hint="eastAsia" w:cs="Times New Roman" w:eastAsiaTheme="minorEastAsia"/>
                      <w:b w:val="0"/>
                      <w:bCs/>
                      <w:color w:val="auto"/>
                      <w:sz w:val="21"/>
                      <w:szCs w:val="21"/>
                      <w:u w:val="single"/>
                      <w:lang w:val="en-US" w:eastAsia="zh-CN" w:bidi="ar-SA"/>
                    </w:rPr>
                    <w:t>0.85</w:t>
                  </w:r>
                </w:p>
              </w:tc>
              <w:tc>
                <w:tcPr>
                  <w:tcW w:w="1336" w:type="dxa"/>
                  <w:noWrap w:val="0"/>
                  <w:vAlign w:val="center"/>
                </w:tcPr>
                <w:p>
                  <w:pPr>
                    <w:pStyle w:val="2"/>
                    <w:ind w:firstLine="0" w:firstLineChars="0"/>
                    <w:jc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2.04</w:t>
                  </w:r>
                </w:p>
              </w:tc>
              <w:tc>
                <w:tcPr>
                  <w:tcW w:w="1320" w:type="dxa"/>
                  <w:noWrap w:val="0"/>
                  <w:vAlign w:val="center"/>
                </w:tcPr>
                <w:p>
                  <w:pPr>
                    <w:pStyle w:val="2"/>
                    <w:jc w:val="center"/>
                    <w:rPr>
                      <w:rFonts w:hint="default" w:ascii="Times New Roman" w:hAnsi="Times New Roman" w:cs="Times New Roman" w:eastAsiaTheme="minorEastAsia"/>
                      <w:b w:val="0"/>
                      <w:bCs/>
                      <w:color w:val="auto"/>
                      <w:sz w:val="21"/>
                      <w:szCs w:val="21"/>
                      <w:u w:val="none"/>
                      <w:lang w:val="en-US" w:eastAsia="zh-CN"/>
                    </w:rPr>
                  </w:pPr>
                  <w:r>
                    <w:rPr>
                      <w:rFonts w:hint="eastAsia" w:ascii="Times New Roman" w:hAnsi="Times New Roman" w:cs="Times New Roman" w:eastAsiaTheme="minorEastAsia"/>
                      <w:b w:val="0"/>
                      <w:bCs/>
                      <w:color w:val="auto"/>
                      <w:sz w:val="21"/>
                      <w:szCs w:val="21"/>
                      <w:u w:val="none"/>
                      <w:lang w:val="en-US" w:eastAsia="zh-CN"/>
                    </w:rPr>
                    <w:t>0</w:t>
                  </w:r>
                </w:p>
              </w:tc>
              <w:tc>
                <w:tcPr>
                  <w:tcW w:w="1571"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color w:val="auto"/>
                      <w:sz w:val="21"/>
                      <w:szCs w:val="21"/>
                      <w:u w:val="single"/>
                      <w:lang w:val="en-US" w:eastAsia="zh-CN"/>
                    </w:rPr>
                  </w:pPr>
                  <w:r>
                    <w:rPr>
                      <w:rFonts w:hint="eastAsia" w:cs="Times New Roman" w:eastAsiaTheme="minorEastAsia"/>
                      <w:b w:val="0"/>
                      <w:bCs/>
                      <w:color w:val="auto"/>
                      <w:sz w:val="21"/>
                      <w:szCs w:val="21"/>
                      <w:u w:val="single"/>
                      <w:lang w:val="en-US" w:eastAsia="zh-CN"/>
                    </w:rPr>
                    <w:t>2.89</w:t>
                  </w:r>
                </w:p>
              </w:tc>
              <w:tc>
                <w:tcPr>
                  <w:tcW w:w="1237" w:type="dxa"/>
                  <w:noWrap w:val="0"/>
                  <w:vAlign w:val="center"/>
                </w:tcPr>
                <w:p>
                  <w:pPr>
                    <w:pStyle w:val="2"/>
                    <w:ind w:firstLine="0" w:firstLineChars="0"/>
                    <w:jc w:val="center"/>
                    <w:rPr>
                      <w:rFonts w:hint="default" w:ascii="Times New Roman" w:hAnsi="Times New Roman"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99" w:type="dxa"/>
                  <w:vMerge w:val="continue"/>
                  <w:noWrap w:val="0"/>
                  <w:vAlign w:val="center"/>
                </w:tcPr>
                <w:p>
                  <w:pPr>
                    <w:pStyle w:val="2"/>
                    <w:jc w:val="center"/>
                    <w:rPr>
                      <w:rFonts w:hint="default" w:ascii="Times New Roman" w:hAnsi="Times New Roman" w:cs="Times New Roman" w:eastAsiaTheme="minorEastAsia"/>
                      <w:b w:val="0"/>
                      <w:bCs/>
                      <w:color w:val="auto"/>
                      <w:sz w:val="21"/>
                      <w:szCs w:val="21"/>
                      <w:u w:val="none"/>
                    </w:rPr>
                  </w:pPr>
                </w:p>
              </w:tc>
              <w:tc>
                <w:tcPr>
                  <w:tcW w:w="1610" w:type="dxa"/>
                  <w:noWrap w:val="0"/>
                  <w:vAlign w:val="center"/>
                </w:tcPr>
                <w:p>
                  <w:pPr>
                    <w:pStyle w:val="2"/>
                    <w:jc w:val="center"/>
                    <w:rPr>
                      <w:rFonts w:hint="eastAsia" w:cs="Times New Roman" w:eastAsiaTheme="minorEastAsia"/>
                      <w:color w:val="auto"/>
                      <w:sz w:val="21"/>
                      <w:szCs w:val="20"/>
                      <w:u w:val="none"/>
                      <w:lang w:val="en-US" w:eastAsia="zh-CN"/>
                    </w:rPr>
                  </w:pPr>
                  <w:r>
                    <w:rPr>
                      <w:rFonts w:hint="eastAsia" w:cs="Times New Roman" w:eastAsiaTheme="minorEastAsia"/>
                      <w:color w:val="auto"/>
                      <w:sz w:val="21"/>
                      <w:szCs w:val="20"/>
                      <w:u w:val="none"/>
                      <w:lang w:val="en-US" w:eastAsia="zh-CN"/>
                    </w:rPr>
                    <w:t>油烟废气</w:t>
                  </w:r>
                </w:p>
              </w:tc>
              <w:tc>
                <w:tcPr>
                  <w:tcW w:w="1364" w:type="dxa"/>
                  <w:noWrap w:val="0"/>
                  <w:vAlign w:val="center"/>
                </w:tcPr>
                <w:p>
                  <w:pPr>
                    <w:pStyle w:val="2"/>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0.003</w:t>
                  </w:r>
                </w:p>
              </w:tc>
              <w:tc>
                <w:tcPr>
                  <w:tcW w:w="1336" w:type="dxa"/>
                  <w:noWrap w:val="0"/>
                  <w:vAlign w:val="center"/>
                </w:tcPr>
                <w:p>
                  <w:pPr>
                    <w:pStyle w:val="2"/>
                    <w:jc w:val="center"/>
                    <w:rPr>
                      <w:rFonts w:hint="default"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0</w:t>
                  </w:r>
                </w:p>
              </w:tc>
              <w:tc>
                <w:tcPr>
                  <w:tcW w:w="1320" w:type="dxa"/>
                  <w:noWrap w:val="0"/>
                  <w:vAlign w:val="center"/>
                </w:tcPr>
                <w:p>
                  <w:pPr>
                    <w:pStyle w:val="2"/>
                    <w:jc w:val="center"/>
                    <w:rPr>
                      <w:rFonts w:hint="default"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0</w:t>
                  </w:r>
                </w:p>
              </w:tc>
              <w:tc>
                <w:tcPr>
                  <w:tcW w:w="1571" w:type="dxa"/>
                  <w:noWrap w:val="0"/>
                  <w:vAlign w:val="center"/>
                </w:tcPr>
                <w:p>
                  <w:pPr>
                    <w:pStyle w:val="2"/>
                    <w:ind w:firstLine="0" w:firstLineChars="0"/>
                    <w:jc w:val="center"/>
                    <w:rPr>
                      <w:rFonts w:hint="eastAsia"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single"/>
                      <w:lang w:val="en-US" w:eastAsia="zh-CN"/>
                    </w:rPr>
                    <w:t>0.003</w:t>
                  </w:r>
                </w:p>
              </w:tc>
              <w:tc>
                <w:tcPr>
                  <w:tcW w:w="1237" w:type="dxa"/>
                  <w:noWrap w:val="0"/>
                  <w:vAlign w:val="center"/>
                </w:tcPr>
                <w:p>
                  <w:pPr>
                    <w:pStyle w:val="2"/>
                    <w:ind w:firstLine="0" w:firstLineChars="0"/>
                    <w:jc w:val="center"/>
                    <w:rPr>
                      <w:rFonts w:hint="eastAsia"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037" w:type="dxa"/>
                  <w:gridSpan w:val="7"/>
                  <w:noWrap w:val="0"/>
                  <w:vAlign w:val="center"/>
                </w:tcPr>
                <w:p>
                  <w:pPr>
                    <w:pStyle w:val="2"/>
                    <w:ind w:firstLine="0" w:firstLineChars="0"/>
                    <w:jc w:val="left"/>
                    <w:rPr>
                      <w:rFonts w:hint="eastAsia" w:cs="Times New Roman" w:eastAsiaTheme="minorEastAsia"/>
                      <w:b w:val="0"/>
                      <w:bCs/>
                      <w:color w:val="auto"/>
                      <w:sz w:val="21"/>
                      <w:szCs w:val="21"/>
                      <w:u w:val="none"/>
                      <w:lang w:val="en-US" w:eastAsia="zh-CN"/>
                    </w:rPr>
                  </w:pPr>
                  <w:r>
                    <w:rPr>
                      <w:rFonts w:hint="eastAsia" w:cs="Times New Roman" w:eastAsiaTheme="minorEastAsia"/>
                      <w:b w:val="0"/>
                      <w:bCs/>
                      <w:color w:val="auto"/>
                      <w:sz w:val="21"/>
                      <w:szCs w:val="21"/>
                      <w:u w:val="none"/>
                      <w:lang w:val="en-US" w:eastAsia="zh-CN"/>
                    </w:rPr>
                    <w:t>注：为更直观对比废水、固体废物产生情况，表中废水、固废均为产生量，外排量均为0。</w:t>
                  </w:r>
                </w:p>
              </w:tc>
            </w:tr>
          </w:tbl>
          <w:p>
            <w:pPr>
              <w:pStyle w:val="2"/>
              <w:widowControl w:val="0"/>
              <w:numPr>
                <w:ilvl w:val="0"/>
                <w:numId w:val="0"/>
              </w:numPr>
              <w:autoSpaceDE w:val="0"/>
              <w:autoSpaceDN w:val="0"/>
              <w:adjustRightInd/>
              <w:spacing w:line="360" w:lineRule="auto"/>
              <w:rPr>
                <w:rFonts w:hint="eastAsia" w:hAnsi="宋体"/>
                <w:b/>
                <w:bCs/>
                <w:color w:val="auto"/>
                <w:sz w:val="24"/>
                <w:szCs w:val="24"/>
                <w:lang w:val="en-US" w:eastAsia="zh-CN"/>
              </w:rPr>
            </w:pPr>
          </w:p>
          <w:p>
            <w:pPr>
              <w:pStyle w:val="2"/>
              <w:widowControl w:val="0"/>
              <w:numPr>
                <w:ilvl w:val="0"/>
                <w:numId w:val="0"/>
              </w:numPr>
              <w:autoSpaceDE w:val="0"/>
              <w:autoSpaceDN w:val="0"/>
              <w:adjustRightInd/>
              <w:spacing w:line="360" w:lineRule="auto"/>
              <w:ind w:firstLine="482" w:firstLineChars="200"/>
              <w:rPr>
                <w:rFonts w:hint="default" w:hAnsi="宋体"/>
                <w:b/>
                <w:bCs/>
                <w:color w:val="auto"/>
                <w:sz w:val="24"/>
                <w:szCs w:val="24"/>
                <w:lang w:val="en-US" w:eastAsia="zh-CN"/>
              </w:rPr>
            </w:pPr>
            <w:r>
              <w:rPr>
                <w:rFonts w:hint="eastAsia" w:hAnsi="宋体"/>
                <w:b/>
                <w:bCs/>
                <w:color w:val="auto"/>
                <w:sz w:val="24"/>
                <w:szCs w:val="24"/>
                <w:lang w:val="en-US" w:eastAsia="zh-CN"/>
              </w:rPr>
              <w:t>2、区域污染源调查</w:t>
            </w:r>
          </w:p>
          <w:p>
            <w:pPr>
              <w:pStyle w:val="2"/>
              <w:adjustRightInd/>
              <w:spacing w:line="360" w:lineRule="auto"/>
              <w:ind w:firstLine="480" w:firstLineChars="200"/>
              <w:rPr>
                <w:rFonts w:hAnsi="宋体"/>
                <w:color w:val="auto"/>
              </w:rPr>
            </w:pPr>
            <w:r>
              <w:rPr>
                <w:rFonts w:hint="eastAsia" w:hAnsi="宋体"/>
                <w:color w:val="auto"/>
              </w:rPr>
              <w:t>本项目属于</w:t>
            </w:r>
            <w:r>
              <w:rPr>
                <w:rFonts w:hint="eastAsia" w:hAnsi="宋体"/>
                <w:color w:val="auto"/>
                <w:lang w:eastAsia="zh-CN"/>
              </w:rPr>
              <w:t>改扩建</w:t>
            </w:r>
            <w:r>
              <w:rPr>
                <w:rFonts w:hint="eastAsia" w:hAnsi="宋体"/>
                <w:color w:val="auto"/>
              </w:rPr>
              <w:t>项目，</w:t>
            </w:r>
            <w:r>
              <w:rPr>
                <w:rFonts w:hint="eastAsia" w:ascii="Times New Roman" w:hAnsi="宋体" w:eastAsia="宋体" w:cs="Times New Roman"/>
                <w:color w:val="auto"/>
                <w:kern w:val="2"/>
              </w:rPr>
              <w:t>本项目位于</w:t>
            </w:r>
            <w:r>
              <w:rPr>
                <w:rFonts w:hint="eastAsia" w:asciiTheme="minorEastAsia" w:hAnsiTheme="minorEastAsia" w:eastAsiaTheme="minorEastAsia" w:cstheme="minorEastAsia"/>
                <w:b w:val="0"/>
                <w:bCs/>
                <w:color w:val="auto"/>
                <w:sz w:val="24"/>
                <w:szCs w:val="24"/>
                <w:u w:val="single"/>
              </w:rPr>
              <w:t>湖南省</w:t>
            </w:r>
            <w:r>
              <w:rPr>
                <w:rFonts w:hint="eastAsia" w:asciiTheme="minorEastAsia" w:hAnsiTheme="minorEastAsia" w:eastAsiaTheme="minorEastAsia" w:cstheme="minorEastAsia"/>
                <w:b w:val="0"/>
                <w:bCs/>
                <w:color w:val="auto"/>
                <w:sz w:val="24"/>
                <w:szCs w:val="24"/>
                <w:u w:val="single"/>
                <w:lang w:val="en-US" w:eastAsia="zh-CN"/>
              </w:rPr>
              <w:t>怀化市</w:t>
            </w:r>
            <w:r>
              <w:rPr>
                <w:rFonts w:hint="eastAsia" w:asciiTheme="minorEastAsia" w:hAnsiTheme="minorEastAsia" w:eastAsiaTheme="minorEastAsia" w:cstheme="minorEastAsia"/>
                <w:b w:val="0"/>
                <w:bCs/>
                <w:color w:val="auto"/>
                <w:sz w:val="24"/>
                <w:szCs w:val="24"/>
                <w:u w:val="single"/>
              </w:rPr>
              <w:t>洪江区长寨英明山</w:t>
            </w:r>
            <w:r>
              <w:rPr>
                <w:rFonts w:hint="eastAsia" w:ascii="Times New Roman" w:hAnsi="宋体" w:eastAsia="宋体" w:cs="Times New Roman"/>
                <w:color w:val="auto"/>
                <w:kern w:val="2"/>
              </w:rPr>
              <w:t>，</w:t>
            </w:r>
            <w:r>
              <w:rPr>
                <w:rFonts w:hint="eastAsia" w:hAnsiTheme="minorEastAsia" w:eastAsiaTheme="minorEastAsia"/>
                <w:color w:val="auto"/>
                <w:kern w:val="0"/>
                <w:sz w:val="24"/>
                <w:szCs w:val="20"/>
                <w:lang w:eastAsia="zh-CN"/>
              </w:rPr>
              <w:t>本项目场地东侧为场地入口，北侧、西侧为山地，南侧为山和其他厂房。</w:t>
            </w:r>
            <w:r>
              <w:rPr>
                <w:rFonts w:hint="eastAsia"/>
                <w:color w:val="auto"/>
              </w:rPr>
              <w:t>项目地</w:t>
            </w:r>
            <w:r>
              <w:rPr>
                <w:rFonts w:hint="eastAsia"/>
                <w:color w:val="auto"/>
                <w:lang w:eastAsia="zh-CN"/>
              </w:rPr>
              <w:t>西南</w:t>
            </w:r>
            <w:r>
              <w:rPr>
                <w:rFonts w:hint="eastAsia"/>
                <w:color w:val="auto"/>
              </w:rPr>
              <w:t>侧最近点居民距离约</w:t>
            </w:r>
            <w:r>
              <w:rPr>
                <w:rFonts w:hint="eastAsia"/>
                <w:color w:val="auto"/>
                <w:lang w:val="en-US" w:eastAsia="zh-CN"/>
              </w:rPr>
              <w:t>143</w:t>
            </w:r>
            <w:r>
              <w:rPr>
                <w:rFonts w:hint="eastAsia"/>
                <w:color w:val="auto"/>
              </w:rPr>
              <w:t>m；</w:t>
            </w:r>
            <w:r>
              <w:rPr>
                <w:rFonts w:hint="eastAsia"/>
                <w:color w:val="auto"/>
                <w:lang w:eastAsia="zh-CN"/>
              </w:rPr>
              <w:t>北</w:t>
            </w:r>
            <w:r>
              <w:rPr>
                <w:rFonts w:hint="eastAsia"/>
                <w:color w:val="auto"/>
              </w:rPr>
              <w:t>侧最近点居民距离约为</w:t>
            </w:r>
            <w:r>
              <w:rPr>
                <w:rFonts w:hint="eastAsia"/>
                <w:color w:val="auto"/>
                <w:lang w:val="en-US" w:eastAsia="zh-CN"/>
              </w:rPr>
              <w:t>1</w:t>
            </w:r>
            <w:r>
              <w:rPr>
                <w:rFonts w:hint="eastAsia"/>
                <w:color w:val="auto"/>
              </w:rPr>
              <w:t>25m，</w:t>
            </w:r>
            <w:r>
              <w:rPr>
                <w:rFonts w:hint="eastAsia"/>
                <w:color w:val="auto"/>
                <w:lang w:eastAsia="zh-CN"/>
              </w:rPr>
              <w:t>东</w:t>
            </w:r>
            <w:r>
              <w:rPr>
                <w:rFonts w:hint="eastAsia"/>
                <w:color w:val="auto"/>
              </w:rPr>
              <w:t>侧最近点居民距离约为</w:t>
            </w:r>
            <w:r>
              <w:rPr>
                <w:rFonts w:hint="eastAsia"/>
                <w:color w:val="auto"/>
                <w:lang w:val="en-US" w:eastAsia="zh-CN"/>
              </w:rPr>
              <w:t>221</w:t>
            </w:r>
            <w:r>
              <w:rPr>
                <w:rFonts w:hint="eastAsia"/>
                <w:color w:val="auto"/>
              </w:rPr>
              <w:t>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27"/>
                <w:rFonts w:hint="eastAsia" w:eastAsia="宋体" w:cs="Calibri"/>
                <w:b w:val="0"/>
                <w:bCs w:val="0"/>
                <w:color w:val="auto"/>
                <w:sz w:val="24"/>
                <w:szCs w:val="22"/>
                <w:u w:val="none"/>
              </w:rPr>
            </w:pPr>
            <w:r>
              <w:rPr>
                <w:color w:val="auto"/>
                <w:sz w:val="24"/>
              </w:rPr>
              <w:t>项目所在</w:t>
            </w:r>
            <w:r>
              <w:rPr>
                <w:rFonts w:hint="default" w:ascii="Times New Roman" w:hAnsi="Times New Roman" w:eastAsia="宋体" w:cs="Times New Roman"/>
                <w:color w:val="auto"/>
                <w:sz w:val="24"/>
              </w:rPr>
              <w:t>地</w:t>
            </w:r>
            <w:r>
              <w:rPr>
                <w:rFonts w:hint="default" w:ascii="Times New Roman" w:hAnsi="Times New Roman" w:eastAsia="宋体" w:cs="Times New Roman"/>
                <w:color w:val="auto"/>
                <w:sz w:val="24"/>
                <w:lang w:eastAsia="zh-CN"/>
              </w:rPr>
              <w:t>南侧</w:t>
            </w:r>
            <w:r>
              <w:rPr>
                <w:rFonts w:hint="default" w:ascii="Times New Roman" w:hAnsi="Times New Roman" w:eastAsia="宋体" w:cs="Times New Roman"/>
                <w:color w:val="auto"/>
                <w:sz w:val="24"/>
                <w:lang w:val="en-US" w:eastAsia="zh-CN"/>
              </w:rPr>
              <w:t>40米处为正兴医疗仪表厂</w:t>
            </w:r>
            <w:r>
              <w:rPr>
                <w:rFonts w:hint="default" w:ascii="Times New Roman" w:hAnsi="Times New Roman" w:eastAsia="宋体" w:cs="Times New Roman"/>
                <w:color w:val="auto"/>
                <w:sz w:val="24"/>
              </w:rPr>
              <w:t>，</w:t>
            </w:r>
            <w:r>
              <w:rPr>
                <w:rFonts w:hint="default" w:ascii="Times New Roman" w:hAnsi="Times New Roman" w:eastAsia="宋体" w:cs="Times New Roman"/>
                <w:b w:val="0"/>
                <w:bCs/>
                <w:color w:val="auto"/>
                <w:sz w:val="24"/>
                <w:szCs w:val="24"/>
                <w:u w:val="none"/>
                <w:lang w:eastAsia="zh-CN"/>
              </w:rPr>
              <w:t>东南侧约</w:t>
            </w:r>
            <w:r>
              <w:rPr>
                <w:rFonts w:hint="default" w:ascii="Times New Roman" w:hAnsi="Times New Roman" w:eastAsia="宋体" w:cs="Times New Roman"/>
                <w:b w:val="0"/>
                <w:bCs/>
                <w:color w:val="auto"/>
                <w:sz w:val="24"/>
                <w:szCs w:val="24"/>
                <w:u w:val="none"/>
                <w:lang w:val="en-US" w:eastAsia="zh-CN"/>
              </w:rPr>
              <w:t>65米为洗涤厂</w:t>
            </w:r>
            <w:r>
              <w:rPr>
                <w:rFonts w:hint="default" w:ascii="Times New Roman" w:hAnsi="Times New Roman" w:eastAsia="宋体" w:cs="Times New Roman"/>
                <w:color w:val="auto"/>
                <w:sz w:val="24"/>
                <w:lang w:eastAsia="zh-CN"/>
              </w:rPr>
              <w:t>。周边主要污染为周边企业生产产生的二氧化硫、氮氧化物、颗粒物、挥发性有机物、废水等。及</w:t>
            </w:r>
            <w:r>
              <w:rPr>
                <w:rFonts w:hint="default" w:ascii="Times New Roman" w:hAnsi="Times New Roman" w:eastAsia="宋体" w:cs="Times New Roman"/>
                <w:color w:val="auto"/>
                <w:sz w:val="24"/>
              </w:rPr>
              <w:t>周边居民生活产生的废水、废气、固体废物、噪声等。</w:t>
            </w:r>
          </w:p>
        </w:tc>
      </w:tr>
    </w:tbl>
    <w:p>
      <w:pPr>
        <w:pStyle w:val="3"/>
        <w:keepNext w:val="0"/>
        <w:keepLines w:val="0"/>
        <w:suppressAutoHyphens/>
        <w:topLinePunct/>
        <w:spacing w:before="0" w:after="0" w:line="240" w:lineRule="auto"/>
        <w:rPr>
          <w:rFonts w:hint="eastAsia"/>
          <w:bCs w:val="0"/>
          <w:color w:val="auto"/>
          <w:kern w:val="0"/>
          <w:sz w:val="28"/>
          <w:szCs w:val="28"/>
        </w:rPr>
      </w:pPr>
      <w:r>
        <w:rPr>
          <w:bCs w:val="0"/>
          <w:color w:val="auto"/>
          <w:kern w:val="0"/>
          <w:sz w:val="28"/>
          <w:szCs w:val="28"/>
        </w:rPr>
        <w:br w:type="page"/>
      </w:r>
      <w:bookmarkStart w:id="1" w:name="_Toc29308627"/>
      <w:bookmarkStart w:id="2" w:name="_Toc29307427"/>
      <w:r>
        <w:rPr>
          <w:rFonts w:hint="eastAsia"/>
          <w:bCs w:val="0"/>
          <w:color w:val="auto"/>
          <w:kern w:val="0"/>
          <w:sz w:val="28"/>
          <w:szCs w:val="28"/>
        </w:rPr>
        <w:t>二、项目所在地自然环境简况社会环境简况</w:t>
      </w:r>
      <w:bookmarkEnd w:id="1"/>
      <w:bookmarkEnd w:id="2"/>
    </w:p>
    <w:tbl>
      <w:tblPr>
        <w:tblStyle w:val="22"/>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trPr>
        <w:tc>
          <w:tcPr>
            <w:tcW w:w="9215" w:type="dxa"/>
            <w:noWrap w:val="0"/>
            <w:vAlign w:val="top"/>
          </w:tcPr>
          <w:p>
            <w:pPr>
              <w:spacing w:line="60" w:lineRule="auto"/>
              <w:jc w:val="left"/>
              <w:rPr>
                <w:rStyle w:val="27"/>
                <w:rFonts w:hint="eastAsia" w:eastAsia="宋体"/>
                <w:color w:val="auto"/>
              </w:rPr>
            </w:pPr>
            <w:r>
              <w:rPr>
                <w:rStyle w:val="27"/>
                <w:rFonts w:hint="eastAsia" w:eastAsia="宋体"/>
                <w:color w:val="auto"/>
              </w:rPr>
              <w:t>自然环境简况（地形、地貌、地质、气候、气象、水文、植被、生物多样性等）</w:t>
            </w:r>
          </w:p>
          <w:p>
            <w:pPr>
              <w:spacing w:line="360" w:lineRule="auto"/>
              <w:jc w:val="left"/>
              <w:rPr>
                <w:rStyle w:val="27"/>
                <w:rFonts w:hint="eastAsia" w:eastAsia="宋体"/>
                <w:color w:val="auto"/>
                <w:sz w:val="24"/>
                <w:szCs w:val="24"/>
              </w:rPr>
            </w:pPr>
            <w:r>
              <w:rPr>
                <w:rStyle w:val="27"/>
                <w:rFonts w:hint="eastAsia" w:eastAsia="宋体"/>
                <w:color w:val="auto"/>
                <w:sz w:val="24"/>
                <w:szCs w:val="24"/>
              </w:rPr>
              <w:t>2.1 地理位置</w:t>
            </w:r>
          </w:p>
          <w:p>
            <w:pPr>
              <w:keepNext w:val="0"/>
              <w:keepLines w:val="0"/>
              <w:widowControl/>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洪江区位于湖南省西南部雪峰山区，怀化市南部，东、西、北与黔阳县（今洪江市）接壤，南与会同县毗连。沅、巫两水在此交汇，区域总面积115平方公里，总人口6.67万人，辖2个乡4个街道办事处。全国重点文物保护单位“洪江古商城”（国家4A级旅游景区）和省级“洪江区循环经济工业园”坐落于此。洪江又称雄溪，为武陵五溪之首,历史上是滇黔与沪汉之间水运的必经之地，因得天独厚的水运条件，自古以来就是湘西南重要的驿站和繁华的商埠。以集散洪油、木材、鸦片、白蜡而闻名于世，素有“七省通衢”“小南京”“小重庆”“湘西明珠”之美称，是湘西南政治、军事、经济、宗教、文化的中心。</w:t>
            </w:r>
            <w:r>
              <w:rPr>
                <w:rFonts w:hint="eastAsia" w:asciiTheme="minorEastAsia" w:hAnsiTheme="minorEastAsia" w:eastAsiaTheme="minorEastAsia" w:cstheme="minorEastAsia"/>
                <w:color w:val="auto"/>
                <w:kern w:val="0"/>
                <w:sz w:val="24"/>
                <w:szCs w:val="24"/>
                <w:lang w:val="en-US" w:eastAsia="zh-CN" w:bidi="ar"/>
              </w:rPr>
              <w:t xml:space="preserve">其地理坐标为：东经 109°51′58″～110°03′56″、北纬 27°03′35″～27°11′05″。东西宽 20km，南北长 14km。 </w:t>
            </w:r>
          </w:p>
          <w:p>
            <w:pPr>
              <w:spacing w:line="360" w:lineRule="auto"/>
              <w:ind w:firstLine="480" w:firstLineChars="200"/>
              <w:rPr>
                <w:rFonts w:hint="eastAsia" w:ascii="Times New Roman" w:hAnsi="Times New Roman"/>
                <w:color w:val="auto"/>
                <w:sz w:val="24"/>
              </w:rPr>
            </w:pPr>
            <w:r>
              <w:rPr>
                <w:rFonts w:hint="eastAsia"/>
                <w:color w:val="auto"/>
                <w:sz w:val="24"/>
                <w:szCs w:val="24"/>
                <w:lang w:eastAsia="zh-CN"/>
              </w:rPr>
              <w:t>本项目位于</w:t>
            </w:r>
            <w:r>
              <w:rPr>
                <w:rFonts w:hint="eastAsia"/>
                <w:color w:val="auto"/>
                <w:sz w:val="24"/>
                <w:szCs w:val="24"/>
              </w:rPr>
              <w:t>湖南省</w:t>
            </w:r>
            <w:r>
              <w:rPr>
                <w:rFonts w:hint="eastAsia" w:asciiTheme="minorEastAsia" w:hAnsiTheme="minorEastAsia" w:eastAsiaTheme="minorEastAsia" w:cstheme="minorEastAsia"/>
                <w:b w:val="0"/>
                <w:bCs/>
                <w:color w:val="auto"/>
                <w:sz w:val="24"/>
                <w:szCs w:val="24"/>
                <w:u w:val="none"/>
                <w:lang w:val="en-US" w:eastAsia="zh-CN"/>
              </w:rPr>
              <w:t>怀化市</w:t>
            </w:r>
            <w:r>
              <w:rPr>
                <w:rFonts w:hint="eastAsia" w:asciiTheme="minorEastAsia" w:hAnsiTheme="minorEastAsia" w:eastAsiaTheme="minorEastAsia" w:cstheme="minorEastAsia"/>
                <w:b w:val="0"/>
                <w:bCs/>
                <w:color w:val="auto"/>
                <w:sz w:val="24"/>
                <w:szCs w:val="24"/>
                <w:u w:val="none"/>
              </w:rPr>
              <w:t>洪江区长寨英明山</w:t>
            </w:r>
            <w:r>
              <w:rPr>
                <w:rFonts w:hint="eastAsia" w:asciiTheme="minorEastAsia" w:hAnsiTheme="minorEastAsia" w:eastAsiaTheme="minorEastAsia" w:cstheme="minorEastAsia"/>
                <w:color w:val="auto"/>
                <w:sz w:val="24"/>
                <w:szCs w:val="24"/>
                <w:lang w:eastAsia="zh-CN"/>
              </w:rPr>
              <w:t>，</w:t>
            </w:r>
            <w:r>
              <w:rPr>
                <w:rFonts w:hint="default" w:hAnsiTheme="minorEastAsia" w:eastAsiaTheme="minorEastAsia"/>
                <w:color w:val="auto"/>
                <w:kern w:val="0"/>
                <w:sz w:val="24"/>
                <w:szCs w:val="20"/>
              </w:rPr>
              <w:t>经现场踏勘，</w:t>
            </w:r>
            <w:r>
              <w:rPr>
                <w:rFonts w:hint="eastAsia" w:hAnsiTheme="minorEastAsia" w:eastAsiaTheme="minorEastAsia"/>
                <w:color w:val="auto"/>
                <w:kern w:val="0"/>
                <w:sz w:val="24"/>
                <w:szCs w:val="20"/>
                <w:lang w:eastAsia="zh-CN"/>
              </w:rPr>
              <w:t>本项目场地东侧为场地入口，有公路与</w:t>
            </w:r>
            <w:r>
              <w:rPr>
                <w:rFonts w:hint="eastAsia" w:hAnsiTheme="minorEastAsia" w:eastAsiaTheme="minorEastAsia"/>
                <w:color w:val="auto"/>
                <w:kern w:val="0"/>
                <w:sz w:val="24"/>
                <w:szCs w:val="20"/>
                <w:lang w:val="en-US" w:eastAsia="zh-CN"/>
              </w:rPr>
              <w:t>S222相</w:t>
            </w:r>
            <w:r>
              <w:rPr>
                <w:rFonts w:hint="eastAsia" w:hAnsiTheme="minorEastAsia" w:eastAsiaTheme="minorEastAsia"/>
                <w:color w:val="auto"/>
                <w:kern w:val="0"/>
                <w:sz w:val="24"/>
                <w:szCs w:val="20"/>
                <w:lang w:eastAsia="zh-CN"/>
              </w:rPr>
              <w:t>连通。</w:t>
            </w:r>
          </w:p>
          <w:p>
            <w:pPr>
              <w:spacing w:line="360" w:lineRule="auto"/>
              <w:jc w:val="left"/>
              <w:rPr>
                <w:rStyle w:val="27"/>
                <w:rFonts w:hint="eastAsia" w:eastAsia="宋体"/>
                <w:color w:val="auto"/>
                <w:sz w:val="24"/>
                <w:szCs w:val="24"/>
              </w:rPr>
            </w:pPr>
            <w:r>
              <w:rPr>
                <w:rStyle w:val="27"/>
                <w:rFonts w:hint="eastAsia" w:eastAsia="宋体"/>
                <w:color w:val="auto"/>
                <w:sz w:val="24"/>
                <w:szCs w:val="24"/>
              </w:rPr>
              <w:t>2.</w:t>
            </w:r>
            <w:r>
              <w:rPr>
                <w:rStyle w:val="27"/>
                <w:rFonts w:eastAsia="宋体"/>
                <w:color w:val="auto"/>
                <w:sz w:val="24"/>
                <w:szCs w:val="24"/>
              </w:rPr>
              <w:t>2</w:t>
            </w:r>
            <w:r>
              <w:rPr>
                <w:rStyle w:val="27"/>
                <w:rFonts w:hint="eastAsia" w:eastAsia="宋体"/>
                <w:color w:val="auto"/>
                <w:sz w:val="24"/>
                <w:szCs w:val="24"/>
              </w:rPr>
              <w:t xml:space="preserve"> </w:t>
            </w:r>
            <w:r>
              <w:rPr>
                <w:rStyle w:val="27"/>
                <w:rFonts w:eastAsia="宋体"/>
                <w:color w:val="auto"/>
                <w:sz w:val="24"/>
                <w:szCs w:val="24"/>
              </w:rPr>
              <w:t>地形、地貌</w:t>
            </w:r>
            <w:r>
              <w:rPr>
                <w:rStyle w:val="27"/>
                <w:rFonts w:hint="eastAsia" w:eastAsia="宋体"/>
                <w:color w:val="auto"/>
                <w:sz w:val="24"/>
                <w:szCs w:val="24"/>
              </w:rPr>
              <w:t>、地质</w:t>
            </w:r>
          </w:p>
          <w:p>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szCs w:val="24"/>
              </w:rPr>
            </w:pPr>
            <w:r>
              <w:rPr>
                <w:rFonts w:hint="eastAsia" w:ascii="宋体" w:hAnsi="宋体" w:eastAsia="宋体" w:cs="宋体"/>
                <w:color w:val="auto"/>
                <w:kern w:val="0"/>
                <w:sz w:val="24"/>
                <w:szCs w:val="24"/>
                <w:lang w:val="en-US" w:eastAsia="zh-CN" w:bidi="ar"/>
              </w:rPr>
              <w:t xml:space="preserve">洪江区地处云贵高原东部斜坡边缘、雪峰山主脉西部山麓、沅江中游地区。境内三面环山，沅江及支流巫水贯穿全境。地势东、南、西三面向北倾斜。山、丘、岗、平地貌类型齐全，以河谷盆地为主。境内最高峰为西南部的横岩乡大岩湾，海拔 </w:t>
            </w:r>
            <w:r>
              <w:rPr>
                <w:rFonts w:hint="default" w:ascii="TimesNewRomanPSMT" w:hAnsi="TimesNewRomanPSMT" w:eastAsia="TimesNewRomanPSMT" w:cs="TimesNewRomanPSMT"/>
                <w:color w:val="auto"/>
                <w:kern w:val="0"/>
                <w:sz w:val="24"/>
                <w:szCs w:val="24"/>
                <w:lang w:val="en-US" w:eastAsia="zh-CN" w:bidi="ar"/>
              </w:rPr>
              <w:t>862m</w:t>
            </w:r>
            <w:r>
              <w:rPr>
                <w:rFonts w:hint="eastAsia" w:ascii="宋体" w:hAnsi="宋体" w:eastAsia="宋体" w:cs="宋体"/>
                <w:color w:val="auto"/>
                <w:kern w:val="0"/>
                <w:sz w:val="24"/>
                <w:szCs w:val="24"/>
                <w:lang w:val="en-US" w:eastAsia="zh-CN" w:bidi="ar"/>
              </w:rPr>
              <w:t xml:space="preserve">；最低点为东北部的桂花园乡岩坝头之沅江出境处，海拔 </w:t>
            </w:r>
            <w:r>
              <w:rPr>
                <w:rFonts w:hint="default" w:ascii="TimesNewRomanPSMT" w:hAnsi="TimesNewRomanPSMT" w:eastAsia="TimesNewRomanPSMT" w:cs="TimesNewRomanPSMT"/>
                <w:color w:val="auto"/>
                <w:kern w:val="0"/>
                <w:sz w:val="24"/>
                <w:szCs w:val="24"/>
                <w:lang w:val="en-US" w:eastAsia="zh-CN" w:bidi="ar"/>
              </w:rPr>
              <w:t>160m</w:t>
            </w:r>
            <w:r>
              <w:rPr>
                <w:rFonts w:hint="eastAsia" w:ascii="宋体" w:hAnsi="宋体" w:eastAsia="宋体" w:cs="宋体"/>
                <w:color w:val="auto"/>
                <w:kern w:val="0"/>
                <w:sz w:val="24"/>
                <w:szCs w:val="24"/>
                <w:lang w:val="en-US" w:eastAsia="zh-CN" w:bidi="ar"/>
              </w:rPr>
              <w:t xml:space="preserve">。区域地貌类型为构造剥蚀丘陵单面山宽谷河流侵蚀堆积阶地地貌。场地原始地貌为侵蚀构 </w:t>
            </w:r>
          </w:p>
          <w:p>
            <w:pPr>
              <w:spacing w:line="360" w:lineRule="auto"/>
              <w:ind w:firstLine="480" w:firstLineChars="200"/>
              <w:rPr>
                <w:rFonts w:hint="eastAsia" w:ascii="Times New Roman" w:hAnsi="Times New Roman"/>
                <w:color w:val="auto"/>
                <w:sz w:val="24"/>
              </w:rPr>
            </w:pPr>
            <w:r>
              <w:rPr>
                <w:rFonts w:hint="eastAsia" w:ascii="宋体" w:hAnsi="宋体" w:eastAsia="宋体" w:cs="宋体"/>
                <w:color w:val="auto"/>
                <w:kern w:val="0"/>
                <w:sz w:val="24"/>
                <w:szCs w:val="24"/>
                <w:lang w:val="en-US" w:eastAsia="zh-CN" w:bidi="ar"/>
              </w:rPr>
              <w:t>造丘陵宽谷。根据区域地质资料，工程场地位于安江构造盆地内，场地中存在的主要土层有：第四系人工填土层（</w:t>
            </w:r>
            <w:r>
              <w:rPr>
                <w:rFonts w:hint="default" w:ascii="TimesNewRomanPSMT" w:hAnsi="TimesNewRomanPSMT" w:eastAsia="TimesNewRomanPSMT" w:cs="TimesNewRomanPSMT"/>
                <w:color w:val="auto"/>
                <w:kern w:val="0"/>
                <w:sz w:val="24"/>
                <w:szCs w:val="24"/>
                <w:lang w:val="en-US" w:eastAsia="zh-CN" w:bidi="ar"/>
              </w:rPr>
              <w:t>Qml</w:t>
            </w:r>
            <w:r>
              <w:rPr>
                <w:rFonts w:hint="eastAsia" w:ascii="宋体" w:hAnsi="宋体" w:eastAsia="宋体" w:cs="宋体"/>
                <w:color w:val="auto"/>
                <w:kern w:val="0"/>
                <w:sz w:val="24"/>
                <w:szCs w:val="24"/>
                <w:lang w:val="en-US" w:eastAsia="zh-CN" w:bidi="ar"/>
              </w:rPr>
              <w:t>）、冲积相（</w:t>
            </w:r>
            <w:r>
              <w:rPr>
                <w:rFonts w:hint="default" w:ascii="TimesNewRomanPSMT" w:hAnsi="TimesNewRomanPSMT" w:eastAsia="TimesNewRomanPSMT" w:cs="TimesNewRomanPSMT"/>
                <w:color w:val="auto"/>
                <w:kern w:val="0"/>
                <w:sz w:val="24"/>
                <w:szCs w:val="24"/>
                <w:lang w:val="en-US" w:eastAsia="zh-CN" w:bidi="ar"/>
              </w:rPr>
              <w:t>Qal</w:t>
            </w:r>
            <w:r>
              <w:rPr>
                <w:rFonts w:hint="eastAsia" w:ascii="宋体" w:hAnsi="宋体" w:eastAsia="宋体" w:cs="宋体"/>
                <w:color w:val="auto"/>
                <w:kern w:val="0"/>
                <w:sz w:val="24"/>
                <w:szCs w:val="24"/>
                <w:lang w:val="en-US" w:eastAsia="zh-CN" w:bidi="ar"/>
              </w:rPr>
              <w:t>）粉土、中砂、卵石层和残积相粘土（</w:t>
            </w:r>
            <w:r>
              <w:rPr>
                <w:rFonts w:hint="default" w:ascii="TimesNewRomanPSMT" w:hAnsi="TimesNewRomanPSMT" w:eastAsia="TimesNewRomanPSMT" w:cs="TimesNewRomanPSMT"/>
                <w:color w:val="auto"/>
                <w:kern w:val="0"/>
                <w:sz w:val="24"/>
                <w:szCs w:val="24"/>
                <w:lang w:val="en-US" w:eastAsia="zh-CN" w:bidi="ar"/>
              </w:rPr>
              <w:t>Qel</w:t>
            </w:r>
            <w:r>
              <w:rPr>
                <w:rFonts w:hint="eastAsia" w:ascii="宋体" w:hAnsi="宋体" w:eastAsia="宋体" w:cs="宋体"/>
                <w:color w:val="auto"/>
                <w:kern w:val="0"/>
                <w:sz w:val="24"/>
                <w:szCs w:val="24"/>
                <w:lang w:val="en-US" w:eastAsia="zh-CN" w:bidi="ar"/>
              </w:rPr>
              <w:t>），下伏基岩为板溪群拉揽组板岩（</w:t>
            </w:r>
            <w:r>
              <w:rPr>
                <w:rFonts w:hint="default" w:ascii="TimesNewRomanPSMT" w:hAnsi="TimesNewRomanPSMT" w:eastAsia="TimesNewRomanPSMT" w:cs="TimesNewRomanPSMT"/>
                <w:color w:val="auto"/>
                <w:kern w:val="0"/>
                <w:sz w:val="24"/>
                <w:szCs w:val="24"/>
                <w:lang w:val="en-US" w:eastAsia="zh-CN" w:bidi="ar"/>
              </w:rPr>
              <w:t>Ptbn2L</w:t>
            </w:r>
            <w:r>
              <w:rPr>
                <w:rFonts w:hint="eastAsia" w:ascii="宋体" w:hAnsi="宋体" w:eastAsia="宋体" w:cs="宋体"/>
                <w:color w:val="auto"/>
                <w:kern w:val="0"/>
                <w:sz w:val="24"/>
                <w:szCs w:val="24"/>
                <w:lang w:val="en-US" w:eastAsia="zh-CN" w:bidi="ar"/>
              </w:rPr>
              <w:t>）</w:t>
            </w:r>
            <w:r>
              <w:rPr>
                <w:rFonts w:ascii="Times New Roman" w:hAnsi="Times New Roman"/>
                <w:color w:val="auto"/>
                <w:sz w:val="24"/>
              </w:rPr>
              <w:t>。</w:t>
            </w:r>
          </w:p>
          <w:p>
            <w:pPr>
              <w:spacing w:line="360" w:lineRule="auto"/>
              <w:jc w:val="left"/>
              <w:rPr>
                <w:rStyle w:val="27"/>
                <w:rFonts w:hint="eastAsia" w:eastAsia="宋体"/>
                <w:color w:val="auto"/>
                <w:sz w:val="24"/>
                <w:szCs w:val="24"/>
              </w:rPr>
            </w:pPr>
            <w:r>
              <w:rPr>
                <w:rStyle w:val="27"/>
                <w:rFonts w:hint="eastAsia" w:eastAsia="宋体"/>
                <w:color w:val="auto"/>
                <w:sz w:val="24"/>
                <w:szCs w:val="24"/>
              </w:rPr>
              <w:t>2.3 气象、气候</w:t>
            </w:r>
          </w:p>
          <w:p>
            <w:pPr>
              <w:keepNext w:val="0"/>
              <w:keepLines w:val="0"/>
              <w:widowControl/>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 xml:space="preserve">洪江区属中亚热带季风湿润气候，具有气候温和、四季分明、热量充足、雨季集中、降水充沛等特点，受季风环流影响较明显。夏季为低纬度海洋暖湿气团所控制，温高湿重，天气炎热。冬季受西伯利亚干冷气团影响，寒流频频南下，造成雪雨冰霜。春、夏之交，正处于冷暖气团交界处，锋面和气旋活动频繁，形成梅雨天气，常有山洪暴发。 </w:t>
            </w:r>
          </w:p>
          <w:p>
            <w:pPr>
              <w:keepNext w:val="0"/>
              <w:keepLines w:val="0"/>
              <w:widowControl/>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根据洪江区气象局提供的气象资料，区域地面气象要素特征如下：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年平均气压 995.1hPa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年平均气温 17.0℃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极端最高气温 39.7℃</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极端最低气温 -11.0℃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年平均降水量 1485mm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最大日降水量 15lmm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相对湿度 81%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平均日照时数 1354.3h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年平均风速 1.7m/s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全年盛行风向 NE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夏季主导风 WS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静风频率 35% </w:t>
            </w:r>
          </w:p>
          <w:p>
            <w:pPr>
              <w:keepNext w:val="0"/>
              <w:keepLines w:val="0"/>
              <w:widowControl/>
              <w:suppressLineNumbers w:val="0"/>
              <w:spacing w:before="0" w:beforeAutospacing="0" w:after="0" w:afterAutospacing="0" w:line="360" w:lineRule="auto"/>
              <w:ind w:left="0" w:right="0" w:firstLine="720" w:firstLineChars="3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区域年、季风向频率玫瑰图详见图2-1。 </w:t>
            </w:r>
          </w:p>
          <w:p>
            <w:pPr>
              <w:spacing w:line="360" w:lineRule="auto"/>
              <w:ind w:firstLine="480" w:firstLineChars="200"/>
              <w:rPr>
                <w:rFonts w:ascii="Times New Roman" w:hAnsi="Times New Roman"/>
                <w:color w:val="auto"/>
                <w:kern w:val="0"/>
                <w:sz w:val="24"/>
                <w:szCs w:val="24"/>
              </w:rPr>
            </w:pPr>
            <w:r>
              <w:rPr>
                <w:rFonts w:hint="eastAsia" w:asciiTheme="minorEastAsia" w:hAnsiTheme="minorEastAsia" w:eastAsiaTheme="minorEastAsia" w:cstheme="minorEastAsia"/>
                <w:color w:val="auto"/>
                <w:kern w:val="0"/>
                <w:sz w:val="24"/>
                <w:szCs w:val="24"/>
                <w:lang w:val="en-US" w:eastAsia="zh-CN" w:bidi="ar"/>
              </w:rPr>
              <w:t xml:space="preserve"> </w:t>
            </w:r>
            <w:r>
              <w:rPr>
                <w:rFonts w:hint="default"/>
                <w:color w:val="auto"/>
                <w:szCs w:val="20"/>
              </w:rPr>
              <w:drawing>
                <wp:inline distT="0" distB="0" distL="114300" distR="114300">
                  <wp:extent cx="4838700" cy="3539490"/>
                  <wp:effectExtent l="0" t="0" r="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4838700" cy="3539490"/>
                          </a:xfrm>
                          <a:prstGeom prst="rect">
                            <a:avLst/>
                          </a:prstGeom>
                          <a:noFill/>
                          <a:ln>
                            <a:noFill/>
                          </a:ln>
                        </pic:spPr>
                      </pic:pic>
                    </a:graphicData>
                  </a:graphic>
                </wp:inline>
              </w:drawing>
            </w:r>
          </w:p>
          <w:p>
            <w:pPr>
              <w:spacing w:line="360" w:lineRule="auto"/>
              <w:rPr>
                <w:rStyle w:val="27"/>
                <w:rFonts w:hint="eastAsia" w:ascii="Calibri" w:hAnsi="宋体" w:eastAsia="宋体"/>
                <w:b w:val="0"/>
                <w:bCs w:val="0"/>
                <w:color w:val="auto"/>
                <w:sz w:val="24"/>
                <w:szCs w:val="22"/>
              </w:rPr>
            </w:pPr>
            <w:r>
              <w:rPr>
                <w:rStyle w:val="27"/>
                <w:rFonts w:hint="eastAsia" w:eastAsia="宋体"/>
                <w:color w:val="auto"/>
                <w:sz w:val="24"/>
                <w:szCs w:val="24"/>
              </w:rPr>
              <w:t>2.4 水文</w:t>
            </w:r>
          </w:p>
          <w:p>
            <w:pPr>
              <w:keepNext w:val="0"/>
              <w:keepLines w:val="0"/>
              <w:widowControl/>
              <w:suppressLineNumbers w:val="0"/>
              <w:spacing w:before="0" w:beforeAutospacing="0" w:after="0" w:afterAutospacing="0" w:line="360" w:lineRule="auto"/>
              <w:ind w:left="0" w:right="0" w:firstLine="480" w:firstLineChars="200"/>
              <w:jc w:val="both"/>
              <w:rPr>
                <w:rFonts w:hint="default"/>
                <w:color w:val="auto"/>
                <w:sz w:val="24"/>
                <w:szCs w:val="24"/>
              </w:rPr>
            </w:pPr>
            <w:r>
              <w:rPr>
                <w:rFonts w:hint="eastAsia" w:ascii="宋体" w:hAnsi="宋体" w:eastAsia="宋体" w:cs="宋体"/>
                <w:color w:val="auto"/>
                <w:kern w:val="0"/>
                <w:sz w:val="24"/>
                <w:szCs w:val="24"/>
                <w:lang w:val="en-US" w:eastAsia="zh-CN" w:bidi="ar"/>
              </w:rPr>
              <w:t>本区域溪河统属沅水水系，主要河流有沅水及支流巫水。沅水自西北部的横岩乡下菖蒲入境，向东偏南流经城区中心，纳入巫水后折向北流，至萝卜湾西折转向北偏东，于东北部的桂花园乡岩坝头之公溪口出境，蜿蜒贯穿全境，干流长</w:t>
            </w:r>
            <w:r>
              <w:rPr>
                <w:rFonts w:hint="default" w:ascii="TimesNewRomanPSMT" w:hAnsi="TimesNewRomanPSMT" w:eastAsia="TimesNewRomanPSMT" w:cs="TimesNewRomanPSMT"/>
                <w:color w:val="auto"/>
                <w:kern w:val="0"/>
                <w:sz w:val="24"/>
                <w:szCs w:val="24"/>
                <w:lang w:val="en-US" w:eastAsia="zh-CN" w:bidi="ar"/>
              </w:rPr>
              <w:t>25.9km</w:t>
            </w:r>
            <w:r>
              <w:rPr>
                <w:rFonts w:hint="eastAsia" w:ascii="宋体" w:hAnsi="宋体" w:eastAsia="宋体" w:cs="宋体"/>
                <w:color w:val="auto"/>
                <w:kern w:val="0"/>
                <w:sz w:val="24"/>
                <w:szCs w:val="24"/>
                <w:lang w:val="en-US" w:eastAsia="zh-CN" w:bidi="ar"/>
              </w:rPr>
              <w:t>。巫水于南部的常青乡带子街入境， 蜿蜒北流，于城区中心汇入沅水，干流长</w:t>
            </w:r>
            <w:r>
              <w:rPr>
                <w:rFonts w:hint="default" w:ascii="TimesNewRomanPSMT" w:hAnsi="TimesNewRomanPSMT" w:eastAsia="TimesNewRomanPSMT" w:cs="TimesNewRomanPSMT"/>
                <w:color w:val="auto"/>
                <w:kern w:val="0"/>
                <w:sz w:val="24"/>
                <w:szCs w:val="24"/>
                <w:lang w:val="en-US" w:eastAsia="zh-CN" w:bidi="ar"/>
              </w:rPr>
              <w:t>5.8km</w:t>
            </w:r>
            <w:r>
              <w:rPr>
                <w:rFonts w:hint="eastAsia" w:ascii="宋体" w:hAnsi="宋体" w:eastAsia="宋体" w:cs="宋体"/>
                <w:color w:val="auto"/>
                <w:kern w:val="0"/>
                <w:sz w:val="24"/>
                <w:szCs w:val="24"/>
                <w:lang w:val="en-US" w:eastAsia="zh-CN" w:bidi="ar"/>
              </w:rPr>
              <w:t xml:space="preserve">。 </w:t>
            </w:r>
          </w:p>
          <w:p>
            <w:pPr>
              <w:spacing w:line="360" w:lineRule="auto"/>
              <w:ind w:firstLine="480" w:firstLineChars="200"/>
              <w:jc w:val="both"/>
              <w:rPr>
                <w:rFonts w:ascii="Times New Roman" w:hAnsi="Times New Roman" w:cs="宋体"/>
                <w:bCs/>
                <w:color w:val="auto"/>
                <w:sz w:val="24"/>
                <w:szCs w:val="24"/>
              </w:rPr>
            </w:pPr>
            <w:r>
              <w:rPr>
                <w:rFonts w:hint="eastAsia" w:ascii="宋体" w:hAnsi="宋体" w:eastAsia="宋体" w:cs="宋体"/>
                <w:color w:val="auto"/>
                <w:kern w:val="0"/>
                <w:sz w:val="24"/>
                <w:szCs w:val="24"/>
                <w:lang w:val="en-US" w:eastAsia="zh-CN" w:bidi="ar"/>
              </w:rPr>
              <w:t>沅水属典型山区河流，坡降大，水能蕴藏量丰富，洪、枯水期水量、水位变化明显。洪水由暴雨形成，具有山区性河流骤涨骤落的特点</w:t>
            </w:r>
            <w:r>
              <w:rPr>
                <w:rFonts w:ascii="Times New Roman" w:hAnsi="Times New Roman" w:cs="宋体"/>
                <w:bCs/>
                <w:color w:val="auto"/>
                <w:sz w:val="24"/>
                <w:szCs w:val="24"/>
              </w:rPr>
              <w:t>。</w:t>
            </w:r>
          </w:p>
          <w:p>
            <w:pPr>
              <w:spacing w:line="360" w:lineRule="auto"/>
              <w:jc w:val="left"/>
              <w:rPr>
                <w:rStyle w:val="27"/>
                <w:rFonts w:hint="eastAsia" w:eastAsia="宋体"/>
                <w:color w:val="auto"/>
                <w:sz w:val="24"/>
                <w:szCs w:val="24"/>
              </w:rPr>
            </w:pPr>
            <w:r>
              <w:rPr>
                <w:rStyle w:val="27"/>
                <w:rFonts w:hint="eastAsia" w:eastAsia="宋体"/>
                <w:color w:val="auto"/>
                <w:sz w:val="24"/>
                <w:szCs w:val="24"/>
              </w:rPr>
              <w:t>2.5 土壤、植被及生物多样性</w:t>
            </w:r>
          </w:p>
          <w:p>
            <w:pPr>
              <w:keepNext w:val="0"/>
              <w:keepLines w:val="0"/>
              <w:widowControl/>
              <w:suppressLineNumbers w:val="0"/>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土壤、植物： </w:t>
            </w:r>
          </w:p>
          <w:p>
            <w:pPr>
              <w:keepNext w:val="0"/>
              <w:keepLines w:val="0"/>
              <w:widowControl/>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本区域土壤主要由板页岩、紫色砂页岩、石灰岩、砂砾岩、第四系红色粘土及近代河流冲积物等七种母质发育而成，主要为红壤、黄壤、黄棕壤等。库区周围地区成土母质母岩主要有紫色砂页岩、第四系红色粘土及近代河流冲积物等三类，土层深厚，质地砂壤至壤土，养分含量较丰富，呈微酸性至微碱性反应。 </w:t>
            </w:r>
          </w:p>
          <w:p>
            <w:pPr>
              <w:keepNext w:val="0"/>
              <w:keepLines w:val="0"/>
              <w:widowControl/>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本区域地处亚热带常绿叶林地带、湘西山区丘陵植被地区，属华中区系雪峰山植物区。区域内陆生植物资源丰富，优势科为松科、杉科、樟科、壳斗科、杨柳科等。主要植被类型有常绿松杉针叶林、常绿阔叶林、常绿落叶阔叶混交林。森林覆盖率65.8%。评价区域内目前尚没有发现国家重点保护植物。 </w:t>
            </w:r>
          </w:p>
          <w:p>
            <w:pPr>
              <w:keepNext w:val="0"/>
              <w:keepLines w:val="0"/>
              <w:widowControl/>
              <w:suppressLineNumbers w:val="0"/>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陆生动物、水生生物： </w:t>
            </w:r>
          </w:p>
          <w:p>
            <w:pPr>
              <w:keepNext w:val="0"/>
              <w:keepLines w:val="0"/>
              <w:widowControl/>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本区域野生脊椎动物有黄鼬、鸬鹚、眼镜蛇、青蛙、中华大蟾蜍等，为常见种类，评价区域内目前尚没有发现国家重点保护动物。 </w:t>
            </w:r>
          </w:p>
          <w:p>
            <w:pPr>
              <w:keepNext w:val="0"/>
              <w:keepLines w:val="0"/>
              <w:widowControl/>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洪江区沅江流域以定居性鱼类为主，主要鱼类有鲤鱼、南方马口鱼、细鳞斜口鲴、岩原鲤、呆鲤、镜鲤、火鲤、黄颡鱼、胡鲶、青鱼、草鱼、鲢、鳙、鲫、鳊、鳜、白甲鱼、鸭鱼等2424种，其中以鲤鱼、南方马口鱼、细鳞斜口鲴产量较丰实，优势科为鲤科。主要水生植物有马来眼子菜、轮叶黑藻聚草等40余种。</w:t>
            </w:r>
          </w:p>
          <w:p>
            <w:pPr>
              <w:spacing w:line="360" w:lineRule="auto"/>
              <w:ind w:firstLine="480" w:firstLineChars="200"/>
              <w:jc w:val="left"/>
              <w:rPr>
                <w:rFonts w:hint="eastAsia" w:ascii="Times New Roman" w:hAnsi="Times New Roman" w:cs="宋体"/>
                <w:bCs/>
                <w:color w:val="auto"/>
                <w:sz w:val="24"/>
                <w:szCs w:val="24"/>
              </w:rPr>
            </w:pPr>
            <w:r>
              <w:rPr>
                <w:rFonts w:hint="eastAsia" w:asciiTheme="minorEastAsia" w:hAnsiTheme="minorEastAsia" w:eastAsiaTheme="minorEastAsia" w:cstheme="minorEastAsia"/>
                <w:color w:val="auto"/>
                <w:kern w:val="0"/>
                <w:sz w:val="24"/>
                <w:szCs w:val="24"/>
                <w:lang w:val="en-US" w:eastAsia="zh-CN" w:bidi="ar"/>
              </w:rPr>
              <w:t>经调查，评价地区未发现野生地珍稀濒危动植物种类</w:t>
            </w:r>
            <w:r>
              <w:rPr>
                <w:rFonts w:hint="eastAsia" w:ascii="Times New Roman" w:hAnsi="Times New Roman" w:cs="宋体"/>
                <w:bCs/>
                <w:color w:val="auto"/>
                <w:sz w:val="24"/>
                <w:szCs w:val="24"/>
              </w:rPr>
              <w:t>。</w:t>
            </w:r>
            <w:r>
              <w:rPr>
                <w:rFonts w:ascii="Times New Roman" w:hAnsi="Times New Roman" w:cs="宋体"/>
                <w:bCs/>
                <w:color w:val="auto"/>
                <w:sz w:val="24"/>
                <w:szCs w:val="24"/>
              </w:rPr>
              <w:t xml:space="preserve"> </w:t>
            </w:r>
          </w:p>
          <w:p>
            <w:pPr>
              <w:spacing w:line="360" w:lineRule="auto"/>
              <w:jc w:val="left"/>
              <w:rPr>
                <w:rStyle w:val="27"/>
                <w:bCs w:val="0"/>
                <w:color w:val="auto"/>
                <w:sz w:val="24"/>
                <w:szCs w:val="24"/>
              </w:rPr>
            </w:pPr>
            <w:r>
              <w:rPr>
                <w:rStyle w:val="27"/>
                <w:rFonts w:hint="eastAsia"/>
                <w:bCs w:val="0"/>
                <w:color w:val="auto"/>
                <w:sz w:val="24"/>
                <w:szCs w:val="24"/>
              </w:rPr>
              <w:t>2.6选址区域环境功能规划</w:t>
            </w:r>
          </w:p>
          <w:p>
            <w:pPr>
              <w:adjustRightInd w:val="0"/>
              <w:snapToGrid w:val="0"/>
              <w:spacing w:line="360" w:lineRule="auto"/>
              <w:ind w:firstLine="480" w:firstLineChars="200"/>
              <w:jc w:val="left"/>
              <w:rPr>
                <w:rFonts w:hint="eastAsia" w:ascii="宋体" w:hAnsi="宋体"/>
                <w:color w:val="auto"/>
                <w:sz w:val="24"/>
              </w:rPr>
            </w:pPr>
            <w:r>
              <w:rPr>
                <w:rFonts w:hint="eastAsia" w:ascii="宋体" w:hAnsi="宋体"/>
                <w:color w:val="auto"/>
                <w:sz w:val="24"/>
              </w:rPr>
              <w:t>本项目所在区域环境功能属性见下表。</w:t>
            </w:r>
          </w:p>
          <w:p>
            <w:pPr>
              <w:adjustRightInd w:val="0"/>
              <w:snapToGrid w:val="0"/>
              <w:spacing w:line="271" w:lineRule="auto"/>
              <w:jc w:val="center"/>
              <w:rPr>
                <w:rFonts w:hAnsi="宋体"/>
                <w:b/>
                <w:color w:val="auto"/>
                <w:szCs w:val="21"/>
              </w:rPr>
            </w:pPr>
            <w:r>
              <w:rPr>
                <w:rFonts w:hAnsi="宋体"/>
                <w:b/>
                <w:color w:val="auto"/>
                <w:szCs w:val="21"/>
              </w:rPr>
              <w:t>表</w:t>
            </w:r>
            <w:r>
              <w:rPr>
                <w:b/>
                <w:color w:val="auto"/>
                <w:szCs w:val="21"/>
              </w:rPr>
              <w:t xml:space="preserve">2-1   </w:t>
            </w:r>
            <w:r>
              <w:rPr>
                <w:rFonts w:hAnsi="宋体"/>
                <w:b/>
                <w:color w:val="auto"/>
                <w:szCs w:val="21"/>
              </w:rPr>
              <w:t>建设项目所在区域环境功能区划表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3272"/>
              <w:gridCol w:w="4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jc w:val="both"/>
                    <w:rPr>
                      <w:rFonts w:ascii="Times New Roman" w:hAnsi="Times New Roman"/>
                      <w:color w:val="auto"/>
                      <w:kern w:val="2"/>
                      <w:sz w:val="21"/>
                      <w:szCs w:val="21"/>
                    </w:rPr>
                  </w:pPr>
                  <w:r>
                    <w:rPr>
                      <w:rFonts w:ascii="Times New Roman" w:hAnsi="宋体"/>
                      <w:color w:val="auto"/>
                      <w:kern w:val="2"/>
                      <w:sz w:val="21"/>
                      <w:szCs w:val="21"/>
                    </w:rPr>
                    <w:t>编号</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项目</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功能属性及执行标准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Times New Roman"/>
                      <w:color w:val="auto"/>
                      <w:kern w:val="2"/>
                      <w:sz w:val="21"/>
                      <w:szCs w:val="21"/>
                    </w:rPr>
                    <w:t>1</w:t>
                  </w:r>
                </w:p>
              </w:tc>
              <w:tc>
                <w:tcPr>
                  <w:tcW w:w="3272" w:type="dxa"/>
                  <w:noWrap w:val="0"/>
                  <w:vAlign w:val="center"/>
                </w:tcPr>
                <w:p>
                  <w:pPr>
                    <w:pStyle w:val="29"/>
                    <w:widowControl/>
                    <w:autoSpaceDE/>
                    <w:snapToGrid w:val="0"/>
                    <w:spacing w:line="240" w:lineRule="auto"/>
                    <w:rPr>
                      <w:rFonts w:ascii="Times New Roman" w:hAnsi="宋体"/>
                      <w:color w:val="auto"/>
                      <w:kern w:val="2"/>
                      <w:sz w:val="21"/>
                      <w:szCs w:val="21"/>
                    </w:rPr>
                  </w:pPr>
                  <w:r>
                    <w:rPr>
                      <w:rFonts w:ascii="Times New Roman" w:hAnsi="宋体"/>
                      <w:color w:val="auto"/>
                      <w:kern w:val="2"/>
                      <w:sz w:val="21"/>
                      <w:szCs w:val="21"/>
                    </w:rPr>
                    <w:t>地表水环境功能区</w:t>
                  </w:r>
                </w:p>
              </w:tc>
              <w:tc>
                <w:tcPr>
                  <w:tcW w:w="4844" w:type="dxa"/>
                  <w:noWrap w:val="0"/>
                  <w:vAlign w:val="center"/>
                </w:tcPr>
                <w:p>
                  <w:pPr>
                    <w:pStyle w:val="30"/>
                    <w:widowControl/>
                    <w:autoSpaceDE/>
                    <w:snapToGrid w:val="0"/>
                    <w:spacing w:line="240" w:lineRule="auto"/>
                    <w:rPr>
                      <w:rFonts w:hAnsi="宋体"/>
                      <w:color w:val="auto"/>
                      <w:kern w:val="2"/>
                      <w:sz w:val="21"/>
                    </w:rPr>
                  </w:pPr>
                  <w:r>
                    <w:rPr>
                      <w:color w:val="auto"/>
                      <w:kern w:val="2"/>
                      <w:sz w:val="21"/>
                    </w:rPr>
                    <w:t>（GB3838-2002）</w:t>
                  </w:r>
                  <w:r>
                    <w:rPr>
                      <w:rFonts w:hint="eastAsia" w:ascii="宋体" w:hAnsi="宋体" w:cs="宋体"/>
                      <w:color w:val="auto"/>
                      <w:kern w:val="2"/>
                      <w:sz w:val="21"/>
                    </w:rPr>
                    <w:t>Ⅲ</w:t>
                  </w:r>
                  <w:r>
                    <w:rPr>
                      <w:color w:val="auto"/>
                      <w:kern w:val="2"/>
                      <w:sz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Times New Roman"/>
                      <w:color w:val="auto"/>
                      <w:kern w:val="2"/>
                      <w:sz w:val="21"/>
                      <w:szCs w:val="21"/>
                    </w:rPr>
                    <w:t>2</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环境空气质量功能区</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二类，二级标准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Times New Roman"/>
                      <w:color w:val="auto"/>
                      <w:kern w:val="2"/>
                      <w:sz w:val="21"/>
                      <w:szCs w:val="21"/>
                    </w:rPr>
                    <w:t>3</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声环境功能区</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hint="eastAsia" w:ascii="Times New Roman" w:hAnsi="Times New Roman"/>
                      <w:color w:val="auto"/>
                      <w:kern w:val="2"/>
                      <w:sz w:val="21"/>
                      <w:szCs w:val="21"/>
                    </w:rPr>
                    <w:t>2</w:t>
                  </w:r>
                  <w:r>
                    <w:rPr>
                      <w:rFonts w:ascii="Times New Roman" w:hAnsi="宋体"/>
                      <w:color w:val="auto"/>
                      <w:kern w:val="2"/>
                      <w:sz w:val="21"/>
                      <w:szCs w:val="21"/>
                    </w:rPr>
                    <w:t>类，</w:t>
                  </w:r>
                  <w:r>
                    <w:rPr>
                      <w:rFonts w:hint="eastAsia" w:ascii="Times New Roman" w:hAnsi="Times New Roman"/>
                      <w:color w:val="auto"/>
                      <w:kern w:val="2"/>
                      <w:sz w:val="21"/>
                      <w:szCs w:val="21"/>
                    </w:rPr>
                    <w:t>2</w:t>
                  </w:r>
                  <w:r>
                    <w:rPr>
                      <w:rFonts w:ascii="Times New Roman" w:hAnsi="宋体"/>
                      <w:color w:val="auto"/>
                      <w:kern w:val="2"/>
                      <w:sz w:val="21"/>
                      <w:szCs w:val="21"/>
                    </w:rPr>
                    <w:t>类标准</w:t>
                  </w:r>
                  <w:r>
                    <w:rPr>
                      <w:rFonts w:ascii="Times New Roman" w:hAnsi="Times New Roman"/>
                      <w:color w:val="auto"/>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Times New Roman"/>
                      <w:color w:val="auto"/>
                      <w:kern w:val="2"/>
                      <w:sz w:val="21"/>
                      <w:szCs w:val="21"/>
                    </w:rPr>
                    <w:t>4</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是否基本农田保护区</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Times New Roman"/>
                      <w:color w:val="auto"/>
                      <w:kern w:val="2"/>
                      <w:sz w:val="21"/>
                      <w:szCs w:val="21"/>
                    </w:rPr>
                    <w:t>5</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是否森林、公园</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Times New Roman"/>
                      <w:color w:val="auto"/>
                      <w:kern w:val="2"/>
                      <w:sz w:val="21"/>
                      <w:szCs w:val="21"/>
                    </w:rPr>
                    <w:t>6</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是否生态功能保护区</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Times New Roman"/>
                      <w:color w:val="auto"/>
                      <w:kern w:val="2"/>
                      <w:sz w:val="21"/>
                      <w:szCs w:val="21"/>
                    </w:rPr>
                    <w:t>7</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是否水土流失重点防治区</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hint="eastAsia" w:ascii="Times New Roman" w:hAnsi="Times New Roman"/>
                      <w:color w:val="auto"/>
                      <w:kern w:val="2"/>
                      <w:sz w:val="21"/>
                      <w:szCs w:val="21"/>
                    </w:rPr>
                    <w:t>8</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是否重点文物保护单位</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hint="eastAsia" w:ascii="Times New Roman" w:hAnsi="Times New Roman"/>
                      <w:color w:val="auto"/>
                      <w:kern w:val="2"/>
                      <w:sz w:val="21"/>
                      <w:szCs w:val="21"/>
                    </w:rPr>
                    <w:t>9</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是否三河、三湖、两控区</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是（两控区）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hint="eastAsia" w:ascii="Times New Roman" w:hAnsi="Times New Roman"/>
                      <w:color w:val="auto"/>
                      <w:kern w:val="2"/>
                      <w:sz w:val="21"/>
                      <w:szCs w:val="21"/>
                    </w:rPr>
                    <w:t>10</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是否水库库区</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hint="eastAsia" w:ascii="Times New Roman" w:hAnsi="Times New Roman"/>
                      <w:color w:val="auto"/>
                      <w:kern w:val="2"/>
                      <w:sz w:val="21"/>
                      <w:szCs w:val="21"/>
                    </w:rPr>
                    <w:t>11</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是否污水处理厂集水范围</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0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hint="eastAsia" w:ascii="Times New Roman" w:hAnsi="Times New Roman"/>
                      <w:color w:val="auto"/>
                      <w:kern w:val="2"/>
                      <w:sz w:val="21"/>
                      <w:szCs w:val="21"/>
                    </w:rPr>
                    <w:t>12</w:t>
                  </w:r>
                </w:p>
              </w:tc>
              <w:tc>
                <w:tcPr>
                  <w:tcW w:w="3272"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是否属于生态敏感与脆弱区</w:t>
                  </w:r>
                </w:p>
              </w:tc>
              <w:tc>
                <w:tcPr>
                  <w:tcW w:w="4844" w:type="dxa"/>
                  <w:noWrap w:val="0"/>
                  <w:vAlign w:val="center"/>
                </w:tcPr>
                <w:p>
                  <w:pPr>
                    <w:pStyle w:val="29"/>
                    <w:widowControl/>
                    <w:autoSpaceDE/>
                    <w:snapToGrid w:val="0"/>
                    <w:spacing w:line="240" w:lineRule="auto"/>
                    <w:rPr>
                      <w:rFonts w:ascii="Times New Roman" w:hAnsi="Times New Roman"/>
                      <w:color w:val="auto"/>
                      <w:kern w:val="2"/>
                      <w:sz w:val="21"/>
                      <w:szCs w:val="21"/>
                    </w:rPr>
                  </w:pPr>
                  <w:r>
                    <w:rPr>
                      <w:rFonts w:ascii="Times New Roman" w:hAnsi="宋体"/>
                      <w:color w:val="auto"/>
                      <w:kern w:val="2"/>
                      <w:sz w:val="21"/>
                      <w:szCs w:val="21"/>
                    </w:rPr>
                    <w:t>否</w:t>
                  </w:r>
                </w:p>
              </w:tc>
            </w:tr>
          </w:tbl>
          <w:p>
            <w:pPr>
              <w:adjustRightInd w:val="0"/>
              <w:snapToGrid w:val="0"/>
              <w:spacing w:line="271" w:lineRule="auto"/>
              <w:jc w:val="center"/>
              <w:rPr>
                <w:rFonts w:hint="eastAsia" w:hAnsi="宋体"/>
                <w:b/>
                <w:color w:val="auto"/>
                <w:szCs w:val="21"/>
              </w:rPr>
            </w:pPr>
          </w:p>
          <w:p>
            <w:pPr>
              <w:spacing w:line="360" w:lineRule="auto"/>
              <w:ind w:firstLine="480" w:firstLineChars="200"/>
              <w:jc w:val="left"/>
              <w:rPr>
                <w:rFonts w:ascii="Times New Roman" w:hAnsi="Times New Roman"/>
                <w:bCs/>
                <w:color w:val="auto"/>
                <w:sz w:val="24"/>
                <w:szCs w:val="24"/>
              </w:rPr>
            </w:pPr>
          </w:p>
        </w:tc>
      </w:tr>
    </w:tbl>
    <w:p>
      <w:pPr>
        <w:pStyle w:val="2"/>
        <w:rPr>
          <w:color w:val="auto"/>
          <w:sz w:val="24"/>
          <w:szCs w:val="24"/>
        </w:rPr>
      </w:pPr>
    </w:p>
    <w:p>
      <w:pPr>
        <w:pStyle w:val="2"/>
        <w:rPr>
          <w:color w:val="auto"/>
          <w:sz w:val="24"/>
          <w:szCs w:val="24"/>
        </w:rPr>
      </w:pPr>
    </w:p>
    <w:p>
      <w:pPr>
        <w:pStyle w:val="2"/>
        <w:rPr>
          <w:color w:val="auto"/>
          <w:sz w:val="24"/>
          <w:szCs w:val="24"/>
        </w:rPr>
      </w:pPr>
    </w:p>
    <w:p>
      <w:pPr>
        <w:pStyle w:val="2"/>
        <w:rPr>
          <w:color w:val="auto"/>
          <w:sz w:val="24"/>
          <w:szCs w:val="24"/>
        </w:rPr>
        <w:sectPr>
          <w:footerReference r:id="rId5" w:type="default"/>
          <w:pgSz w:w="11906" w:h="16838"/>
          <w:pgMar w:top="2098" w:right="1474" w:bottom="1984" w:left="1800" w:header="851" w:footer="992" w:gutter="0"/>
          <w:pgNumType w:fmt="decimal" w:start="1"/>
          <w:cols w:space="425" w:num="1"/>
          <w:docGrid w:type="lines" w:linePitch="312" w:charSpace="0"/>
        </w:sectPr>
      </w:pPr>
    </w:p>
    <w:p>
      <w:pPr>
        <w:pStyle w:val="3"/>
        <w:pageBreakBefore/>
        <w:spacing w:before="0" w:after="0" w:line="360" w:lineRule="auto"/>
        <w:rPr>
          <w:bCs w:val="0"/>
          <w:color w:val="auto"/>
          <w:kern w:val="0"/>
          <w:sz w:val="28"/>
          <w:szCs w:val="28"/>
        </w:rPr>
      </w:pPr>
      <w:bookmarkStart w:id="3" w:name="_Toc29308628"/>
      <w:bookmarkStart w:id="4" w:name="_Toc29307428"/>
      <w:r>
        <w:rPr>
          <w:rFonts w:hint="eastAsia"/>
          <w:bCs w:val="0"/>
          <w:color w:val="auto"/>
          <w:kern w:val="0"/>
          <w:sz w:val="28"/>
          <w:szCs w:val="28"/>
        </w:rPr>
        <w:t>三、环境质量现状</w:t>
      </w:r>
      <w:bookmarkEnd w:id="3"/>
      <w:bookmarkEnd w:id="4"/>
    </w:p>
    <w:tbl>
      <w:tblPr>
        <w:tblStyle w:val="22"/>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trPr>
        <w:tc>
          <w:tcPr>
            <w:tcW w:w="9498" w:type="dxa"/>
            <w:noWrap w:val="0"/>
            <w:vAlign w:val="top"/>
          </w:tcPr>
          <w:p>
            <w:pPr>
              <w:spacing w:line="60" w:lineRule="auto"/>
              <w:jc w:val="left"/>
              <w:rPr>
                <w:rFonts w:hint="eastAsia" w:ascii="Times New Roman" w:hAnsi="Times New Roman"/>
                <w:b/>
                <w:bCs/>
                <w:color w:val="auto"/>
                <w:sz w:val="28"/>
                <w:szCs w:val="32"/>
              </w:rPr>
            </w:pPr>
            <w:r>
              <w:rPr>
                <w:rStyle w:val="27"/>
                <w:rFonts w:eastAsia="宋体"/>
                <w:color w:val="auto"/>
              </w:rPr>
              <w:t>建设项目所在地区域环境质量现状及主要环境问题（环境空气、地</w:t>
            </w:r>
            <w:r>
              <w:rPr>
                <w:rStyle w:val="27"/>
                <w:rFonts w:hint="eastAsia" w:eastAsia="宋体"/>
                <w:color w:val="auto"/>
              </w:rPr>
              <w:t>表</w:t>
            </w:r>
            <w:r>
              <w:rPr>
                <w:rStyle w:val="27"/>
                <w:rFonts w:eastAsia="宋体"/>
                <w:color w:val="auto"/>
              </w:rPr>
              <w:t>水、地下水、声环境、生态环境等）</w:t>
            </w:r>
          </w:p>
          <w:p>
            <w:pPr>
              <w:spacing w:line="360" w:lineRule="auto"/>
              <w:jc w:val="left"/>
              <w:rPr>
                <w:rFonts w:hint="eastAsia" w:ascii="Times New Roman" w:hAnsi="Times New Roman"/>
                <w:b/>
                <w:bCs/>
                <w:color w:val="auto"/>
                <w:sz w:val="24"/>
                <w:szCs w:val="24"/>
              </w:rPr>
            </w:pPr>
            <w:r>
              <w:rPr>
                <w:rFonts w:hint="eastAsia" w:ascii="Times New Roman" w:hAnsi="Times New Roman"/>
                <w:b/>
                <w:bCs/>
                <w:color w:val="auto"/>
                <w:sz w:val="24"/>
                <w:szCs w:val="24"/>
              </w:rPr>
              <w:t>3.1 环境空气质量现状</w:t>
            </w:r>
          </w:p>
          <w:p>
            <w:pPr>
              <w:spacing w:line="360" w:lineRule="auto"/>
              <w:ind w:firstLine="480" w:firstLineChars="200"/>
              <w:jc w:val="left"/>
              <w:rPr>
                <w:rFonts w:hint="eastAsia"/>
                <w:bCs/>
                <w:color w:val="auto"/>
                <w:sz w:val="24"/>
                <w:szCs w:val="24"/>
                <w:lang w:val="en-US" w:eastAsia="zh-CN"/>
              </w:rPr>
            </w:pPr>
            <w:r>
              <w:rPr>
                <w:rFonts w:hint="eastAsia"/>
                <w:bCs/>
                <w:color w:val="auto"/>
                <w:sz w:val="24"/>
                <w:szCs w:val="24"/>
                <w:lang w:eastAsia="zh-CN"/>
              </w:rPr>
              <w:t>（</w:t>
            </w:r>
            <w:r>
              <w:rPr>
                <w:rFonts w:hint="eastAsia"/>
                <w:bCs/>
                <w:color w:val="auto"/>
                <w:sz w:val="24"/>
                <w:szCs w:val="24"/>
                <w:lang w:val="en-US" w:eastAsia="zh-CN"/>
              </w:rPr>
              <w:t>1</w:t>
            </w:r>
            <w:r>
              <w:rPr>
                <w:rFonts w:hint="eastAsia"/>
                <w:bCs/>
                <w:color w:val="auto"/>
                <w:sz w:val="24"/>
                <w:szCs w:val="24"/>
                <w:lang w:eastAsia="zh-CN"/>
              </w:rPr>
              <w:t>）</w:t>
            </w:r>
            <w:r>
              <w:rPr>
                <w:rFonts w:hint="eastAsia"/>
                <w:bCs/>
                <w:color w:val="auto"/>
                <w:sz w:val="24"/>
                <w:szCs w:val="24"/>
                <w:lang w:val="en-US" w:eastAsia="zh-CN"/>
              </w:rPr>
              <w:t>达标区分析</w:t>
            </w:r>
          </w:p>
          <w:p>
            <w:pPr>
              <w:spacing w:line="360" w:lineRule="auto"/>
              <w:ind w:firstLine="480" w:firstLineChars="200"/>
              <w:jc w:val="left"/>
              <w:rPr>
                <w:rFonts w:ascii="Times New Roman" w:hAnsi="Times New Roman"/>
                <w:bCs/>
                <w:color w:val="auto"/>
                <w:sz w:val="24"/>
                <w:szCs w:val="24"/>
              </w:rPr>
            </w:pPr>
            <w:r>
              <w:rPr>
                <w:rFonts w:hint="eastAsia" w:ascii="Times New Roman" w:hAnsi="Times New Roman"/>
                <w:bCs/>
                <w:color w:val="auto"/>
                <w:sz w:val="24"/>
                <w:szCs w:val="24"/>
              </w:rPr>
              <w:t>本项目大气环境质量评价区域属二类区，故大气环境质量现状评价采用《环境空气质量标准》</w:t>
            </w:r>
            <w:r>
              <w:rPr>
                <w:rFonts w:ascii="Times New Roman" w:hAnsi="Times New Roman"/>
                <w:bCs/>
                <w:color w:val="auto"/>
                <w:sz w:val="24"/>
                <w:szCs w:val="24"/>
              </w:rPr>
              <w:t>(GB3095-2012)</w:t>
            </w:r>
            <w:r>
              <w:rPr>
                <w:rFonts w:hint="eastAsia" w:ascii="Times New Roman" w:hAnsi="Times New Roman"/>
                <w:bCs/>
                <w:color w:val="auto"/>
                <w:sz w:val="24"/>
                <w:szCs w:val="24"/>
              </w:rPr>
              <w:t>二级标准。为了解项目所在区域的空气环境质量，本次评价采用怀化市生态环境主管部门公开发布的《怀化市城市环境空气质量年报（201</w:t>
            </w:r>
            <w:r>
              <w:rPr>
                <w:rFonts w:hint="eastAsia"/>
                <w:bCs/>
                <w:color w:val="auto"/>
                <w:sz w:val="24"/>
                <w:szCs w:val="24"/>
                <w:lang w:val="en-US" w:eastAsia="zh-CN"/>
              </w:rPr>
              <w:t>9</w:t>
            </w:r>
            <w:r>
              <w:rPr>
                <w:rFonts w:hint="eastAsia" w:ascii="Times New Roman" w:hAnsi="Times New Roman"/>
                <w:bCs/>
                <w:color w:val="auto"/>
                <w:sz w:val="24"/>
                <w:szCs w:val="24"/>
              </w:rPr>
              <w:t>年）》中的数据或结论。</w:t>
            </w:r>
          </w:p>
          <w:p>
            <w:pPr>
              <w:spacing w:line="360" w:lineRule="auto"/>
              <w:ind w:firstLine="480" w:firstLineChars="200"/>
              <w:jc w:val="left"/>
              <w:rPr>
                <w:rFonts w:ascii="Times New Roman" w:hAnsi="Times New Roman"/>
                <w:bCs/>
                <w:color w:val="auto"/>
                <w:sz w:val="24"/>
                <w:szCs w:val="24"/>
              </w:rPr>
            </w:pPr>
            <w:r>
              <w:rPr>
                <w:rFonts w:hint="eastAsia" w:ascii="Times New Roman" w:hAnsi="Times New Roman"/>
                <w:bCs/>
                <w:color w:val="auto"/>
                <w:sz w:val="24"/>
                <w:szCs w:val="24"/>
              </w:rPr>
              <w:t>根据怀化市环境监测站发布的《201</w:t>
            </w:r>
            <w:r>
              <w:rPr>
                <w:rFonts w:hint="eastAsia"/>
                <w:bCs/>
                <w:color w:val="auto"/>
                <w:sz w:val="24"/>
                <w:szCs w:val="24"/>
                <w:lang w:val="en-US" w:eastAsia="zh-CN"/>
              </w:rPr>
              <w:t>9</w:t>
            </w:r>
            <w:r>
              <w:rPr>
                <w:rFonts w:hint="eastAsia" w:ascii="Times New Roman" w:hAnsi="Times New Roman"/>
                <w:bCs/>
                <w:color w:val="auto"/>
                <w:sz w:val="24"/>
                <w:szCs w:val="24"/>
              </w:rPr>
              <w:t>年环境空气质量年报》中关于</w:t>
            </w:r>
            <w:r>
              <w:rPr>
                <w:rFonts w:hint="eastAsia"/>
                <w:bCs/>
                <w:color w:val="auto"/>
                <w:sz w:val="24"/>
                <w:szCs w:val="24"/>
                <w:lang w:eastAsia="zh-CN"/>
              </w:rPr>
              <w:t>洪江区</w:t>
            </w:r>
            <w:r>
              <w:rPr>
                <w:rFonts w:hint="eastAsia" w:ascii="Times New Roman" w:hAnsi="Times New Roman"/>
                <w:bCs/>
                <w:color w:val="auto"/>
                <w:sz w:val="24"/>
                <w:szCs w:val="24"/>
              </w:rPr>
              <w:t>环境空气监测因子SO</w:t>
            </w:r>
            <w:r>
              <w:rPr>
                <w:rFonts w:hint="eastAsia" w:ascii="Times New Roman" w:hAnsi="Times New Roman"/>
                <w:bCs/>
                <w:color w:val="auto"/>
                <w:sz w:val="24"/>
                <w:szCs w:val="24"/>
                <w:vertAlign w:val="subscript"/>
              </w:rPr>
              <w:t>2</w:t>
            </w:r>
            <w:r>
              <w:rPr>
                <w:rFonts w:hint="eastAsia" w:ascii="Times New Roman" w:hAnsi="Times New Roman"/>
                <w:bCs/>
                <w:color w:val="auto"/>
                <w:sz w:val="24"/>
                <w:szCs w:val="24"/>
              </w:rPr>
              <w:t>、NO</w:t>
            </w:r>
            <w:r>
              <w:rPr>
                <w:rFonts w:hint="eastAsia" w:ascii="Times New Roman" w:hAnsi="Times New Roman"/>
                <w:bCs/>
                <w:color w:val="auto"/>
                <w:sz w:val="24"/>
                <w:szCs w:val="24"/>
                <w:vertAlign w:val="subscript"/>
              </w:rPr>
              <w:t>2</w:t>
            </w:r>
            <w:r>
              <w:rPr>
                <w:rFonts w:hint="eastAsia" w:ascii="Times New Roman" w:hAnsi="Times New Roman"/>
                <w:bCs/>
                <w:color w:val="auto"/>
                <w:sz w:val="24"/>
                <w:szCs w:val="24"/>
              </w:rPr>
              <w:t>、PM</w:t>
            </w:r>
            <w:r>
              <w:rPr>
                <w:rFonts w:hint="eastAsia" w:ascii="Times New Roman" w:hAnsi="Times New Roman"/>
                <w:bCs/>
                <w:color w:val="auto"/>
                <w:sz w:val="24"/>
                <w:szCs w:val="24"/>
                <w:vertAlign w:val="subscript"/>
              </w:rPr>
              <w:t>10</w:t>
            </w:r>
            <w:r>
              <w:rPr>
                <w:rFonts w:hint="eastAsia" w:ascii="Times New Roman" w:hAnsi="Times New Roman"/>
                <w:bCs/>
                <w:color w:val="auto"/>
                <w:sz w:val="24"/>
                <w:szCs w:val="24"/>
              </w:rPr>
              <w:t>、CO、O</w:t>
            </w:r>
            <w:r>
              <w:rPr>
                <w:rFonts w:hint="eastAsia" w:ascii="Times New Roman" w:hAnsi="Times New Roman"/>
                <w:bCs/>
                <w:color w:val="auto"/>
                <w:sz w:val="24"/>
                <w:szCs w:val="24"/>
                <w:vertAlign w:val="subscript"/>
              </w:rPr>
              <w:t>3</w:t>
            </w:r>
            <w:r>
              <w:rPr>
                <w:rFonts w:hint="eastAsia" w:ascii="Times New Roman" w:hAnsi="Times New Roman"/>
                <w:bCs/>
                <w:color w:val="auto"/>
                <w:sz w:val="24"/>
                <w:szCs w:val="24"/>
              </w:rPr>
              <w:t>、PM</w:t>
            </w:r>
            <w:r>
              <w:rPr>
                <w:rFonts w:hint="eastAsia" w:ascii="Times New Roman" w:hAnsi="Times New Roman"/>
                <w:bCs/>
                <w:color w:val="auto"/>
                <w:sz w:val="24"/>
                <w:szCs w:val="24"/>
                <w:vertAlign w:val="subscript"/>
              </w:rPr>
              <w:t>2.5</w:t>
            </w:r>
            <w:r>
              <w:rPr>
                <w:rFonts w:hint="eastAsia" w:ascii="Times New Roman" w:hAnsi="Times New Roman"/>
                <w:bCs/>
                <w:color w:val="auto"/>
                <w:sz w:val="24"/>
                <w:szCs w:val="24"/>
              </w:rPr>
              <w:t>的201</w:t>
            </w:r>
            <w:r>
              <w:rPr>
                <w:rFonts w:hint="eastAsia"/>
                <w:bCs/>
                <w:color w:val="auto"/>
                <w:sz w:val="24"/>
                <w:szCs w:val="24"/>
                <w:lang w:val="en-US" w:eastAsia="zh-CN"/>
              </w:rPr>
              <w:t>9</w:t>
            </w:r>
            <w:r>
              <w:rPr>
                <w:rFonts w:hint="eastAsia" w:ascii="Times New Roman" w:hAnsi="Times New Roman"/>
                <w:bCs/>
                <w:color w:val="auto"/>
                <w:sz w:val="24"/>
                <w:szCs w:val="24"/>
              </w:rPr>
              <w:t>年年平均浓度的数据，网址见：</w:t>
            </w:r>
          </w:p>
          <w:p>
            <w:pPr>
              <w:spacing w:line="360" w:lineRule="auto"/>
              <w:ind w:firstLine="480" w:firstLineChars="200"/>
              <w:jc w:val="left"/>
              <w:rPr>
                <w:rFonts w:hint="eastAsia" w:ascii="Times New Roman" w:hAnsi="Times New Roman"/>
                <w:bCs/>
                <w:color w:val="auto"/>
                <w:sz w:val="24"/>
                <w:szCs w:val="24"/>
                <w:u w:val="none"/>
              </w:rPr>
            </w:pPr>
            <w:r>
              <w:rPr>
                <w:rFonts w:hint="eastAsia" w:ascii="Times New Roman" w:hAnsi="Times New Roman"/>
                <w:bCs/>
                <w:color w:val="auto"/>
                <w:sz w:val="24"/>
                <w:szCs w:val="24"/>
                <w:u w:val="none"/>
              </w:rPr>
              <w:fldChar w:fldCharType="begin"/>
            </w:r>
            <w:r>
              <w:rPr>
                <w:rFonts w:hint="eastAsia" w:ascii="Times New Roman" w:hAnsi="Times New Roman"/>
                <w:bCs/>
                <w:color w:val="auto"/>
                <w:sz w:val="24"/>
                <w:szCs w:val="24"/>
                <w:u w:val="none"/>
              </w:rPr>
              <w:instrText xml:space="preserve"> HYPERLINK "http://www.huaihua.gov.cn/sthjj/c115423/202004/882bfb92753944faa6e7c55fd7e97f6d.shtml" </w:instrText>
            </w:r>
            <w:r>
              <w:rPr>
                <w:rFonts w:hint="eastAsia" w:ascii="Times New Roman" w:hAnsi="Times New Roman"/>
                <w:bCs/>
                <w:color w:val="auto"/>
                <w:sz w:val="24"/>
                <w:szCs w:val="24"/>
                <w:u w:val="none"/>
              </w:rPr>
              <w:fldChar w:fldCharType="separate"/>
            </w:r>
            <w:r>
              <w:rPr>
                <w:rStyle w:val="25"/>
                <w:rFonts w:hint="eastAsia" w:ascii="Times New Roman" w:hAnsi="Times New Roman"/>
                <w:bCs/>
                <w:color w:val="auto"/>
                <w:sz w:val="24"/>
                <w:szCs w:val="24"/>
                <w:u w:val="none"/>
              </w:rPr>
              <w:t>http://www.huaihua.gov.cn/sthjj/c115423/202004/882bfb92753944faa6e7c55fd7e97f6d.shtml</w:t>
            </w:r>
            <w:r>
              <w:rPr>
                <w:rFonts w:hint="eastAsia" w:ascii="Times New Roman" w:hAnsi="Times New Roman"/>
                <w:bCs/>
                <w:color w:val="auto"/>
                <w:sz w:val="24"/>
                <w:szCs w:val="24"/>
                <w:u w:val="none"/>
              </w:rPr>
              <w:fldChar w:fldCharType="end"/>
            </w:r>
          </w:p>
          <w:p>
            <w:pPr>
              <w:spacing w:line="360" w:lineRule="auto"/>
              <w:ind w:firstLine="480" w:firstLineChars="200"/>
              <w:jc w:val="left"/>
              <w:rPr>
                <w:rFonts w:ascii="Times New Roman" w:hAnsi="Times New Roman"/>
                <w:bCs/>
                <w:color w:val="auto"/>
                <w:sz w:val="24"/>
                <w:szCs w:val="24"/>
              </w:rPr>
            </w:pPr>
            <w:r>
              <w:rPr>
                <w:rFonts w:hint="eastAsia" w:ascii="Times New Roman" w:hAnsi="Times New Roman"/>
                <w:bCs/>
                <w:color w:val="auto"/>
                <w:sz w:val="24"/>
                <w:szCs w:val="24"/>
              </w:rPr>
              <w:t>对建设项目所在地区环境空气质量现状进行分析，监测数据及达标情况详见表3-1：。</w:t>
            </w:r>
          </w:p>
          <w:p>
            <w:pPr>
              <w:spacing w:line="360" w:lineRule="auto"/>
              <w:jc w:val="center"/>
              <w:rPr>
                <w:rFonts w:hint="eastAsia" w:ascii="Times New Roman" w:hAnsi="Times New Roman"/>
                <w:b/>
                <w:bCs/>
                <w:color w:val="auto"/>
                <w:szCs w:val="21"/>
              </w:rPr>
            </w:pPr>
            <w:r>
              <w:rPr>
                <w:rFonts w:hint="eastAsia" w:ascii="Times New Roman" w:hAnsi="Times New Roman"/>
                <w:b/>
                <w:bCs/>
                <w:color w:val="auto"/>
                <w:szCs w:val="21"/>
              </w:rPr>
              <w:t>表3-1：201</w:t>
            </w:r>
            <w:r>
              <w:rPr>
                <w:rFonts w:hint="eastAsia"/>
                <w:b/>
                <w:bCs/>
                <w:color w:val="auto"/>
                <w:szCs w:val="21"/>
                <w:lang w:val="en-US" w:eastAsia="zh-CN"/>
              </w:rPr>
              <w:t>9</w:t>
            </w:r>
            <w:r>
              <w:rPr>
                <w:rFonts w:hint="eastAsia" w:ascii="Times New Roman" w:hAnsi="Times New Roman"/>
                <w:b/>
                <w:bCs/>
                <w:color w:val="auto"/>
                <w:szCs w:val="21"/>
              </w:rPr>
              <w:t>年洪江区环境空气质量评价结果</w:t>
            </w:r>
          </w:p>
          <w:tbl>
            <w:tblPr>
              <w:tblStyle w:val="22"/>
              <w:tblW w:w="487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6"/>
              <w:gridCol w:w="2179"/>
              <w:gridCol w:w="1876"/>
              <w:gridCol w:w="1732"/>
              <w:gridCol w:w="1154"/>
              <w:gridCol w:w="11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936" w:type="dxa"/>
                  <w:noWrap w:val="0"/>
                  <w:vAlign w:val="center"/>
                </w:tcPr>
                <w:p>
                  <w:pPr>
                    <w:pStyle w:val="49"/>
                    <w:rPr>
                      <w:b/>
                      <w:color w:val="auto"/>
                    </w:rPr>
                  </w:pPr>
                  <w:r>
                    <w:rPr>
                      <w:rFonts w:hint="eastAsia"/>
                      <w:b/>
                      <w:color w:val="auto"/>
                    </w:rPr>
                    <w:t>污染物</w:t>
                  </w:r>
                </w:p>
              </w:tc>
              <w:tc>
                <w:tcPr>
                  <w:tcW w:w="2179" w:type="dxa"/>
                  <w:noWrap w:val="0"/>
                  <w:vAlign w:val="center"/>
                </w:tcPr>
                <w:p>
                  <w:pPr>
                    <w:pStyle w:val="49"/>
                    <w:rPr>
                      <w:b/>
                      <w:color w:val="auto"/>
                    </w:rPr>
                  </w:pPr>
                  <w:r>
                    <w:rPr>
                      <w:rFonts w:hint="eastAsia"/>
                      <w:b/>
                      <w:color w:val="auto"/>
                    </w:rPr>
                    <w:t>评价指标</w:t>
                  </w:r>
                </w:p>
              </w:tc>
              <w:tc>
                <w:tcPr>
                  <w:tcW w:w="1876" w:type="dxa"/>
                  <w:noWrap w:val="0"/>
                  <w:vAlign w:val="center"/>
                </w:tcPr>
                <w:p>
                  <w:pPr>
                    <w:pStyle w:val="49"/>
                    <w:rPr>
                      <w:b/>
                      <w:color w:val="auto"/>
                    </w:rPr>
                  </w:pPr>
                  <w:r>
                    <w:rPr>
                      <w:rFonts w:hint="eastAsia"/>
                      <w:b/>
                      <w:color w:val="auto"/>
                    </w:rPr>
                    <w:t>现状浓度/(u</w:t>
                  </w:r>
                  <w:r>
                    <w:rPr>
                      <w:b/>
                      <w:color w:val="auto"/>
                    </w:rPr>
                    <w:t>g/m</w:t>
                  </w:r>
                  <w:r>
                    <w:rPr>
                      <w:rFonts w:hint="eastAsia"/>
                      <w:b/>
                      <w:color w:val="auto"/>
                      <w:vertAlign w:val="superscript"/>
                    </w:rPr>
                    <w:t>3</w:t>
                  </w:r>
                  <w:r>
                    <w:rPr>
                      <w:rFonts w:hint="eastAsia"/>
                      <w:b/>
                      <w:color w:val="auto"/>
                    </w:rPr>
                    <w:t>)</w:t>
                  </w:r>
                </w:p>
              </w:tc>
              <w:tc>
                <w:tcPr>
                  <w:tcW w:w="1732" w:type="dxa"/>
                  <w:noWrap w:val="0"/>
                  <w:vAlign w:val="center"/>
                </w:tcPr>
                <w:p>
                  <w:pPr>
                    <w:pStyle w:val="49"/>
                    <w:rPr>
                      <w:b/>
                      <w:color w:val="auto"/>
                    </w:rPr>
                  </w:pPr>
                  <w:r>
                    <w:rPr>
                      <w:rFonts w:hint="eastAsia"/>
                      <w:b/>
                      <w:color w:val="auto"/>
                    </w:rPr>
                    <w:t>标准值/(u</w:t>
                  </w:r>
                  <w:r>
                    <w:rPr>
                      <w:b/>
                      <w:color w:val="auto"/>
                    </w:rPr>
                    <w:t>g/m</w:t>
                  </w:r>
                  <w:r>
                    <w:rPr>
                      <w:rFonts w:hint="eastAsia"/>
                      <w:b/>
                      <w:color w:val="auto"/>
                      <w:vertAlign w:val="superscript"/>
                    </w:rPr>
                    <w:t>3</w:t>
                  </w:r>
                  <w:r>
                    <w:rPr>
                      <w:rFonts w:hint="eastAsia"/>
                      <w:b/>
                      <w:color w:val="auto"/>
                    </w:rPr>
                    <w:t>)</w:t>
                  </w:r>
                </w:p>
              </w:tc>
              <w:tc>
                <w:tcPr>
                  <w:tcW w:w="1154" w:type="dxa"/>
                  <w:noWrap w:val="0"/>
                  <w:vAlign w:val="center"/>
                </w:tcPr>
                <w:p>
                  <w:pPr>
                    <w:pStyle w:val="49"/>
                    <w:rPr>
                      <w:b/>
                      <w:color w:val="auto"/>
                    </w:rPr>
                  </w:pPr>
                  <w:r>
                    <w:rPr>
                      <w:rFonts w:hint="eastAsia"/>
                      <w:b/>
                      <w:color w:val="auto"/>
                    </w:rPr>
                    <w:t>占标率/%</w:t>
                  </w:r>
                </w:p>
              </w:tc>
              <w:tc>
                <w:tcPr>
                  <w:tcW w:w="1179" w:type="dxa"/>
                  <w:noWrap w:val="0"/>
                  <w:vAlign w:val="center"/>
                </w:tcPr>
                <w:p>
                  <w:pPr>
                    <w:pStyle w:val="49"/>
                    <w:rPr>
                      <w:b/>
                      <w:color w:val="auto"/>
                    </w:rPr>
                  </w:pPr>
                  <w:r>
                    <w:rPr>
                      <w:rFonts w:hint="eastAsia"/>
                      <w:b/>
                      <w:color w:val="auto"/>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936" w:type="dxa"/>
                  <w:noWrap w:val="0"/>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rPr>
                  </w:pPr>
                  <w:r>
                    <w:rPr>
                      <w:rFonts w:cs="Times New Roman"/>
                      <w:b w:val="0"/>
                      <w:bCs/>
                      <w:color w:val="auto"/>
                      <w:u w:val="none"/>
                    </w:rPr>
                    <w:t>SO</w:t>
                  </w:r>
                  <w:r>
                    <w:rPr>
                      <w:rFonts w:cs="Times New Roman"/>
                      <w:b w:val="0"/>
                      <w:bCs/>
                      <w:color w:val="auto"/>
                      <w:u w:val="none"/>
                      <w:vertAlign w:val="subscript"/>
                    </w:rPr>
                    <w:t>2</w:t>
                  </w:r>
                </w:p>
              </w:tc>
              <w:tc>
                <w:tcPr>
                  <w:tcW w:w="2179" w:type="dxa"/>
                  <w:noWrap w:val="0"/>
                  <w:vAlign w:val="center"/>
                </w:tcPr>
                <w:p>
                  <w:pPr>
                    <w:pStyle w:val="49"/>
                    <w:rPr>
                      <w:color w:val="auto"/>
                    </w:rPr>
                  </w:pPr>
                  <w:r>
                    <w:rPr>
                      <w:rFonts w:hint="eastAsia"/>
                      <w:color w:val="auto"/>
                    </w:rPr>
                    <w:t>年平均质量浓度</w:t>
                  </w:r>
                </w:p>
              </w:tc>
              <w:tc>
                <w:tcPr>
                  <w:tcW w:w="1876" w:type="dxa"/>
                  <w:noWrap w:val="0"/>
                  <w:vAlign w:val="center"/>
                </w:tcPr>
                <w:p>
                  <w:pPr>
                    <w:pStyle w:val="49"/>
                    <w:rPr>
                      <w:rFonts w:hint="default" w:eastAsia="宋体"/>
                      <w:color w:val="auto"/>
                      <w:lang w:val="en-US" w:eastAsia="zh-CN"/>
                    </w:rPr>
                  </w:pPr>
                  <w:r>
                    <w:rPr>
                      <w:rFonts w:hint="eastAsia"/>
                      <w:color w:val="auto"/>
                      <w:lang w:val="en-US" w:eastAsia="zh-CN"/>
                    </w:rPr>
                    <w:t>9</w:t>
                  </w:r>
                </w:p>
              </w:tc>
              <w:tc>
                <w:tcPr>
                  <w:tcW w:w="1732"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rPr>
                  </w:pPr>
                  <w:r>
                    <w:rPr>
                      <w:rFonts w:hint="eastAsia"/>
                      <w:color w:val="auto"/>
                      <w:kern w:val="0"/>
                      <w:szCs w:val="21"/>
                      <w:u w:val="none"/>
                    </w:rPr>
                    <w:t>60</w:t>
                  </w:r>
                </w:p>
              </w:tc>
              <w:tc>
                <w:tcPr>
                  <w:tcW w:w="1154" w:type="dxa"/>
                  <w:noWrap w:val="0"/>
                  <w:vAlign w:val="center"/>
                </w:tcPr>
                <w:p>
                  <w:pPr>
                    <w:pStyle w:val="49"/>
                    <w:rPr>
                      <w:rFonts w:hint="default" w:eastAsia="宋体"/>
                      <w:color w:val="auto"/>
                      <w:lang w:val="en-US" w:eastAsia="zh-CN"/>
                    </w:rPr>
                  </w:pPr>
                  <w:r>
                    <w:rPr>
                      <w:rFonts w:hint="eastAsia"/>
                      <w:color w:val="auto"/>
                      <w:lang w:val="en-US" w:eastAsia="zh-CN"/>
                    </w:rPr>
                    <w:t>15</w:t>
                  </w:r>
                </w:p>
              </w:tc>
              <w:tc>
                <w:tcPr>
                  <w:tcW w:w="1179" w:type="dxa"/>
                  <w:noWrap w:val="0"/>
                  <w:vAlign w:val="center"/>
                </w:tcPr>
                <w:p>
                  <w:pPr>
                    <w:pStyle w:val="49"/>
                    <w:rPr>
                      <w:color w:val="auto"/>
                    </w:rPr>
                  </w:pPr>
                  <w:r>
                    <w:rPr>
                      <w:rFonts w:hint="eastAsia"/>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936" w:type="dxa"/>
                  <w:noWrap w:val="0"/>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rPr>
                  </w:pPr>
                  <w:r>
                    <w:rPr>
                      <w:rFonts w:cs="Times New Roman"/>
                      <w:b w:val="0"/>
                      <w:bCs/>
                      <w:color w:val="auto"/>
                      <w:u w:val="none"/>
                    </w:rPr>
                    <w:t>NO</w:t>
                  </w:r>
                  <w:r>
                    <w:rPr>
                      <w:rFonts w:cs="Times New Roman"/>
                      <w:b w:val="0"/>
                      <w:bCs/>
                      <w:color w:val="auto"/>
                      <w:u w:val="none"/>
                      <w:vertAlign w:val="subscript"/>
                    </w:rPr>
                    <w:t>2</w:t>
                  </w:r>
                </w:p>
              </w:tc>
              <w:tc>
                <w:tcPr>
                  <w:tcW w:w="2179" w:type="dxa"/>
                  <w:noWrap w:val="0"/>
                  <w:vAlign w:val="center"/>
                </w:tcPr>
                <w:p>
                  <w:pPr>
                    <w:pStyle w:val="49"/>
                    <w:rPr>
                      <w:color w:val="auto"/>
                    </w:rPr>
                  </w:pPr>
                  <w:r>
                    <w:rPr>
                      <w:rFonts w:hint="eastAsia"/>
                      <w:color w:val="auto"/>
                    </w:rPr>
                    <w:t>年平均质量浓度</w:t>
                  </w:r>
                </w:p>
              </w:tc>
              <w:tc>
                <w:tcPr>
                  <w:tcW w:w="1876" w:type="dxa"/>
                  <w:noWrap w:val="0"/>
                  <w:vAlign w:val="center"/>
                </w:tcPr>
                <w:p>
                  <w:pPr>
                    <w:pStyle w:val="49"/>
                    <w:rPr>
                      <w:rFonts w:hint="default" w:eastAsia="宋体"/>
                      <w:color w:val="auto"/>
                      <w:lang w:val="en-US" w:eastAsia="zh-CN"/>
                    </w:rPr>
                  </w:pPr>
                  <w:r>
                    <w:rPr>
                      <w:rFonts w:hint="eastAsia"/>
                      <w:color w:val="auto"/>
                      <w:lang w:val="en-US" w:eastAsia="zh-CN"/>
                    </w:rPr>
                    <w:t>9</w:t>
                  </w:r>
                </w:p>
              </w:tc>
              <w:tc>
                <w:tcPr>
                  <w:tcW w:w="1732"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rPr>
                  </w:pPr>
                  <w:r>
                    <w:rPr>
                      <w:rFonts w:hint="eastAsia"/>
                      <w:color w:val="auto"/>
                      <w:kern w:val="0"/>
                      <w:szCs w:val="21"/>
                      <w:u w:val="none"/>
                    </w:rPr>
                    <w:t>40</w:t>
                  </w:r>
                </w:p>
              </w:tc>
              <w:tc>
                <w:tcPr>
                  <w:tcW w:w="1154" w:type="dxa"/>
                  <w:noWrap w:val="0"/>
                  <w:vAlign w:val="center"/>
                </w:tcPr>
                <w:p>
                  <w:pPr>
                    <w:pStyle w:val="49"/>
                    <w:rPr>
                      <w:rFonts w:hint="default" w:eastAsia="宋体"/>
                      <w:color w:val="auto"/>
                      <w:lang w:val="en-US" w:eastAsia="zh-CN"/>
                    </w:rPr>
                  </w:pPr>
                  <w:r>
                    <w:rPr>
                      <w:rFonts w:hint="eastAsia"/>
                      <w:color w:val="auto"/>
                      <w:lang w:val="en-US" w:eastAsia="zh-CN"/>
                    </w:rPr>
                    <w:t>22.5</w:t>
                  </w:r>
                </w:p>
              </w:tc>
              <w:tc>
                <w:tcPr>
                  <w:tcW w:w="1179" w:type="dxa"/>
                  <w:noWrap w:val="0"/>
                  <w:vAlign w:val="center"/>
                </w:tcPr>
                <w:p>
                  <w:pPr>
                    <w:pStyle w:val="49"/>
                    <w:rPr>
                      <w:color w:val="auto"/>
                    </w:rPr>
                  </w:pPr>
                  <w:r>
                    <w:rPr>
                      <w:rFonts w:hint="eastAsia"/>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936" w:type="dxa"/>
                  <w:noWrap w:val="0"/>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rPr>
                  </w:pPr>
                  <w:r>
                    <w:rPr>
                      <w:rFonts w:cs="Times New Roman"/>
                      <w:b w:val="0"/>
                      <w:bCs/>
                      <w:color w:val="auto"/>
                      <w:u w:val="none"/>
                    </w:rPr>
                    <w:t>PM</w:t>
                  </w:r>
                  <w:r>
                    <w:rPr>
                      <w:rFonts w:cs="Times New Roman"/>
                      <w:b w:val="0"/>
                      <w:bCs/>
                      <w:color w:val="auto"/>
                      <w:u w:val="none"/>
                      <w:vertAlign w:val="subscript"/>
                    </w:rPr>
                    <w:t>10</w:t>
                  </w:r>
                </w:p>
              </w:tc>
              <w:tc>
                <w:tcPr>
                  <w:tcW w:w="2179" w:type="dxa"/>
                  <w:noWrap w:val="0"/>
                  <w:vAlign w:val="center"/>
                </w:tcPr>
                <w:p>
                  <w:pPr>
                    <w:pStyle w:val="49"/>
                    <w:rPr>
                      <w:color w:val="auto"/>
                    </w:rPr>
                  </w:pPr>
                  <w:r>
                    <w:rPr>
                      <w:rFonts w:hint="eastAsia"/>
                      <w:color w:val="auto"/>
                    </w:rPr>
                    <w:t>年平均质量浓度</w:t>
                  </w:r>
                </w:p>
              </w:tc>
              <w:tc>
                <w:tcPr>
                  <w:tcW w:w="1876" w:type="dxa"/>
                  <w:noWrap w:val="0"/>
                  <w:vAlign w:val="center"/>
                </w:tcPr>
                <w:p>
                  <w:pPr>
                    <w:pStyle w:val="49"/>
                    <w:rPr>
                      <w:rFonts w:hint="default" w:eastAsia="宋体"/>
                      <w:color w:val="auto"/>
                      <w:lang w:val="en-US" w:eastAsia="zh-CN"/>
                    </w:rPr>
                  </w:pPr>
                  <w:r>
                    <w:rPr>
                      <w:rFonts w:hint="eastAsia"/>
                      <w:color w:val="auto"/>
                      <w:lang w:val="en-US" w:eastAsia="zh-CN"/>
                    </w:rPr>
                    <w:t>40</w:t>
                  </w:r>
                </w:p>
              </w:tc>
              <w:tc>
                <w:tcPr>
                  <w:tcW w:w="1732"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rPr>
                  </w:pPr>
                  <w:r>
                    <w:rPr>
                      <w:rFonts w:hint="eastAsia"/>
                      <w:color w:val="auto"/>
                      <w:kern w:val="0"/>
                      <w:szCs w:val="21"/>
                      <w:u w:val="none"/>
                    </w:rPr>
                    <w:t>70</w:t>
                  </w:r>
                </w:p>
              </w:tc>
              <w:tc>
                <w:tcPr>
                  <w:tcW w:w="1154" w:type="dxa"/>
                  <w:noWrap w:val="0"/>
                  <w:vAlign w:val="center"/>
                </w:tcPr>
                <w:p>
                  <w:pPr>
                    <w:pStyle w:val="49"/>
                    <w:rPr>
                      <w:rFonts w:hint="default" w:eastAsia="宋体"/>
                      <w:color w:val="auto"/>
                      <w:lang w:val="en-US" w:eastAsia="zh-CN"/>
                    </w:rPr>
                  </w:pPr>
                  <w:r>
                    <w:rPr>
                      <w:rFonts w:hint="eastAsia"/>
                      <w:color w:val="auto"/>
                      <w:lang w:val="en-US" w:eastAsia="zh-CN"/>
                    </w:rPr>
                    <w:t>57</w:t>
                  </w:r>
                </w:p>
              </w:tc>
              <w:tc>
                <w:tcPr>
                  <w:tcW w:w="1179" w:type="dxa"/>
                  <w:noWrap w:val="0"/>
                  <w:vAlign w:val="center"/>
                </w:tcPr>
                <w:p>
                  <w:pPr>
                    <w:pStyle w:val="49"/>
                    <w:rPr>
                      <w:color w:val="auto"/>
                    </w:rPr>
                  </w:pPr>
                  <w:r>
                    <w:rPr>
                      <w:rFonts w:hint="eastAsia"/>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936" w:type="dxa"/>
                  <w:noWrap w:val="0"/>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rPr>
                  </w:pPr>
                  <w:r>
                    <w:rPr>
                      <w:rFonts w:cs="Times New Roman"/>
                      <w:b w:val="0"/>
                      <w:bCs/>
                      <w:color w:val="auto"/>
                      <w:u w:val="none"/>
                    </w:rPr>
                    <w:t>PM</w:t>
                  </w:r>
                  <w:r>
                    <w:rPr>
                      <w:rFonts w:cs="Times New Roman"/>
                      <w:b w:val="0"/>
                      <w:bCs/>
                      <w:color w:val="auto"/>
                      <w:u w:val="none"/>
                      <w:vertAlign w:val="subscript"/>
                    </w:rPr>
                    <w:t>2.5</w:t>
                  </w:r>
                </w:p>
              </w:tc>
              <w:tc>
                <w:tcPr>
                  <w:tcW w:w="2179" w:type="dxa"/>
                  <w:noWrap w:val="0"/>
                  <w:vAlign w:val="center"/>
                </w:tcPr>
                <w:p>
                  <w:pPr>
                    <w:pStyle w:val="49"/>
                    <w:rPr>
                      <w:color w:val="auto"/>
                    </w:rPr>
                  </w:pPr>
                  <w:r>
                    <w:rPr>
                      <w:rFonts w:hint="eastAsia"/>
                      <w:color w:val="auto"/>
                    </w:rPr>
                    <w:t>年平均质量浓度</w:t>
                  </w:r>
                </w:p>
              </w:tc>
              <w:tc>
                <w:tcPr>
                  <w:tcW w:w="1876" w:type="dxa"/>
                  <w:noWrap w:val="0"/>
                  <w:vAlign w:val="center"/>
                </w:tcPr>
                <w:p>
                  <w:pPr>
                    <w:pStyle w:val="49"/>
                    <w:rPr>
                      <w:rFonts w:hint="default" w:eastAsia="宋体"/>
                      <w:color w:val="auto"/>
                      <w:lang w:val="en-US" w:eastAsia="zh-CN"/>
                    </w:rPr>
                  </w:pPr>
                  <w:r>
                    <w:rPr>
                      <w:rFonts w:hint="eastAsia"/>
                      <w:color w:val="auto"/>
                      <w:lang w:val="en-US" w:eastAsia="zh-CN"/>
                    </w:rPr>
                    <w:t>28</w:t>
                  </w:r>
                </w:p>
              </w:tc>
              <w:tc>
                <w:tcPr>
                  <w:tcW w:w="1732"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rPr>
                  </w:pPr>
                  <w:r>
                    <w:rPr>
                      <w:rFonts w:hint="eastAsia"/>
                      <w:color w:val="auto"/>
                      <w:kern w:val="0"/>
                      <w:szCs w:val="21"/>
                      <w:u w:val="none"/>
                    </w:rPr>
                    <w:t>35</w:t>
                  </w:r>
                </w:p>
              </w:tc>
              <w:tc>
                <w:tcPr>
                  <w:tcW w:w="1154" w:type="dxa"/>
                  <w:noWrap w:val="0"/>
                  <w:vAlign w:val="center"/>
                </w:tcPr>
                <w:p>
                  <w:pPr>
                    <w:pStyle w:val="49"/>
                    <w:rPr>
                      <w:rFonts w:hint="default" w:eastAsia="宋体"/>
                      <w:color w:val="auto"/>
                      <w:lang w:val="en-US" w:eastAsia="zh-CN"/>
                    </w:rPr>
                  </w:pPr>
                  <w:r>
                    <w:rPr>
                      <w:rFonts w:hint="eastAsia"/>
                      <w:color w:val="auto"/>
                      <w:lang w:val="en-US" w:eastAsia="zh-CN"/>
                    </w:rPr>
                    <w:t>80</w:t>
                  </w:r>
                </w:p>
              </w:tc>
              <w:tc>
                <w:tcPr>
                  <w:tcW w:w="1179" w:type="dxa"/>
                  <w:noWrap w:val="0"/>
                  <w:vAlign w:val="center"/>
                </w:tcPr>
                <w:p>
                  <w:pPr>
                    <w:pStyle w:val="49"/>
                    <w:rPr>
                      <w:color w:val="auto"/>
                    </w:rPr>
                  </w:pPr>
                  <w:r>
                    <w:rPr>
                      <w:rFonts w:hint="eastAsia"/>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936" w:type="dxa"/>
                  <w:noWrap w:val="0"/>
                  <w:vAlign w:val="center"/>
                </w:tcPr>
                <w:p>
                  <w:pPr>
                    <w:pStyle w:val="49"/>
                    <w:rPr>
                      <w:color w:val="auto"/>
                    </w:rPr>
                  </w:pPr>
                  <w:r>
                    <w:rPr>
                      <w:rFonts w:hint="eastAsia"/>
                      <w:color w:val="auto"/>
                    </w:rPr>
                    <w:t>CO</w:t>
                  </w:r>
                </w:p>
              </w:tc>
              <w:tc>
                <w:tcPr>
                  <w:tcW w:w="2179" w:type="dxa"/>
                  <w:noWrap w:val="0"/>
                  <w:vAlign w:val="center"/>
                </w:tcPr>
                <w:p>
                  <w:pPr>
                    <w:pStyle w:val="49"/>
                    <w:rPr>
                      <w:color w:val="auto"/>
                    </w:rPr>
                  </w:pPr>
                  <w:r>
                    <w:rPr>
                      <w:rFonts w:hint="eastAsia"/>
                      <w:color w:val="auto"/>
                    </w:rPr>
                    <w:t>24小时平均第95百分数浓度</w:t>
                  </w:r>
                </w:p>
              </w:tc>
              <w:tc>
                <w:tcPr>
                  <w:tcW w:w="1876" w:type="dxa"/>
                  <w:noWrap w:val="0"/>
                  <w:vAlign w:val="center"/>
                </w:tcPr>
                <w:p>
                  <w:pPr>
                    <w:pStyle w:val="49"/>
                    <w:rPr>
                      <w:rFonts w:hint="default" w:eastAsia="宋体"/>
                      <w:color w:val="auto"/>
                      <w:lang w:val="en-US" w:eastAsia="zh-CN"/>
                    </w:rPr>
                  </w:pPr>
                  <w:r>
                    <w:rPr>
                      <w:rFonts w:hint="eastAsia"/>
                      <w:color w:val="auto"/>
                      <w:lang w:val="en-US" w:eastAsia="zh-CN"/>
                    </w:rPr>
                    <w:t>1400</w:t>
                  </w:r>
                </w:p>
              </w:tc>
              <w:tc>
                <w:tcPr>
                  <w:tcW w:w="1732" w:type="dxa"/>
                  <w:noWrap w:val="0"/>
                  <w:vAlign w:val="center"/>
                </w:tcPr>
                <w:p>
                  <w:pPr>
                    <w:pStyle w:val="49"/>
                    <w:rPr>
                      <w:rFonts w:hint="default" w:eastAsia="宋体"/>
                      <w:color w:val="auto"/>
                      <w:lang w:val="en-US" w:eastAsia="zh-CN"/>
                    </w:rPr>
                  </w:pPr>
                  <w:r>
                    <w:rPr>
                      <w:rFonts w:hint="eastAsia"/>
                      <w:color w:val="auto"/>
                    </w:rPr>
                    <w:t>4</w:t>
                  </w:r>
                  <w:r>
                    <w:rPr>
                      <w:rFonts w:hint="eastAsia"/>
                      <w:color w:val="auto"/>
                      <w:lang w:val="en-US" w:eastAsia="zh-CN"/>
                    </w:rPr>
                    <w:t>000</w:t>
                  </w:r>
                </w:p>
              </w:tc>
              <w:tc>
                <w:tcPr>
                  <w:tcW w:w="1154" w:type="dxa"/>
                  <w:noWrap w:val="0"/>
                  <w:vAlign w:val="center"/>
                </w:tcPr>
                <w:p>
                  <w:pPr>
                    <w:pStyle w:val="49"/>
                    <w:rPr>
                      <w:rFonts w:hint="default" w:eastAsia="宋体"/>
                      <w:color w:val="auto"/>
                      <w:lang w:val="en-US" w:eastAsia="zh-CN"/>
                    </w:rPr>
                  </w:pPr>
                  <w:r>
                    <w:rPr>
                      <w:rFonts w:hint="eastAsia"/>
                      <w:color w:val="auto"/>
                      <w:lang w:val="en-US" w:eastAsia="zh-CN"/>
                    </w:rPr>
                    <w:t>35</w:t>
                  </w:r>
                </w:p>
              </w:tc>
              <w:tc>
                <w:tcPr>
                  <w:tcW w:w="1179" w:type="dxa"/>
                  <w:noWrap w:val="0"/>
                  <w:vAlign w:val="center"/>
                </w:tcPr>
                <w:p>
                  <w:pPr>
                    <w:pStyle w:val="49"/>
                    <w:rPr>
                      <w:color w:val="auto"/>
                    </w:rPr>
                  </w:pPr>
                  <w:r>
                    <w:rPr>
                      <w:rFonts w:hint="eastAsia"/>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936" w:type="dxa"/>
                  <w:noWrap w:val="0"/>
                  <w:vAlign w:val="center"/>
                </w:tcPr>
                <w:p>
                  <w:pPr>
                    <w:pStyle w:val="49"/>
                    <w:rPr>
                      <w:color w:val="auto"/>
                    </w:rPr>
                  </w:pPr>
                  <w:r>
                    <w:rPr>
                      <w:rFonts w:hint="eastAsia"/>
                      <w:color w:val="auto"/>
                    </w:rPr>
                    <w:t>O</w:t>
                  </w:r>
                  <w:r>
                    <w:rPr>
                      <w:rFonts w:hint="eastAsia"/>
                      <w:color w:val="auto"/>
                      <w:vertAlign w:val="subscript"/>
                    </w:rPr>
                    <w:t>3</w:t>
                  </w:r>
                </w:p>
              </w:tc>
              <w:tc>
                <w:tcPr>
                  <w:tcW w:w="2179" w:type="dxa"/>
                  <w:noWrap w:val="0"/>
                  <w:vAlign w:val="center"/>
                </w:tcPr>
                <w:p>
                  <w:pPr>
                    <w:pStyle w:val="49"/>
                    <w:rPr>
                      <w:color w:val="auto"/>
                    </w:rPr>
                  </w:pPr>
                  <w:r>
                    <w:rPr>
                      <w:rFonts w:hint="eastAsia"/>
                      <w:color w:val="auto"/>
                    </w:rPr>
                    <w:t>日最大八小时平均第90百分数浓度</w:t>
                  </w:r>
                </w:p>
              </w:tc>
              <w:tc>
                <w:tcPr>
                  <w:tcW w:w="1876" w:type="dxa"/>
                  <w:noWrap w:val="0"/>
                  <w:vAlign w:val="center"/>
                </w:tcPr>
                <w:p>
                  <w:pPr>
                    <w:pStyle w:val="49"/>
                    <w:rPr>
                      <w:rFonts w:hint="default" w:eastAsia="宋体"/>
                      <w:color w:val="auto"/>
                      <w:lang w:val="en-US" w:eastAsia="zh-CN"/>
                    </w:rPr>
                  </w:pPr>
                  <w:r>
                    <w:rPr>
                      <w:rFonts w:hint="eastAsia"/>
                      <w:color w:val="auto"/>
                      <w:lang w:val="en-US" w:eastAsia="zh-CN"/>
                    </w:rPr>
                    <w:t>128</w:t>
                  </w:r>
                </w:p>
              </w:tc>
              <w:tc>
                <w:tcPr>
                  <w:tcW w:w="1732" w:type="dxa"/>
                  <w:noWrap w:val="0"/>
                  <w:vAlign w:val="center"/>
                </w:tcPr>
                <w:p>
                  <w:pPr>
                    <w:pStyle w:val="49"/>
                    <w:rPr>
                      <w:color w:val="auto"/>
                    </w:rPr>
                  </w:pPr>
                  <w:r>
                    <w:rPr>
                      <w:rFonts w:hint="eastAsia"/>
                      <w:color w:val="auto"/>
                    </w:rPr>
                    <w:t>160</w:t>
                  </w:r>
                </w:p>
              </w:tc>
              <w:tc>
                <w:tcPr>
                  <w:tcW w:w="1154" w:type="dxa"/>
                  <w:noWrap w:val="0"/>
                  <w:vAlign w:val="center"/>
                </w:tcPr>
                <w:p>
                  <w:pPr>
                    <w:pStyle w:val="49"/>
                    <w:rPr>
                      <w:rFonts w:hint="default" w:eastAsia="宋体"/>
                      <w:color w:val="auto"/>
                      <w:lang w:val="en-US" w:eastAsia="zh-CN"/>
                    </w:rPr>
                  </w:pPr>
                  <w:r>
                    <w:rPr>
                      <w:rFonts w:hint="eastAsia"/>
                      <w:color w:val="auto"/>
                      <w:lang w:val="en-US" w:eastAsia="zh-CN"/>
                    </w:rPr>
                    <w:t>80</w:t>
                  </w:r>
                </w:p>
              </w:tc>
              <w:tc>
                <w:tcPr>
                  <w:tcW w:w="1179" w:type="dxa"/>
                  <w:noWrap w:val="0"/>
                  <w:vAlign w:val="center"/>
                </w:tcPr>
                <w:p>
                  <w:pPr>
                    <w:pStyle w:val="49"/>
                    <w:rPr>
                      <w:color w:val="auto"/>
                    </w:rPr>
                  </w:pPr>
                  <w:r>
                    <w:rPr>
                      <w:rFonts w:hint="eastAsia"/>
                      <w:color w:val="auto"/>
                    </w:rPr>
                    <w:t>达标</w:t>
                  </w:r>
                </w:p>
              </w:tc>
            </w:tr>
          </w:tbl>
          <w:p>
            <w:pPr>
              <w:rPr>
                <w:rFonts w:hint="eastAsia" w:ascii="Times New Roman" w:cs="Times New Roman"/>
                <w:color w:val="auto"/>
                <w:shd w:val="clear" w:color="auto" w:fill="FFFFFF"/>
              </w:rPr>
            </w:pPr>
            <w:r>
              <w:rPr>
                <w:rFonts w:hint="eastAsia" w:ascii="Times New Roman" w:cs="Times New Roman"/>
                <w:color w:val="auto"/>
                <w:shd w:val="clear" w:color="auto" w:fill="FFFFFF"/>
              </w:rPr>
              <w:t>注：O</w:t>
            </w:r>
            <w:r>
              <w:rPr>
                <w:rFonts w:hint="eastAsia" w:ascii="Times New Roman" w:cs="Times New Roman"/>
                <w:color w:val="auto"/>
                <w:shd w:val="clear" w:color="auto" w:fill="FFFFFF"/>
                <w:vertAlign w:val="subscript"/>
              </w:rPr>
              <w:t>3</w:t>
            </w:r>
            <w:r>
              <w:rPr>
                <w:rFonts w:hint="eastAsia" w:ascii="Times New Roman" w:cs="Times New Roman"/>
                <w:color w:val="auto"/>
                <w:shd w:val="clear" w:color="auto" w:fill="FFFFFF"/>
              </w:rPr>
              <w:t>浓度为8小时平均值。</w:t>
            </w:r>
          </w:p>
          <w:p>
            <w:pPr>
              <w:spacing w:line="360" w:lineRule="auto"/>
              <w:ind w:firstLine="480" w:firstLineChars="200"/>
              <w:jc w:val="both"/>
              <w:rPr>
                <w:rFonts w:hint="eastAsia" w:cs="Times New Roman"/>
                <w:color w:val="auto"/>
                <w:sz w:val="24"/>
                <w:lang w:val="en-US" w:eastAsia="zh-CN"/>
              </w:rPr>
            </w:pPr>
            <w:r>
              <w:rPr>
                <w:rFonts w:ascii="Times New Roman" w:hAnsi="Times New Roman" w:cs="Times New Roman"/>
                <w:color w:val="auto"/>
                <w:sz w:val="24"/>
                <w:szCs w:val="24"/>
              </w:rPr>
              <w:t>从表中数据可知，201</w:t>
            </w:r>
            <w:r>
              <w:rPr>
                <w:rFonts w:hint="eastAsia" w:cs="Times New Roman"/>
                <w:color w:val="auto"/>
                <w:sz w:val="24"/>
                <w:szCs w:val="24"/>
                <w:lang w:val="en-US" w:eastAsia="zh-CN"/>
              </w:rPr>
              <w:t>9</w:t>
            </w:r>
            <w:r>
              <w:rPr>
                <w:rFonts w:ascii="Times New Roman" w:hAnsi="Times New Roman" w:cs="Times New Roman"/>
                <w:color w:val="auto"/>
                <w:sz w:val="24"/>
                <w:szCs w:val="24"/>
              </w:rPr>
              <w:t>年</w:t>
            </w:r>
            <w:r>
              <w:rPr>
                <w:rFonts w:hint="eastAsia" w:cs="Times New Roman"/>
                <w:color w:val="auto"/>
                <w:sz w:val="24"/>
                <w:szCs w:val="24"/>
                <w:lang w:eastAsia="zh-CN"/>
              </w:rPr>
              <w:t>洪江区</w:t>
            </w:r>
            <w:r>
              <w:rPr>
                <w:rFonts w:ascii="Times New Roman" w:hAnsi="Times New Roman" w:cs="Times New Roman"/>
                <w:color w:val="auto"/>
                <w:sz w:val="24"/>
                <w:szCs w:val="24"/>
              </w:rPr>
              <w:t>环境空气常规6项指标，PM</w:t>
            </w:r>
            <w:r>
              <w:rPr>
                <w:rFonts w:ascii="Times New Roman" w:hAnsi="Times New Roman" w:cs="Times New Roman"/>
                <w:color w:val="auto"/>
                <w:sz w:val="24"/>
                <w:szCs w:val="24"/>
                <w:vertAlign w:val="subscript"/>
              </w:rPr>
              <w:t>10</w:t>
            </w:r>
            <w:r>
              <w:rPr>
                <w:rFonts w:ascii="Times New Roman" w:hAnsi="Times New Roman" w:cs="Times New Roman"/>
                <w:color w:val="auto"/>
                <w:sz w:val="24"/>
                <w:szCs w:val="24"/>
              </w:rPr>
              <w:t>年均值</w:t>
            </w:r>
            <w:r>
              <w:rPr>
                <w:rFonts w:hint="eastAsia" w:ascii="Times New Roman" w:hAnsi="Times New Roman" w:cs="Times New Roman"/>
                <w:color w:val="auto"/>
                <w:sz w:val="24"/>
                <w:szCs w:val="24"/>
              </w:rPr>
              <w:t>、</w:t>
            </w:r>
            <w:r>
              <w:rPr>
                <w:rFonts w:ascii="Times New Roman" w:hAnsi="Times New Roman" w:cs="Times New Roman"/>
                <w:color w:val="auto"/>
                <w:sz w:val="24"/>
                <w:szCs w:val="24"/>
              </w:rPr>
              <w:t>SO</w:t>
            </w:r>
            <w:r>
              <w:rPr>
                <w:rFonts w:ascii="Times New Roman" w:hAnsi="Times New Roman" w:cs="Times New Roman"/>
                <w:color w:val="auto"/>
                <w:sz w:val="24"/>
                <w:szCs w:val="24"/>
                <w:vertAlign w:val="subscript"/>
              </w:rPr>
              <w:t>2</w:t>
            </w:r>
            <w:r>
              <w:rPr>
                <w:rFonts w:hint="eastAsia" w:ascii="Times New Roman" w:hAnsi="Times New Roman" w:cs="Times New Roman"/>
                <w:color w:val="auto"/>
                <w:sz w:val="24"/>
                <w:szCs w:val="24"/>
              </w:rPr>
              <w:t>年均值</w:t>
            </w:r>
            <w:r>
              <w:rPr>
                <w:rFonts w:ascii="Times New Roman" w:hAnsi="Times New Roman" w:cs="Times New Roman"/>
                <w:color w:val="auto"/>
                <w:sz w:val="24"/>
                <w:szCs w:val="24"/>
              </w:rPr>
              <w:t>、</w:t>
            </w:r>
            <w:r>
              <w:rPr>
                <w:rFonts w:hint="eastAsia" w:ascii="Times New Roman" w:hAnsi="Times New Roman" w:cs="Times New Roman"/>
                <w:color w:val="auto"/>
                <w:sz w:val="24"/>
                <w:szCs w:val="24"/>
              </w:rPr>
              <w:t>NO</w:t>
            </w:r>
            <w:r>
              <w:rPr>
                <w:rFonts w:ascii="Times New Roman" w:hAnsi="Times New Roman" w:cs="Times New Roman"/>
                <w:color w:val="auto"/>
                <w:sz w:val="24"/>
                <w:szCs w:val="24"/>
                <w:vertAlign w:val="subscript"/>
              </w:rPr>
              <w:t>2</w:t>
            </w:r>
            <w:r>
              <w:rPr>
                <w:rFonts w:hint="eastAsia" w:ascii="Times New Roman" w:hAnsi="Times New Roman" w:cs="Times New Roman"/>
                <w:color w:val="auto"/>
                <w:sz w:val="24"/>
                <w:szCs w:val="24"/>
              </w:rPr>
              <w:t>年均值、</w:t>
            </w:r>
            <w:r>
              <w:rPr>
                <w:rFonts w:ascii="Times New Roman" w:hAnsi="Times New Roman" w:cs="Times New Roman"/>
                <w:color w:val="auto"/>
                <w:sz w:val="24"/>
                <w:szCs w:val="24"/>
              </w:rPr>
              <w:t>CO24</w:t>
            </w:r>
            <w:r>
              <w:rPr>
                <w:rFonts w:hint="eastAsia" w:ascii="Times New Roman" w:hAnsi="Times New Roman" w:cs="Times New Roman"/>
                <w:color w:val="auto"/>
                <w:sz w:val="24"/>
                <w:szCs w:val="24"/>
              </w:rPr>
              <w:t>小时</w:t>
            </w:r>
            <w:r>
              <w:rPr>
                <w:rFonts w:ascii="Times New Roman" w:hAnsi="Times New Roman" w:cs="Times New Roman"/>
                <w:color w:val="auto"/>
                <w:sz w:val="24"/>
                <w:szCs w:val="24"/>
              </w:rPr>
              <w:t>平均浓度第</w:t>
            </w:r>
            <w:r>
              <w:rPr>
                <w:rFonts w:hint="eastAsia" w:ascii="Times New Roman" w:hAnsi="Times New Roman" w:cs="Times New Roman"/>
                <w:color w:val="auto"/>
                <w:sz w:val="24"/>
                <w:szCs w:val="24"/>
              </w:rPr>
              <w:t>95百分</w:t>
            </w:r>
            <w:r>
              <w:rPr>
                <w:rFonts w:ascii="Times New Roman" w:hAnsi="Times New Roman" w:cs="Times New Roman"/>
                <w:color w:val="auto"/>
                <w:sz w:val="24"/>
                <w:szCs w:val="24"/>
              </w:rPr>
              <w:t>位数、</w:t>
            </w:r>
            <w:r>
              <w:rPr>
                <w:rFonts w:ascii="Times New Roman" w:hAnsi="Times New Roman"/>
                <w:color w:val="auto"/>
                <w:sz w:val="24"/>
                <w:szCs w:val="24"/>
              </w:rPr>
              <w:t>O</w:t>
            </w:r>
            <w:r>
              <w:rPr>
                <w:rFonts w:ascii="Times New Roman" w:hAnsi="Times New Roman"/>
                <w:color w:val="auto"/>
                <w:sz w:val="24"/>
                <w:szCs w:val="24"/>
                <w:vertAlign w:val="subscript"/>
              </w:rPr>
              <w:t>3</w:t>
            </w:r>
            <w:r>
              <w:rPr>
                <w:rFonts w:hint="eastAsia" w:ascii="Times New Roman" w:hAnsi="Times New Roman"/>
                <w:color w:val="auto"/>
                <w:sz w:val="24"/>
                <w:szCs w:val="24"/>
              </w:rPr>
              <w:t>日</w:t>
            </w:r>
            <w:r>
              <w:rPr>
                <w:rFonts w:ascii="Times New Roman" w:hAnsi="Times New Roman"/>
                <w:color w:val="auto"/>
                <w:sz w:val="24"/>
                <w:szCs w:val="24"/>
              </w:rPr>
              <w:t>最大</w:t>
            </w:r>
            <w:r>
              <w:rPr>
                <w:rFonts w:hint="eastAsia" w:ascii="Times New Roman" w:hAnsi="Times New Roman"/>
                <w:color w:val="auto"/>
                <w:sz w:val="24"/>
                <w:szCs w:val="24"/>
              </w:rPr>
              <w:t>8小时</w:t>
            </w:r>
            <w:r>
              <w:rPr>
                <w:rFonts w:ascii="Times New Roman" w:hAnsi="Times New Roman"/>
                <w:color w:val="auto"/>
                <w:sz w:val="24"/>
                <w:szCs w:val="24"/>
              </w:rPr>
              <w:t>平均浓度第</w:t>
            </w:r>
            <w:r>
              <w:rPr>
                <w:rFonts w:hint="eastAsia" w:ascii="Times New Roman" w:hAnsi="Times New Roman"/>
                <w:color w:val="auto"/>
                <w:sz w:val="24"/>
                <w:szCs w:val="24"/>
              </w:rPr>
              <w:t>90</w:t>
            </w:r>
            <w:r>
              <w:rPr>
                <w:rFonts w:hint="eastAsia" w:ascii="Times New Roman" w:hAnsi="Times New Roman" w:cs="Times New Roman"/>
                <w:color w:val="auto"/>
                <w:sz w:val="24"/>
                <w:szCs w:val="24"/>
              </w:rPr>
              <w:t>百分</w:t>
            </w:r>
            <w:r>
              <w:rPr>
                <w:rFonts w:ascii="Times New Roman" w:hAnsi="Times New Roman" w:cs="Times New Roman"/>
                <w:color w:val="auto"/>
                <w:sz w:val="24"/>
                <w:szCs w:val="24"/>
              </w:rPr>
              <w:t>位数</w:t>
            </w:r>
            <w:r>
              <w:rPr>
                <w:rFonts w:hint="eastAsia" w:ascii="Times New Roman" w:hAnsi="Times New Roman" w:cs="Times New Roman"/>
                <w:color w:val="auto"/>
                <w:sz w:val="24"/>
                <w:szCs w:val="24"/>
              </w:rPr>
              <w:t>、</w:t>
            </w:r>
            <w:r>
              <w:rPr>
                <w:rFonts w:ascii="Times New Roman" w:hAnsi="Times New Roman" w:cs="Times New Roman"/>
                <w:color w:val="auto"/>
                <w:sz w:val="24"/>
                <w:szCs w:val="24"/>
              </w:rPr>
              <w:t>PM</w:t>
            </w:r>
            <w:r>
              <w:rPr>
                <w:rFonts w:ascii="Times New Roman" w:hAnsi="Times New Roman" w:cs="Times New Roman"/>
                <w:color w:val="auto"/>
                <w:sz w:val="24"/>
                <w:szCs w:val="24"/>
                <w:vertAlign w:val="subscript"/>
              </w:rPr>
              <w:t>2.5</w:t>
            </w:r>
            <w:r>
              <w:rPr>
                <w:rFonts w:hint="eastAsia" w:ascii="Times New Roman" w:hAnsi="Times New Roman" w:cs="Times New Roman"/>
                <w:color w:val="auto"/>
                <w:sz w:val="24"/>
                <w:szCs w:val="24"/>
              </w:rPr>
              <w:t>年均值，</w:t>
            </w:r>
            <w:r>
              <w:rPr>
                <w:rFonts w:ascii="Times New Roman" w:hAnsi="Times New Roman" w:cs="Times New Roman"/>
                <w:color w:val="auto"/>
                <w:sz w:val="24"/>
                <w:szCs w:val="24"/>
              </w:rPr>
              <w:t>均达到《</w:t>
            </w:r>
            <w:r>
              <w:rPr>
                <w:rFonts w:hint="eastAsia" w:ascii="Times New Roman" w:hAnsi="Times New Roman" w:cs="Times New Roman"/>
                <w:color w:val="auto"/>
                <w:sz w:val="24"/>
                <w:szCs w:val="24"/>
              </w:rPr>
              <w:t>环境</w:t>
            </w:r>
            <w:r>
              <w:rPr>
                <w:rFonts w:ascii="Times New Roman" w:hAnsi="Times New Roman" w:cs="Times New Roman"/>
                <w:color w:val="auto"/>
                <w:sz w:val="24"/>
                <w:szCs w:val="24"/>
              </w:rPr>
              <w:t>空气质量标准》</w:t>
            </w:r>
            <w:r>
              <w:rPr>
                <w:rFonts w:hint="eastAsia" w:ascii="Times New Roman" w:hAnsi="Times New Roman" w:cs="Times New Roman"/>
                <w:color w:val="auto"/>
                <w:sz w:val="24"/>
                <w:szCs w:val="24"/>
              </w:rPr>
              <w:t>（GB3095-2012）中二级</w:t>
            </w:r>
            <w:r>
              <w:rPr>
                <w:rFonts w:ascii="Times New Roman" w:hAnsi="Times New Roman" w:cs="Times New Roman"/>
                <w:color w:val="auto"/>
                <w:sz w:val="24"/>
                <w:szCs w:val="24"/>
              </w:rPr>
              <w:t>标准要求，根据</w:t>
            </w:r>
            <w:r>
              <w:rPr>
                <w:rFonts w:ascii="宋体" w:hAnsi="宋体" w:cs="Times New Roman"/>
                <w:color w:val="auto"/>
                <w:sz w:val="24"/>
                <w:szCs w:val="24"/>
              </w:rPr>
              <w:t>《环境影响评价技术导则</w:t>
            </w:r>
            <w:r>
              <w:rPr>
                <w:rFonts w:ascii="Times New Roman" w:hAnsi="Times New Roman" w:cs="Times New Roman"/>
                <w:color w:val="auto"/>
                <w:sz w:val="24"/>
                <w:szCs w:val="24"/>
              </w:rPr>
              <w:t xml:space="preserve"> </w:t>
            </w:r>
            <w:r>
              <w:rPr>
                <w:rFonts w:ascii="宋体" w:hAnsi="宋体" w:cs="Times New Roman"/>
                <w:color w:val="auto"/>
                <w:sz w:val="24"/>
                <w:szCs w:val="24"/>
              </w:rPr>
              <w:t>大气环境》（</w:t>
            </w:r>
            <w:r>
              <w:rPr>
                <w:rFonts w:ascii="Times New Roman" w:hAnsi="Times New Roman" w:cs="Times New Roman"/>
                <w:color w:val="auto"/>
                <w:sz w:val="24"/>
                <w:szCs w:val="24"/>
              </w:rPr>
              <w:t>HJ2.2-2018</w:t>
            </w:r>
            <w:r>
              <w:rPr>
                <w:rFonts w:ascii="宋体" w:hAnsi="宋体" w:cs="Times New Roman"/>
                <w:color w:val="auto"/>
                <w:sz w:val="24"/>
                <w:szCs w:val="24"/>
              </w:rPr>
              <w:t>）中项目所在区域达标判断要求，结合上表数据可知，项目所在区域</w:t>
            </w:r>
            <w:r>
              <w:rPr>
                <w:rFonts w:hint="eastAsia" w:ascii="宋体" w:hAnsi="宋体" w:cs="Times New Roman"/>
                <w:color w:val="auto"/>
                <w:sz w:val="24"/>
                <w:szCs w:val="24"/>
                <w:lang w:eastAsia="zh-CN"/>
              </w:rPr>
              <w:t>洪江区</w:t>
            </w:r>
            <w:r>
              <w:rPr>
                <w:rFonts w:ascii="宋体" w:hAnsi="宋体" w:cs="Times New Roman"/>
                <w:color w:val="auto"/>
                <w:sz w:val="24"/>
                <w:szCs w:val="24"/>
              </w:rPr>
              <w:t>为达标区</w:t>
            </w:r>
            <w:r>
              <w:rPr>
                <w:rFonts w:ascii="Times New Roman" w:hAnsi="Times New Roman" w:cs="Times New Roman"/>
                <w:color w:val="auto"/>
                <w:sz w:val="24"/>
              </w:rPr>
              <w:t>。</w:t>
            </w:r>
            <w:r>
              <w:rPr>
                <w:rFonts w:ascii="Times New Roman" w:hAnsi="Times New Roman" w:cs="Times New Roman"/>
                <w:color w:val="auto"/>
                <w:sz w:val="24"/>
              </w:rPr>
              <w:br w:type="textWrapping"/>
            </w: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cs="Times New Roman"/>
                <w:color w:val="auto"/>
                <w:sz w:val="24"/>
                <w:lang w:val="en-US" w:eastAsia="zh-CN"/>
              </w:rPr>
              <w:t>环境质量现状分析</w:t>
            </w:r>
          </w:p>
          <w:p>
            <w:pPr>
              <w:spacing w:line="360" w:lineRule="auto"/>
              <w:ind w:firstLine="480" w:firstLineChars="200"/>
              <w:rPr>
                <w:color w:val="auto"/>
                <w:sz w:val="24"/>
                <w:szCs w:val="24"/>
              </w:rPr>
            </w:pPr>
            <w:r>
              <w:rPr>
                <w:color w:val="auto"/>
                <w:sz w:val="24"/>
                <w:szCs w:val="24"/>
              </w:rPr>
              <w:t>项目所在地区环境空气质量功能区划为二类区，应执行《环境空气质量标准》（GB3095-2012）中二级标准。本项目</w:t>
            </w:r>
            <w:r>
              <w:rPr>
                <w:rFonts w:hint="eastAsia"/>
                <w:color w:val="auto"/>
                <w:sz w:val="24"/>
                <w:szCs w:val="24"/>
              </w:rPr>
              <w:t>引用</w:t>
            </w:r>
            <w:r>
              <w:rPr>
                <w:rFonts w:hint="eastAsia" w:ascii="Times New Roman" w:hAnsi="Times New Roman"/>
                <w:bCs/>
                <w:color w:val="auto"/>
                <w:sz w:val="24"/>
                <w:szCs w:val="24"/>
              </w:rPr>
              <w:t>怀化市生态环境主管部门公开发布的</w:t>
            </w:r>
            <w:r>
              <w:rPr>
                <w:rFonts w:hint="eastAsia" w:ascii="Times New Roman" w:hAnsi="Times New Roman"/>
                <w:bCs/>
                <w:color w:val="auto"/>
                <w:sz w:val="24"/>
                <w:szCs w:val="24"/>
                <w:u w:val="single"/>
              </w:rPr>
              <w:t>《怀化市城市环境空气质量</w:t>
            </w:r>
            <w:r>
              <w:rPr>
                <w:rFonts w:hint="eastAsia"/>
                <w:bCs/>
                <w:color w:val="auto"/>
                <w:sz w:val="24"/>
                <w:szCs w:val="24"/>
                <w:u w:val="single"/>
                <w:lang w:eastAsia="zh-CN"/>
              </w:rPr>
              <w:t>月</w:t>
            </w:r>
            <w:r>
              <w:rPr>
                <w:rFonts w:hint="eastAsia" w:ascii="Times New Roman" w:hAnsi="Times New Roman"/>
                <w:bCs/>
                <w:color w:val="auto"/>
                <w:sz w:val="24"/>
                <w:szCs w:val="24"/>
                <w:u w:val="single"/>
              </w:rPr>
              <w:t>报（20</w:t>
            </w:r>
            <w:r>
              <w:rPr>
                <w:rFonts w:hint="eastAsia"/>
                <w:bCs/>
                <w:color w:val="auto"/>
                <w:sz w:val="24"/>
                <w:szCs w:val="24"/>
                <w:u w:val="single"/>
                <w:lang w:val="en-US" w:eastAsia="zh-CN"/>
              </w:rPr>
              <w:t>20</w:t>
            </w:r>
            <w:r>
              <w:rPr>
                <w:rFonts w:hint="eastAsia" w:ascii="Times New Roman" w:hAnsi="Times New Roman"/>
                <w:bCs/>
                <w:color w:val="auto"/>
                <w:sz w:val="24"/>
                <w:szCs w:val="24"/>
                <w:u w:val="single"/>
              </w:rPr>
              <w:t>年</w:t>
            </w:r>
            <w:r>
              <w:rPr>
                <w:rFonts w:hint="eastAsia"/>
                <w:bCs/>
                <w:color w:val="auto"/>
                <w:sz w:val="24"/>
                <w:szCs w:val="24"/>
                <w:u w:val="single"/>
                <w:lang w:val="en-US" w:eastAsia="zh-CN"/>
              </w:rPr>
              <w:t>7月</w:t>
            </w:r>
            <w:r>
              <w:rPr>
                <w:rFonts w:hint="eastAsia" w:ascii="Times New Roman" w:hAnsi="Times New Roman"/>
                <w:bCs/>
                <w:color w:val="auto"/>
                <w:sz w:val="24"/>
                <w:szCs w:val="24"/>
                <w:u w:val="single"/>
              </w:rPr>
              <w:t>）》</w:t>
            </w:r>
            <w:r>
              <w:rPr>
                <w:rFonts w:hint="eastAsia" w:ascii="Times New Roman" w:hAnsi="Times New Roman"/>
                <w:bCs/>
                <w:color w:val="auto"/>
                <w:sz w:val="24"/>
                <w:szCs w:val="24"/>
              </w:rPr>
              <w:t>中</w:t>
            </w:r>
            <w:r>
              <w:rPr>
                <w:rFonts w:hint="eastAsia" w:ascii="Times New Roman" w:hAnsi="Times New Roman"/>
                <w:bCs/>
                <w:color w:val="auto"/>
                <w:sz w:val="24"/>
                <w:szCs w:val="24"/>
                <w:lang w:eastAsia="zh-CN"/>
              </w:rPr>
              <w:t>对洪江区</w:t>
            </w:r>
            <w:r>
              <w:rPr>
                <w:rFonts w:hint="eastAsia"/>
                <w:color w:val="auto"/>
                <w:sz w:val="24"/>
                <w:szCs w:val="24"/>
              </w:rPr>
              <w:t>环境空气质量监测</w:t>
            </w:r>
            <w:r>
              <w:rPr>
                <w:color w:val="auto"/>
                <w:sz w:val="24"/>
                <w:szCs w:val="24"/>
              </w:rPr>
              <w:t>。</w:t>
            </w:r>
            <w:r>
              <w:rPr>
                <w:rFonts w:hint="eastAsia"/>
                <w:color w:val="auto"/>
                <w:sz w:val="24"/>
                <w:szCs w:val="24"/>
              </w:rPr>
              <w:t>引用</w:t>
            </w:r>
            <w:r>
              <w:rPr>
                <w:rFonts w:hint="eastAsia"/>
                <w:color w:val="auto"/>
                <w:sz w:val="24"/>
                <w:szCs w:val="24"/>
                <w:lang w:eastAsia="zh-CN"/>
              </w:rPr>
              <w:t>的</w:t>
            </w:r>
            <w:r>
              <w:rPr>
                <w:color w:val="auto"/>
                <w:sz w:val="24"/>
                <w:szCs w:val="24"/>
              </w:rPr>
              <w:t>监测因子为</w:t>
            </w:r>
            <w:r>
              <w:rPr>
                <w:rFonts w:hint="eastAsia" w:ascii="Times New Roman" w:hAnsi="Times New Roman"/>
                <w:bCs/>
                <w:color w:val="auto"/>
                <w:sz w:val="24"/>
                <w:szCs w:val="24"/>
              </w:rPr>
              <w:t>SO</w:t>
            </w:r>
            <w:r>
              <w:rPr>
                <w:rFonts w:hint="eastAsia" w:ascii="Times New Roman" w:hAnsi="Times New Roman"/>
                <w:bCs/>
                <w:color w:val="auto"/>
                <w:sz w:val="24"/>
                <w:szCs w:val="24"/>
                <w:vertAlign w:val="subscript"/>
              </w:rPr>
              <w:t>2</w:t>
            </w:r>
            <w:r>
              <w:rPr>
                <w:rFonts w:hint="eastAsia" w:ascii="Times New Roman" w:hAnsi="Times New Roman"/>
                <w:bCs/>
                <w:color w:val="auto"/>
                <w:sz w:val="24"/>
                <w:szCs w:val="24"/>
              </w:rPr>
              <w:t>、NO</w:t>
            </w:r>
            <w:r>
              <w:rPr>
                <w:rFonts w:hint="eastAsia" w:ascii="Times New Roman" w:hAnsi="Times New Roman"/>
                <w:bCs/>
                <w:color w:val="auto"/>
                <w:sz w:val="24"/>
                <w:szCs w:val="24"/>
                <w:vertAlign w:val="subscript"/>
              </w:rPr>
              <w:t>2</w:t>
            </w:r>
            <w:r>
              <w:rPr>
                <w:rFonts w:hint="eastAsia" w:ascii="Times New Roman" w:hAnsi="Times New Roman"/>
                <w:bCs/>
                <w:color w:val="auto"/>
                <w:sz w:val="24"/>
                <w:szCs w:val="24"/>
              </w:rPr>
              <w:t>、PM</w:t>
            </w:r>
            <w:r>
              <w:rPr>
                <w:rFonts w:hint="eastAsia" w:ascii="Times New Roman" w:hAnsi="Times New Roman"/>
                <w:bCs/>
                <w:color w:val="auto"/>
                <w:sz w:val="24"/>
                <w:szCs w:val="24"/>
                <w:vertAlign w:val="subscript"/>
              </w:rPr>
              <w:t>10</w:t>
            </w:r>
            <w:r>
              <w:rPr>
                <w:rFonts w:hint="eastAsia" w:ascii="Times New Roman" w:hAnsi="Times New Roman"/>
                <w:bCs/>
                <w:color w:val="auto"/>
                <w:sz w:val="24"/>
                <w:szCs w:val="24"/>
              </w:rPr>
              <w:t>、CO、O</w:t>
            </w:r>
            <w:r>
              <w:rPr>
                <w:rFonts w:hint="eastAsia" w:ascii="Times New Roman" w:hAnsi="Times New Roman"/>
                <w:bCs/>
                <w:color w:val="auto"/>
                <w:sz w:val="24"/>
                <w:szCs w:val="24"/>
                <w:vertAlign w:val="subscript"/>
              </w:rPr>
              <w:t>3</w:t>
            </w:r>
            <w:r>
              <w:rPr>
                <w:rFonts w:hint="eastAsia" w:ascii="Times New Roman" w:hAnsi="Times New Roman"/>
                <w:bCs/>
                <w:color w:val="auto"/>
                <w:sz w:val="24"/>
                <w:szCs w:val="24"/>
              </w:rPr>
              <w:t>、PM</w:t>
            </w:r>
            <w:r>
              <w:rPr>
                <w:rFonts w:hint="eastAsia" w:ascii="Times New Roman" w:hAnsi="Times New Roman"/>
                <w:bCs/>
                <w:color w:val="auto"/>
                <w:sz w:val="24"/>
                <w:szCs w:val="24"/>
                <w:vertAlign w:val="subscript"/>
              </w:rPr>
              <w:t>2.5</w:t>
            </w:r>
            <w:r>
              <w:rPr>
                <w:color w:val="auto"/>
                <w:sz w:val="24"/>
                <w:szCs w:val="24"/>
              </w:rPr>
              <w:t>，</w:t>
            </w:r>
          </w:p>
          <w:p>
            <w:pPr>
              <w:spacing w:line="360" w:lineRule="auto"/>
              <w:ind w:firstLine="480" w:firstLineChars="200"/>
              <w:rPr>
                <w:color w:val="auto"/>
                <w:sz w:val="24"/>
                <w:szCs w:val="24"/>
              </w:rPr>
            </w:pPr>
            <w:r>
              <w:rPr>
                <w:rFonts w:hint="eastAsia"/>
                <w:color w:val="auto"/>
                <w:sz w:val="24"/>
                <w:szCs w:val="24"/>
              </w:rPr>
              <w:t>数据引用理由如下：</w:t>
            </w:r>
          </w:p>
          <w:p>
            <w:pPr>
              <w:spacing w:line="360" w:lineRule="auto"/>
              <w:ind w:firstLine="480" w:firstLineChars="200"/>
              <w:rPr>
                <w:color w:val="auto"/>
                <w:sz w:val="24"/>
                <w:szCs w:val="24"/>
              </w:rPr>
            </w:pPr>
            <w:r>
              <w:rPr>
                <w:rFonts w:hint="eastAsia"/>
                <w:color w:val="auto"/>
                <w:sz w:val="24"/>
                <w:szCs w:val="24"/>
              </w:rPr>
              <w:t>（1）大气监测点</w:t>
            </w:r>
            <w:r>
              <w:rPr>
                <w:rFonts w:hint="eastAsia"/>
                <w:color w:val="auto"/>
                <w:sz w:val="24"/>
                <w:szCs w:val="24"/>
                <w:u w:val="single"/>
                <w:lang w:eastAsia="zh-CN"/>
              </w:rPr>
              <w:t>位于洪江区监测站</w:t>
            </w:r>
            <w:r>
              <w:rPr>
                <w:rFonts w:hint="eastAsia"/>
                <w:color w:val="auto"/>
                <w:sz w:val="24"/>
                <w:szCs w:val="24"/>
                <w:lang w:eastAsia="zh-CN"/>
              </w:rPr>
              <w:t>距</w:t>
            </w:r>
            <w:r>
              <w:rPr>
                <w:rFonts w:hint="eastAsia"/>
                <w:color w:val="auto"/>
                <w:sz w:val="24"/>
                <w:szCs w:val="24"/>
              </w:rPr>
              <w:t>本项目</w:t>
            </w:r>
            <w:r>
              <w:rPr>
                <w:rFonts w:hint="eastAsia"/>
                <w:color w:val="auto"/>
                <w:sz w:val="24"/>
                <w:szCs w:val="24"/>
                <w:lang w:eastAsia="zh-CN"/>
              </w:rPr>
              <w:t>地约</w:t>
            </w:r>
            <w:r>
              <w:rPr>
                <w:rFonts w:hint="eastAsia"/>
                <w:color w:val="auto"/>
                <w:sz w:val="24"/>
                <w:szCs w:val="24"/>
              </w:rPr>
              <w:t>3</w:t>
            </w:r>
            <w:r>
              <w:rPr>
                <w:rFonts w:hint="eastAsia"/>
                <w:color w:val="auto"/>
                <w:sz w:val="24"/>
                <w:szCs w:val="24"/>
                <w:lang w:val="en-US" w:eastAsia="zh-CN"/>
              </w:rPr>
              <w:t>.2</w:t>
            </w:r>
            <w:r>
              <w:rPr>
                <w:rFonts w:hint="eastAsia"/>
                <w:color w:val="auto"/>
                <w:sz w:val="24"/>
                <w:szCs w:val="24"/>
              </w:rPr>
              <w:t>km，距离较近，大气环境质量类似。</w:t>
            </w:r>
          </w:p>
          <w:p>
            <w:pPr>
              <w:spacing w:line="360" w:lineRule="auto"/>
              <w:ind w:firstLine="480" w:firstLineChars="200"/>
              <w:rPr>
                <w:color w:val="auto"/>
                <w:sz w:val="24"/>
                <w:szCs w:val="24"/>
              </w:rPr>
            </w:pPr>
            <w:r>
              <w:rPr>
                <w:rFonts w:hint="eastAsia"/>
                <w:color w:val="auto"/>
                <w:sz w:val="24"/>
                <w:szCs w:val="24"/>
              </w:rPr>
              <w:t>（2）大气监测点位的监测</w:t>
            </w:r>
            <w:r>
              <w:rPr>
                <w:rFonts w:hint="eastAsia"/>
                <w:color w:val="auto"/>
                <w:sz w:val="24"/>
                <w:szCs w:val="24"/>
                <w:lang w:eastAsia="zh-CN"/>
              </w:rPr>
              <w:t>数据为</w:t>
            </w:r>
            <w:r>
              <w:rPr>
                <w:rFonts w:hint="eastAsia"/>
                <w:color w:val="auto"/>
                <w:sz w:val="24"/>
                <w:szCs w:val="24"/>
                <w:u w:val="single"/>
                <w:lang w:val="en-US" w:eastAsia="zh-CN"/>
              </w:rPr>
              <w:t>2020年7月月平均检测</w:t>
            </w:r>
            <w:r>
              <w:rPr>
                <w:rFonts w:hint="eastAsia"/>
                <w:color w:val="auto"/>
                <w:sz w:val="24"/>
                <w:szCs w:val="24"/>
                <w:lang w:val="en-US" w:eastAsia="zh-CN"/>
              </w:rPr>
              <w:t>数据</w:t>
            </w:r>
            <w:r>
              <w:rPr>
                <w:rFonts w:hint="eastAsia"/>
                <w:color w:val="auto"/>
                <w:sz w:val="24"/>
                <w:szCs w:val="24"/>
              </w:rPr>
              <w:t>，监测时间较近且在3年有限范围内且时间范围内区域污染源无重大变化。</w:t>
            </w:r>
          </w:p>
          <w:p>
            <w:pPr>
              <w:spacing w:line="360" w:lineRule="auto"/>
              <w:ind w:firstLine="480" w:firstLineChars="200"/>
              <w:rPr>
                <w:color w:val="auto"/>
                <w:sz w:val="24"/>
                <w:szCs w:val="24"/>
              </w:rPr>
            </w:pPr>
            <w:r>
              <w:rPr>
                <w:rFonts w:hint="eastAsia"/>
                <w:color w:val="auto"/>
                <w:sz w:val="24"/>
                <w:szCs w:val="24"/>
              </w:rPr>
              <w:t>（3）大气监测点的监测项目包含本项目的主要污染因子。</w:t>
            </w:r>
          </w:p>
          <w:p>
            <w:pPr>
              <w:spacing w:line="360" w:lineRule="auto"/>
              <w:ind w:firstLine="480" w:firstLineChars="200"/>
              <w:jc w:val="left"/>
              <w:rPr>
                <w:rFonts w:hint="default" w:eastAsia="宋体"/>
                <w:color w:val="auto"/>
                <w:sz w:val="24"/>
                <w:szCs w:val="24"/>
                <w:lang w:val="en-US" w:eastAsia="zh-CN"/>
              </w:rPr>
            </w:pPr>
            <w:r>
              <w:rPr>
                <w:color w:val="auto"/>
                <w:sz w:val="24"/>
                <w:szCs w:val="24"/>
              </w:rPr>
              <w:t>监测结果见下表3</w:t>
            </w:r>
            <w:r>
              <w:rPr>
                <w:rFonts w:hint="eastAsia"/>
                <w:color w:val="auto"/>
                <w:sz w:val="24"/>
                <w:szCs w:val="24"/>
                <w:lang w:val="en-US" w:eastAsia="zh-CN"/>
              </w:rPr>
              <w:t>-2</w:t>
            </w:r>
          </w:p>
          <w:p>
            <w:pPr>
              <w:spacing w:line="360" w:lineRule="auto"/>
              <w:jc w:val="center"/>
              <w:rPr>
                <w:rFonts w:hint="eastAsia" w:ascii="Times New Roman" w:hAnsi="Times New Roman" w:eastAsia="宋体"/>
                <w:b/>
                <w:bCs/>
                <w:color w:val="auto"/>
                <w:szCs w:val="21"/>
                <w:u w:val="single"/>
                <w:lang w:eastAsia="zh-CN"/>
              </w:rPr>
            </w:pPr>
            <w:r>
              <w:rPr>
                <w:rFonts w:hint="eastAsia" w:ascii="Times New Roman" w:hAnsi="Times New Roman"/>
                <w:b/>
                <w:bCs/>
                <w:color w:val="auto"/>
                <w:szCs w:val="21"/>
                <w:u w:val="single"/>
              </w:rPr>
              <w:t>表3-</w:t>
            </w:r>
            <w:r>
              <w:rPr>
                <w:rFonts w:hint="eastAsia" w:ascii="Times New Roman" w:hAnsi="Times New Roman"/>
                <w:b/>
                <w:bCs/>
                <w:color w:val="auto"/>
                <w:szCs w:val="21"/>
                <w:u w:val="single"/>
                <w:lang w:val="en-US" w:eastAsia="zh-CN"/>
              </w:rPr>
              <w:t>2</w:t>
            </w:r>
            <w:r>
              <w:rPr>
                <w:rFonts w:hint="eastAsia" w:ascii="Times New Roman" w:hAnsi="Times New Roman"/>
                <w:b/>
                <w:bCs/>
                <w:color w:val="auto"/>
                <w:szCs w:val="21"/>
                <w:u w:val="single"/>
              </w:rPr>
              <w:t>：20</w:t>
            </w:r>
            <w:r>
              <w:rPr>
                <w:rFonts w:hint="eastAsia"/>
                <w:b/>
                <w:bCs/>
                <w:color w:val="auto"/>
                <w:szCs w:val="21"/>
                <w:u w:val="single"/>
                <w:lang w:val="en-US" w:eastAsia="zh-CN"/>
              </w:rPr>
              <w:t>20</w:t>
            </w:r>
            <w:r>
              <w:rPr>
                <w:rFonts w:hint="eastAsia" w:ascii="Times New Roman" w:hAnsi="Times New Roman"/>
                <w:b/>
                <w:bCs/>
                <w:color w:val="auto"/>
                <w:szCs w:val="21"/>
                <w:u w:val="single"/>
              </w:rPr>
              <w:t>年</w:t>
            </w:r>
            <w:r>
              <w:rPr>
                <w:rFonts w:hint="eastAsia"/>
                <w:b/>
                <w:bCs/>
                <w:color w:val="auto"/>
                <w:szCs w:val="21"/>
                <w:u w:val="single"/>
                <w:lang w:val="en-US" w:eastAsia="zh-CN"/>
              </w:rPr>
              <w:t>7月</w:t>
            </w:r>
            <w:r>
              <w:rPr>
                <w:rFonts w:hint="eastAsia" w:ascii="Times New Roman" w:hAnsi="Times New Roman"/>
                <w:b/>
                <w:bCs/>
                <w:color w:val="auto"/>
                <w:szCs w:val="21"/>
                <w:u w:val="single"/>
              </w:rPr>
              <w:t>洪江区环境空气质量</w:t>
            </w:r>
            <w:r>
              <w:rPr>
                <w:rFonts w:hint="eastAsia" w:ascii="Times New Roman" w:hAnsi="Times New Roman"/>
                <w:b/>
                <w:bCs/>
                <w:color w:val="auto"/>
                <w:szCs w:val="21"/>
                <w:u w:val="single"/>
                <w:lang w:eastAsia="zh-CN"/>
              </w:rPr>
              <w:t>检测结果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061"/>
              <w:gridCol w:w="992"/>
              <w:gridCol w:w="1134"/>
              <w:gridCol w:w="1136"/>
              <w:gridCol w:w="1134"/>
              <w:gridCol w:w="1418"/>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67" w:type="dxa"/>
                  <w:gridSpan w:val="2"/>
                  <w:noWrap w:val="0"/>
                  <w:vAlign w:val="center"/>
                </w:tcPr>
                <w:p>
                  <w:pPr>
                    <w:jc w:val="center"/>
                    <w:rPr>
                      <w:rFonts w:ascii="Times New Roman"/>
                      <w:b/>
                      <w:color w:val="auto"/>
                      <w:szCs w:val="21"/>
                      <w:u w:val="single"/>
                      <w:shd w:val="clear" w:color="auto" w:fill="FFFFFF"/>
                    </w:rPr>
                  </w:pPr>
                  <w:r>
                    <w:rPr>
                      <w:rFonts w:hint="eastAsia" w:ascii="Times New Roman"/>
                      <w:b/>
                      <w:color w:val="auto"/>
                      <w:szCs w:val="21"/>
                      <w:u w:val="single"/>
                      <w:shd w:val="clear" w:color="auto" w:fill="FFFFFF"/>
                    </w:rPr>
                    <w:t>基本污染物</w:t>
                  </w:r>
                </w:p>
              </w:tc>
              <w:tc>
                <w:tcPr>
                  <w:tcW w:w="992" w:type="dxa"/>
                  <w:noWrap w:val="0"/>
                  <w:vAlign w:val="center"/>
                </w:tcPr>
                <w:p>
                  <w:pPr>
                    <w:jc w:val="center"/>
                    <w:rPr>
                      <w:rFonts w:ascii="Times New Roman"/>
                      <w:b/>
                      <w:color w:val="auto"/>
                      <w:szCs w:val="21"/>
                      <w:u w:val="single"/>
                      <w:shd w:val="clear" w:color="auto" w:fill="FFFFFF"/>
                    </w:rPr>
                  </w:pPr>
                  <w:r>
                    <w:rPr>
                      <w:rFonts w:hint="eastAsia" w:ascii="Times New Roman"/>
                      <w:b/>
                      <w:color w:val="auto"/>
                      <w:szCs w:val="21"/>
                      <w:u w:val="single"/>
                      <w:shd w:val="clear" w:color="auto" w:fill="FFFFFF"/>
                    </w:rPr>
                    <w:t>SO</w:t>
                  </w:r>
                  <w:r>
                    <w:rPr>
                      <w:rFonts w:hint="eastAsia" w:ascii="Times New Roman"/>
                      <w:b/>
                      <w:color w:val="auto"/>
                      <w:szCs w:val="21"/>
                      <w:u w:val="single"/>
                      <w:shd w:val="clear" w:color="auto" w:fill="FFFFFF"/>
                      <w:vertAlign w:val="subscript"/>
                    </w:rPr>
                    <w:t>2</w:t>
                  </w:r>
                </w:p>
              </w:tc>
              <w:tc>
                <w:tcPr>
                  <w:tcW w:w="1134" w:type="dxa"/>
                  <w:noWrap w:val="0"/>
                  <w:vAlign w:val="center"/>
                </w:tcPr>
                <w:p>
                  <w:pPr>
                    <w:jc w:val="center"/>
                    <w:rPr>
                      <w:rFonts w:ascii="Times New Roman"/>
                      <w:b/>
                      <w:color w:val="auto"/>
                      <w:szCs w:val="21"/>
                      <w:u w:val="single"/>
                      <w:shd w:val="clear" w:color="auto" w:fill="FFFFFF"/>
                    </w:rPr>
                  </w:pPr>
                  <w:r>
                    <w:rPr>
                      <w:rFonts w:hint="eastAsia" w:ascii="Times New Roman"/>
                      <w:b/>
                      <w:color w:val="auto"/>
                      <w:szCs w:val="21"/>
                      <w:u w:val="single"/>
                      <w:shd w:val="clear" w:color="auto" w:fill="FFFFFF"/>
                    </w:rPr>
                    <w:t>NO</w:t>
                  </w:r>
                  <w:r>
                    <w:rPr>
                      <w:rFonts w:hint="eastAsia" w:ascii="Times New Roman"/>
                      <w:b/>
                      <w:color w:val="auto"/>
                      <w:szCs w:val="21"/>
                      <w:u w:val="single"/>
                      <w:shd w:val="clear" w:color="auto" w:fill="FFFFFF"/>
                      <w:vertAlign w:val="subscript"/>
                    </w:rPr>
                    <w:t>2</w:t>
                  </w:r>
                </w:p>
              </w:tc>
              <w:tc>
                <w:tcPr>
                  <w:tcW w:w="1136" w:type="dxa"/>
                  <w:noWrap w:val="0"/>
                  <w:vAlign w:val="center"/>
                </w:tcPr>
                <w:p>
                  <w:pPr>
                    <w:jc w:val="center"/>
                    <w:rPr>
                      <w:rFonts w:ascii="Times New Roman"/>
                      <w:b/>
                      <w:color w:val="auto"/>
                      <w:szCs w:val="21"/>
                      <w:u w:val="single"/>
                      <w:shd w:val="clear" w:color="auto" w:fill="FFFFFF"/>
                    </w:rPr>
                  </w:pPr>
                  <w:r>
                    <w:rPr>
                      <w:rFonts w:hint="eastAsia" w:ascii="Times New Roman"/>
                      <w:b/>
                      <w:color w:val="auto"/>
                      <w:szCs w:val="21"/>
                      <w:u w:val="single"/>
                      <w:shd w:val="clear" w:color="auto" w:fill="FFFFFF"/>
                    </w:rPr>
                    <w:t>PM</w:t>
                  </w:r>
                  <w:r>
                    <w:rPr>
                      <w:rFonts w:hint="eastAsia" w:ascii="Times New Roman"/>
                      <w:b/>
                      <w:color w:val="auto"/>
                      <w:szCs w:val="21"/>
                      <w:u w:val="single"/>
                      <w:shd w:val="clear" w:color="auto" w:fill="FFFFFF"/>
                      <w:vertAlign w:val="subscript"/>
                    </w:rPr>
                    <w:t>10</w:t>
                  </w:r>
                </w:p>
              </w:tc>
              <w:tc>
                <w:tcPr>
                  <w:tcW w:w="1134" w:type="dxa"/>
                  <w:noWrap w:val="0"/>
                  <w:vAlign w:val="center"/>
                </w:tcPr>
                <w:p>
                  <w:pPr>
                    <w:jc w:val="center"/>
                    <w:rPr>
                      <w:rFonts w:ascii="Times New Roman"/>
                      <w:b/>
                      <w:color w:val="auto"/>
                      <w:szCs w:val="21"/>
                      <w:u w:val="single"/>
                      <w:shd w:val="clear" w:color="auto" w:fill="FFFFFF"/>
                    </w:rPr>
                  </w:pPr>
                  <w:r>
                    <w:rPr>
                      <w:rFonts w:hint="eastAsia" w:ascii="Times New Roman"/>
                      <w:b/>
                      <w:color w:val="auto"/>
                      <w:szCs w:val="21"/>
                      <w:u w:val="single"/>
                      <w:shd w:val="clear" w:color="auto" w:fill="FFFFFF"/>
                    </w:rPr>
                    <w:t>CO</w:t>
                  </w:r>
                </w:p>
              </w:tc>
              <w:tc>
                <w:tcPr>
                  <w:tcW w:w="1418" w:type="dxa"/>
                  <w:noWrap w:val="0"/>
                  <w:vAlign w:val="center"/>
                </w:tcPr>
                <w:p>
                  <w:pPr>
                    <w:jc w:val="center"/>
                    <w:rPr>
                      <w:rFonts w:ascii="Times New Roman"/>
                      <w:b/>
                      <w:color w:val="auto"/>
                      <w:szCs w:val="21"/>
                      <w:u w:val="single"/>
                      <w:shd w:val="clear" w:color="auto" w:fill="FFFFFF"/>
                    </w:rPr>
                  </w:pPr>
                  <w:r>
                    <w:rPr>
                      <w:rFonts w:hint="eastAsia" w:ascii="Times New Roman"/>
                      <w:b/>
                      <w:color w:val="auto"/>
                      <w:szCs w:val="21"/>
                      <w:u w:val="single"/>
                      <w:shd w:val="clear" w:color="auto" w:fill="FFFFFF"/>
                    </w:rPr>
                    <w:t>O</w:t>
                  </w:r>
                  <w:r>
                    <w:rPr>
                      <w:rFonts w:hint="eastAsia" w:ascii="Times New Roman"/>
                      <w:b/>
                      <w:color w:val="auto"/>
                      <w:szCs w:val="21"/>
                      <w:u w:val="single"/>
                      <w:shd w:val="clear" w:color="auto" w:fill="FFFFFF"/>
                      <w:vertAlign w:val="subscript"/>
                    </w:rPr>
                    <w:t>3</w:t>
                  </w:r>
                </w:p>
              </w:tc>
              <w:tc>
                <w:tcPr>
                  <w:tcW w:w="1023" w:type="dxa"/>
                  <w:noWrap w:val="0"/>
                  <w:vAlign w:val="center"/>
                </w:tcPr>
                <w:p>
                  <w:pPr>
                    <w:jc w:val="center"/>
                    <w:rPr>
                      <w:rFonts w:ascii="Times New Roman"/>
                      <w:b/>
                      <w:color w:val="auto"/>
                      <w:szCs w:val="21"/>
                      <w:u w:val="single"/>
                      <w:shd w:val="clear" w:color="auto" w:fill="FFFFFF"/>
                    </w:rPr>
                  </w:pPr>
                  <w:r>
                    <w:rPr>
                      <w:rFonts w:hint="eastAsia" w:ascii="Times New Roman"/>
                      <w:b/>
                      <w:color w:val="auto"/>
                      <w:szCs w:val="21"/>
                      <w:u w:val="single"/>
                      <w:shd w:val="clear" w:color="auto" w:fill="FFFFFF"/>
                    </w:rPr>
                    <w:t>PM</w:t>
                  </w:r>
                  <w:r>
                    <w:rPr>
                      <w:rFonts w:hint="eastAsia" w:ascii="Times New Roman"/>
                      <w:b/>
                      <w:color w:val="auto"/>
                      <w:szCs w:val="21"/>
                      <w:u w:val="single"/>
                      <w:shd w:val="clear" w:color="auto" w:fill="FFFFFF"/>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gridSpan w:val="2"/>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rPr>
                    <w:t>最小日均值</w:t>
                  </w:r>
                </w:p>
              </w:tc>
              <w:tc>
                <w:tcPr>
                  <w:tcW w:w="992" w:type="dxa"/>
                  <w:noWrap w:val="0"/>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val="en-US" w:eastAsia="zh-CN"/>
                    </w:rPr>
                    <w:t>3</w:t>
                  </w:r>
                </w:p>
              </w:tc>
              <w:tc>
                <w:tcPr>
                  <w:tcW w:w="1134" w:type="dxa"/>
                  <w:noWrap w:val="0"/>
                  <w:vAlign w:val="center"/>
                </w:tcPr>
                <w:p>
                  <w:pPr>
                    <w:jc w:val="center"/>
                    <w:rPr>
                      <w:rFonts w:ascii="Times New Roman" w:hAnsi="Times New Roman"/>
                      <w:color w:val="auto"/>
                      <w:szCs w:val="21"/>
                      <w:u w:val="single"/>
                    </w:rPr>
                  </w:pPr>
                  <w:r>
                    <w:rPr>
                      <w:rFonts w:ascii="Times New Roman" w:hAnsi="Times New Roman"/>
                      <w:color w:val="auto"/>
                      <w:szCs w:val="21"/>
                      <w:u w:val="single"/>
                    </w:rPr>
                    <w:t>3</w:t>
                  </w:r>
                </w:p>
              </w:tc>
              <w:tc>
                <w:tcPr>
                  <w:tcW w:w="1136"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10</w:t>
                  </w:r>
                </w:p>
              </w:tc>
              <w:tc>
                <w:tcPr>
                  <w:tcW w:w="1134"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0.5</w:t>
                  </w:r>
                </w:p>
              </w:tc>
              <w:tc>
                <w:tcPr>
                  <w:tcW w:w="1418"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35</w:t>
                  </w:r>
                </w:p>
              </w:tc>
              <w:tc>
                <w:tcPr>
                  <w:tcW w:w="1023" w:type="dxa"/>
                  <w:noWrap w:val="0"/>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gridSpan w:val="2"/>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rPr>
                    <w:t>最大日均值</w:t>
                  </w:r>
                </w:p>
              </w:tc>
              <w:tc>
                <w:tcPr>
                  <w:tcW w:w="992"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68</w:t>
                  </w:r>
                </w:p>
              </w:tc>
              <w:tc>
                <w:tcPr>
                  <w:tcW w:w="1134" w:type="dxa"/>
                  <w:noWrap w:val="0"/>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val="en-US" w:eastAsia="zh-CN"/>
                    </w:rPr>
                    <w:t>8</w:t>
                  </w:r>
                </w:p>
              </w:tc>
              <w:tc>
                <w:tcPr>
                  <w:tcW w:w="1136"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33</w:t>
                  </w:r>
                </w:p>
              </w:tc>
              <w:tc>
                <w:tcPr>
                  <w:tcW w:w="1134"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0.7</w:t>
                  </w:r>
                </w:p>
              </w:tc>
              <w:tc>
                <w:tcPr>
                  <w:tcW w:w="1418"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77</w:t>
                  </w:r>
                </w:p>
              </w:tc>
              <w:tc>
                <w:tcPr>
                  <w:tcW w:w="1023"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gridSpan w:val="2"/>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lang w:eastAsia="zh-CN"/>
                    </w:rPr>
                    <w:t>月</w:t>
                  </w:r>
                  <w:r>
                    <w:rPr>
                      <w:rFonts w:hint="eastAsia" w:ascii="Times New Roman"/>
                      <w:color w:val="auto"/>
                      <w:szCs w:val="21"/>
                      <w:u w:val="single"/>
                      <w:shd w:val="clear" w:color="auto" w:fill="FFFFFF"/>
                    </w:rPr>
                    <w:t>均值</w:t>
                  </w:r>
                </w:p>
              </w:tc>
              <w:tc>
                <w:tcPr>
                  <w:tcW w:w="992"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11</w:t>
                  </w:r>
                </w:p>
              </w:tc>
              <w:tc>
                <w:tcPr>
                  <w:tcW w:w="1134" w:type="dxa"/>
                  <w:noWrap w:val="0"/>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val="en-US" w:eastAsia="zh-CN"/>
                    </w:rPr>
                    <w:t>5</w:t>
                  </w:r>
                </w:p>
              </w:tc>
              <w:tc>
                <w:tcPr>
                  <w:tcW w:w="1136" w:type="dxa"/>
                  <w:noWrap w:val="0"/>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22</w:t>
                  </w:r>
                </w:p>
              </w:tc>
              <w:tc>
                <w:tcPr>
                  <w:tcW w:w="1134" w:type="dxa"/>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lang w:val="en-US" w:eastAsia="zh-CN"/>
                    </w:rPr>
                    <w:t>0.7</w:t>
                  </w:r>
                  <w:r>
                    <w:rPr>
                      <w:rFonts w:hint="eastAsia" w:ascii="Times New Roman"/>
                      <w:color w:val="auto"/>
                      <w:szCs w:val="21"/>
                      <w:u w:val="single"/>
                      <w:shd w:val="clear" w:color="auto" w:fill="FFFFFF"/>
                    </w:rPr>
                    <w:t>（月 95%浓度）</w:t>
                  </w:r>
                </w:p>
              </w:tc>
              <w:tc>
                <w:tcPr>
                  <w:tcW w:w="1418" w:type="dxa"/>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lang w:val="en-US" w:eastAsia="zh-CN"/>
                    </w:rPr>
                    <w:t>72</w:t>
                  </w:r>
                  <w:r>
                    <w:rPr>
                      <w:rFonts w:hint="eastAsia" w:ascii="Times New Roman"/>
                      <w:color w:val="auto"/>
                      <w:szCs w:val="21"/>
                      <w:u w:val="single"/>
                      <w:shd w:val="clear" w:color="auto" w:fill="FFFFFF"/>
                    </w:rPr>
                    <w:t>（月 90%浓度）</w:t>
                  </w:r>
                </w:p>
              </w:tc>
              <w:tc>
                <w:tcPr>
                  <w:tcW w:w="1023" w:type="dxa"/>
                  <w:noWrap w:val="0"/>
                  <w:vAlign w:val="center"/>
                </w:tcPr>
                <w:p>
                  <w:pPr>
                    <w:jc w:val="center"/>
                    <w:rPr>
                      <w:rFonts w:hint="default" w:ascii="Times New Roman" w:eastAsia="宋体"/>
                      <w:color w:val="auto"/>
                      <w:szCs w:val="21"/>
                      <w:u w:val="single"/>
                      <w:shd w:val="clear" w:color="auto" w:fill="FFFFFF"/>
                      <w:lang w:val="en-US" w:eastAsia="zh-CN"/>
                    </w:rPr>
                  </w:pPr>
                  <w:r>
                    <w:rPr>
                      <w:rFonts w:hint="eastAsia" w:ascii="Times New Roman"/>
                      <w:color w:val="auto"/>
                      <w:szCs w:val="21"/>
                      <w:u w:val="single"/>
                      <w:shd w:val="clear" w:color="auto" w:fill="FFFFFF"/>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gridSpan w:val="2"/>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rPr>
                    <w:t>超标天数</w:t>
                  </w:r>
                </w:p>
              </w:tc>
              <w:tc>
                <w:tcPr>
                  <w:tcW w:w="992" w:type="dxa"/>
                  <w:noWrap w:val="0"/>
                  <w:vAlign w:val="center"/>
                </w:tcPr>
                <w:p>
                  <w:pPr>
                    <w:jc w:val="center"/>
                    <w:rPr>
                      <w:rFonts w:ascii="Times New Roman" w:hAnsi="Times New Roman"/>
                      <w:color w:val="auto"/>
                      <w:szCs w:val="21"/>
                      <w:u w:val="single"/>
                    </w:rPr>
                  </w:pPr>
                  <w:r>
                    <w:rPr>
                      <w:rFonts w:ascii="Times New Roman" w:hAnsi="Times New Roman"/>
                      <w:color w:val="auto"/>
                      <w:szCs w:val="21"/>
                      <w:u w:val="single"/>
                    </w:rPr>
                    <w:t>0</w:t>
                  </w:r>
                </w:p>
              </w:tc>
              <w:tc>
                <w:tcPr>
                  <w:tcW w:w="1134" w:type="dxa"/>
                  <w:noWrap w:val="0"/>
                  <w:vAlign w:val="center"/>
                </w:tcPr>
                <w:p>
                  <w:pPr>
                    <w:jc w:val="center"/>
                    <w:rPr>
                      <w:rFonts w:ascii="Times New Roman" w:hAnsi="Times New Roman"/>
                      <w:color w:val="auto"/>
                      <w:szCs w:val="21"/>
                      <w:u w:val="single"/>
                    </w:rPr>
                  </w:pPr>
                  <w:r>
                    <w:rPr>
                      <w:rFonts w:ascii="Times New Roman" w:hAnsi="Times New Roman"/>
                      <w:color w:val="auto"/>
                      <w:szCs w:val="21"/>
                      <w:u w:val="single"/>
                    </w:rPr>
                    <w:t>0</w:t>
                  </w:r>
                </w:p>
              </w:tc>
              <w:tc>
                <w:tcPr>
                  <w:tcW w:w="1136" w:type="dxa"/>
                  <w:noWrap w:val="0"/>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val="en-US" w:eastAsia="zh-CN"/>
                    </w:rPr>
                    <w:t>0</w:t>
                  </w:r>
                </w:p>
              </w:tc>
              <w:tc>
                <w:tcPr>
                  <w:tcW w:w="1134" w:type="dxa"/>
                  <w:noWrap w:val="0"/>
                  <w:vAlign w:val="center"/>
                </w:tcPr>
                <w:p>
                  <w:pPr>
                    <w:jc w:val="center"/>
                    <w:rPr>
                      <w:rFonts w:ascii="Times New Roman" w:hAnsi="Times New Roman"/>
                      <w:color w:val="auto"/>
                      <w:szCs w:val="21"/>
                      <w:u w:val="single"/>
                    </w:rPr>
                  </w:pPr>
                  <w:r>
                    <w:rPr>
                      <w:rFonts w:ascii="Times New Roman" w:hAnsi="Times New Roman"/>
                      <w:color w:val="auto"/>
                      <w:szCs w:val="21"/>
                      <w:u w:val="single"/>
                    </w:rPr>
                    <w:t>0</w:t>
                  </w:r>
                </w:p>
              </w:tc>
              <w:tc>
                <w:tcPr>
                  <w:tcW w:w="1418" w:type="dxa"/>
                  <w:noWrap w:val="0"/>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val="en-US" w:eastAsia="zh-CN"/>
                    </w:rPr>
                    <w:t>0</w:t>
                  </w:r>
                </w:p>
              </w:tc>
              <w:tc>
                <w:tcPr>
                  <w:tcW w:w="1023" w:type="dxa"/>
                  <w:noWrap w:val="0"/>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gridSpan w:val="2"/>
                  <w:noWrap w:val="0"/>
                  <w:vAlign w:val="center"/>
                </w:tcPr>
                <w:p>
                  <w:pPr>
                    <w:jc w:val="center"/>
                    <w:rPr>
                      <w:rFonts w:hint="eastAsia"/>
                      <w:color w:val="auto"/>
                      <w:szCs w:val="21"/>
                      <w:u w:val="single"/>
                      <w:shd w:val="clear" w:color="auto" w:fill="FFFFFF"/>
                    </w:rPr>
                  </w:pPr>
                  <w:r>
                    <w:rPr>
                      <w:rFonts w:ascii="Times New Roman" w:hAnsi="Times New Roman"/>
                      <w:color w:val="auto"/>
                      <w:szCs w:val="21"/>
                      <w:u w:val="single"/>
                    </w:rPr>
                    <w:t>超标率（％）</w:t>
                  </w:r>
                </w:p>
              </w:tc>
              <w:tc>
                <w:tcPr>
                  <w:tcW w:w="992" w:type="dxa"/>
                  <w:noWrap w:val="0"/>
                  <w:vAlign w:val="center"/>
                </w:tcPr>
                <w:p>
                  <w:pPr>
                    <w:jc w:val="center"/>
                    <w:rPr>
                      <w:rFonts w:hint="eastAsia"/>
                      <w:color w:val="auto"/>
                      <w:szCs w:val="21"/>
                      <w:u w:val="single"/>
                      <w:shd w:val="clear" w:color="auto" w:fill="FFFFFF"/>
                    </w:rPr>
                  </w:pPr>
                  <w:r>
                    <w:rPr>
                      <w:rFonts w:hint="eastAsia"/>
                      <w:color w:val="auto"/>
                      <w:szCs w:val="21"/>
                      <w:u w:val="single"/>
                      <w:shd w:val="clear" w:color="auto" w:fill="FFFFFF"/>
                    </w:rPr>
                    <w:t>0</w:t>
                  </w:r>
                </w:p>
              </w:tc>
              <w:tc>
                <w:tcPr>
                  <w:tcW w:w="1134" w:type="dxa"/>
                  <w:noWrap w:val="0"/>
                  <w:vAlign w:val="center"/>
                </w:tcPr>
                <w:p>
                  <w:pPr>
                    <w:jc w:val="center"/>
                    <w:rPr>
                      <w:rFonts w:hint="eastAsia"/>
                      <w:color w:val="auto"/>
                      <w:szCs w:val="21"/>
                      <w:u w:val="single"/>
                      <w:shd w:val="clear" w:color="auto" w:fill="FFFFFF"/>
                    </w:rPr>
                  </w:pPr>
                  <w:r>
                    <w:rPr>
                      <w:rFonts w:hint="eastAsia"/>
                      <w:color w:val="auto"/>
                      <w:szCs w:val="21"/>
                      <w:u w:val="single"/>
                      <w:shd w:val="clear" w:color="auto" w:fill="FFFFFF"/>
                    </w:rPr>
                    <w:t>0</w:t>
                  </w:r>
                </w:p>
              </w:tc>
              <w:tc>
                <w:tcPr>
                  <w:tcW w:w="1136" w:type="dxa"/>
                  <w:noWrap w:val="0"/>
                  <w:vAlign w:val="center"/>
                </w:tcPr>
                <w:p>
                  <w:pPr>
                    <w:jc w:val="center"/>
                    <w:rPr>
                      <w:rFonts w:hint="eastAsia" w:eastAsia="宋体"/>
                      <w:color w:val="auto"/>
                      <w:szCs w:val="21"/>
                      <w:u w:val="single"/>
                      <w:shd w:val="clear" w:color="auto" w:fill="FFFFFF"/>
                      <w:lang w:eastAsia="zh-CN"/>
                    </w:rPr>
                  </w:pPr>
                  <w:r>
                    <w:rPr>
                      <w:rFonts w:hint="eastAsia"/>
                      <w:color w:val="auto"/>
                      <w:szCs w:val="21"/>
                      <w:u w:val="single"/>
                      <w:shd w:val="clear" w:color="auto" w:fill="FFFFFF"/>
                      <w:lang w:val="en-US" w:eastAsia="zh-CN"/>
                    </w:rPr>
                    <w:t>0</w:t>
                  </w:r>
                </w:p>
              </w:tc>
              <w:tc>
                <w:tcPr>
                  <w:tcW w:w="1134" w:type="dxa"/>
                  <w:noWrap w:val="0"/>
                  <w:vAlign w:val="center"/>
                </w:tcPr>
                <w:p>
                  <w:pPr>
                    <w:jc w:val="center"/>
                    <w:rPr>
                      <w:rFonts w:hint="eastAsia"/>
                      <w:color w:val="auto"/>
                      <w:szCs w:val="21"/>
                      <w:u w:val="single"/>
                      <w:shd w:val="clear" w:color="auto" w:fill="FFFFFF"/>
                    </w:rPr>
                  </w:pPr>
                  <w:r>
                    <w:rPr>
                      <w:rFonts w:hint="eastAsia"/>
                      <w:color w:val="auto"/>
                      <w:szCs w:val="21"/>
                      <w:u w:val="single"/>
                      <w:shd w:val="clear" w:color="auto" w:fill="FFFFFF"/>
                    </w:rPr>
                    <w:t>0</w:t>
                  </w:r>
                </w:p>
              </w:tc>
              <w:tc>
                <w:tcPr>
                  <w:tcW w:w="1418" w:type="dxa"/>
                  <w:noWrap w:val="0"/>
                  <w:vAlign w:val="center"/>
                </w:tcPr>
                <w:p>
                  <w:pPr>
                    <w:jc w:val="center"/>
                    <w:rPr>
                      <w:rFonts w:hint="eastAsia" w:eastAsia="宋体"/>
                      <w:color w:val="auto"/>
                      <w:szCs w:val="21"/>
                      <w:u w:val="single"/>
                      <w:shd w:val="clear" w:color="auto" w:fill="FFFFFF"/>
                      <w:lang w:eastAsia="zh-CN"/>
                    </w:rPr>
                  </w:pPr>
                  <w:r>
                    <w:rPr>
                      <w:rFonts w:hint="eastAsia"/>
                      <w:color w:val="auto"/>
                      <w:szCs w:val="21"/>
                      <w:u w:val="single"/>
                      <w:shd w:val="clear" w:color="auto" w:fill="FFFFFF"/>
                      <w:lang w:val="en-US" w:eastAsia="zh-CN"/>
                    </w:rPr>
                    <w:t>0</w:t>
                  </w:r>
                </w:p>
              </w:tc>
              <w:tc>
                <w:tcPr>
                  <w:tcW w:w="1023" w:type="dxa"/>
                  <w:noWrap w:val="0"/>
                  <w:vAlign w:val="center"/>
                </w:tcPr>
                <w:p>
                  <w:pPr>
                    <w:jc w:val="center"/>
                    <w:rPr>
                      <w:rFonts w:hint="eastAsia" w:eastAsia="宋体"/>
                      <w:color w:val="auto"/>
                      <w:szCs w:val="21"/>
                      <w:u w:val="single"/>
                      <w:shd w:val="clear" w:color="auto" w:fill="FFFFFF"/>
                      <w:lang w:eastAsia="zh-CN"/>
                    </w:rPr>
                  </w:pPr>
                  <w:r>
                    <w:rPr>
                      <w:rFonts w:hint="eastAsia"/>
                      <w:color w:val="auto"/>
                      <w:szCs w:val="21"/>
                      <w:u w:val="single"/>
                      <w:shd w:val="clear" w:color="auto" w:fill="FFFFFF"/>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gridSpan w:val="2"/>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rPr>
                    <w:t>达标判断</w:t>
                  </w:r>
                </w:p>
              </w:tc>
              <w:tc>
                <w:tcPr>
                  <w:tcW w:w="992" w:type="dxa"/>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rPr>
                    <w:t>达标</w:t>
                  </w:r>
                </w:p>
              </w:tc>
              <w:tc>
                <w:tcPr>
                  <w:tcW w:w="1134" w:type="dxa"/>
                  <w:noWrap w:val="0"/>
                  <w:vAlign w:val="center"/>
                </w:tcPr>
                <w:p>
                  <w:pPr>
                    <w:jc w:val="center"/>
                    <w:rPr>
                      <w:color w:val="auto"/>
                      <w:szCs w:val="21"/>
                      <w:u w:val="single"/>
                    </w:rPr>
                  </w:pPr>
                  <w:r>
                    <w:rPr>
                      <w:rFonts w:hint="eastAsia" w:ascii="Times New Roman"/>
                      <w:color w:val="auto"/>
                      <w:szCs w:val="21"/>
                      <w:u w:val="single"/>
                      <w:shd w:val="clear" w:color="auto" w:fill="FFFFFF"/>
                    </w:rPr>
                    <w:t>达标</w:t>
                  </w:r>
                </w:p>
              </w:tc>
              <w:tc>
                <w:tcPr>
                  <w:tcW w:w="1136" w:type="dxa"/>
                  <w:noWrap w:val="0"/>
                  <w:vAlign w:val="center"/>
                </w:tcPr>
                <w:p>
                  <w:pPr>
                    <w:jc w:val="center"/>
                    <w:rPr>
                      <w:color w:val="auto"/>
                      <w:szCs w:val="21"/>
                      <w:u w:val="single"/>
                    </w:rPr>
                  </w:pPr>
                  <w:r>
                    <w:rPr>
                      <w:rFonts w:hint="eastAsia" w:ascii="Times New Roman"/>
                      <w:color w:val="auto"/>
                      <w:szCs w:val="21"/>
                      <w:u w:val="single"/>
                      <w:shd w:val="clear" w:color="auto" w:fill="FFFFFF"/>
                    </w:rPr>
                    <w:t>达标</w:t>
                  </w:r>
                </w:p>
              </w:tc>
              <w:tc>
                <w:tcPr>
                  <w:tcW w:w="1134" w:type="dxa"/>
                  <w:noWrap w:val="0"/>
                  <w:vAlign w:val="center"/>
                </w:tcPr>
                <w:p>
                  <w:pPr>
                    <w:jc w:val="center"/>
                    <w:rPr>
                      <w:color w:val="auto"/>
                      <w:szCs w:val="21"/>
                      <w:u w:val="single"/>
                    </w:rPr>
                  </w:pPr>
                  <w:r>
                    <w:rPr>
                      <w:rFonts w:hint="eastAsia" w:ascii="Times New Roman"/>
                      <w:color w:val="auto"/>
                      <w:szCs w:val="21"/>
                      <w:u w:val="single"/>
                      <w:shd w:val="clear" w:color="auto" w:fill="FFFFFF"/>
                    </w:rPr>
                    <w:t>达标</w:t>
                  </w:r>
                </w:p>
              </w:tc>
              <w:tc>
                <w:tcPr>
                  <w:tcW w:w="1418" w:type="dxa"/>
                  <w:noWrap w:val="0"/>
                  <w:vAlign w:val="center"/>
                </w:tcPr>
                <w:p>
                  <w:pPr>
                    <w:jc w:val="center"/>
                    <w:rPr>
                      <w:color w:val="auto"/>
                      <w:szCs w:val="21"/>
                      <w:u w:val="single"/>
                    </w:rPr>
                  </w:pPr>
                  <w:r>
                    <w:rPr>
                      <w:rFonts w:hint="eastAsia" w:ascii="Times New Roman"/>
                      <w:color w:val="auto"/>
                      <w:szCs w:val="21"/>
                      <w:u w:val="single"/>
                      <w:shd w:val="clear" w:color="auto" w:fill="FFFFFF"/>
                    </w:rPr>
                    <w:t>达标</w:t>
                  </w:r>
                </w:p>
              </w:tc>
              <w:tc>
                <w:tcPr>
                  <w:tcW w:w="1023" w:type="dxa"/>
                  <w:noWrap w:val="0"/>
                  <w:vAlign w:val="center"/>
                </w:tcPr>
                <w:p>
                  <w:pPr>
                    <w:jc w:val="center"/>
                    <w:rPr>
                      <w:color w:val="auto"/>
                      <w:szCs w:val="21"/>
                      <w:u w:val="single"/>
                    </w:rPr>
                  </w:pPr>
                  <w:r>
                    <w:rPr>
                      <w:rFonts w:hint="eastAsia" w:ascii="Times New Roman"/>
                      <w:color w:val="auto"/>
                      <w:szCs w:val="21"/>
                      <w:u w:val="single"/>
                      <w:shd w:val="clear" w:color="auto" w:fill="FFFFFF"/>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vMerge w:val="restart"/>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rPr>
                    <w:t>二级标准值</w:t>
                  </w:r>
                </w:p>
              </w:tc>
              <w:tc>
                <w:tcPr>
                  <w:tcW w:w="1061" w:type="dxa"/>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rPr>
                    <w:t>24小时平均</w:t>
                  </w:r>
                </w:p>
              </w:tc>
              <w:tc>
                <w:tcPr>
                  <w:tcW w:w="992"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150</w:t>
                  </w:r>
                </w:p>
              </w:tc>
              <w:tc>
                <w:tcPr>
                  <w:tcW w:w="1134"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80</w:t>
                  </w:r>
                </w:p>
              </w:tc>
              <w:tc>
                <w:tcPr>
                  <w:tcW w:w="1136"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150</w:t>
                  </w:r>
                </w:p>
              </w:tc>
              <w:tc>
                <w:tcPr>
                  <w:tcW w:w="1134"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4（</w:t>
                  </w:r>
                  <w:r>
                    <w:rPr>
                      <w:rFonts w:hint="eastAsia"/>
                      <w:color w:val="auto"/>
                      <w:szCs w:val="21"/>
                      <w:u w:val="single"/>
                      <w:shd w:val="clear" w:color="auto" w:fill="FFFFFF"/>
                      <w:lang w:val="en-US" w:eastAsia="zh-CN"/>
                    </w:rPr>
                    <w:t>24</w:t>
                  </w:r>
                  <w:r>
                    <w:rPr>
                      <w:rFonts w:hint="eastAsia" w:ascii="Times New Roman"/>
                      <w:color w:val="auto"/>
                      <w:szCs w:val="21"/>
                      <w:u w:val="single"/>
                      <w:shd w:val="clear" w:color="auto" w:fill="FFFFFF"/>
                    </w:rPr>
                    <w:t>h平均）</w:t>
                  </w:r>
                </w:p>
              </w:tc>
              <w:tc>
                <w:tcPr>
                  <w:tcW w:w="1418"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160（8h平均）</w:t>
                  </w:r>
                </w:p>
              </w:tc>
              <w:tc>
                <w:tcPr>
                  <w:tcW w:w="1023"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vMerge w:val="continue"/>
                  <w:noWrap w:val="0"/>
                  <w:vAlign w:val="center"/>
                </w:tcPr>
                <w:p>
                  <w:pPr>
                    <w:jc w:val="center"/>
                    <w:rPr>
                      <w:rFonts w:ascii="Times New Roman"/>
                      <w:color w:val="auto"/>
                      <w:szCs w:val="21"/>
                      <w:u w:val="single"/>
                      <w:shd w:val="clear" w:color="auto" w:fill="FFFFFF"/>
                    </w:rPr>
                  </w:pPr>
                </w:p>
              </w:tc>
              <w:tc>
                <w:tcPr>
                  <w:tcW w:w="1061" w:type="dxa"/>
                  <w:noWrap w:val="0"/>
                  <w:vAlign w:val="center"/>
                </w:tcPr>
                <w:p>
                  <w:pPr>
                    <w:jc w:val="center"/>
                    <w:rPr>
                      <w:rFonts w:ascii="Times New Roman"/>
                      <w:color w:val="auto"/>
                      <w:szCs w:val="21"/>
                      <w:u w:val="single"/>
                      <w:shd w:val="clear" w:color="auto" w:fill="FFFFFF"/>
                    </w:rPr>
                  </w:pPr>
                  <w:r>
                    <w:rPr>
                      <w:rFonts w:hint="eastAsia" w:ascii="Times New Roman"/>
                      <w:color w:val="auto"/>
                      <w:szCs w:val="21"/>
                      <w:u w:val="single"/>
                      <w:shd w:val="clear" w:color="auto" w:fill="FFFFFF"/>
                    </w:rPr>
                    <w:t>年平均</w:t>
                  </w:r>
                </w:p>
              </w:tc>
              <w:tc>
                <w:tcPr>
                  <w:tcW w:w="992"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60</w:t>
                  </w:r>
                </w:p>
              </w:tc>
              <w:tc>
                <w:tcPr>
                  <w:tcW w:w="1134"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40</w:t>
                  </w:r>
                </w:p>
              </w:tc>
              <w:tc>
                <w:tcPr>
                  <w:tcW w:w="1136"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70</w:t>
                  </w:r>
                </w:p>
              </w:tc>
              <w:tc>
                <w:tcPr>
                  <w:tcW w:w="1134"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10（</w:t>
                  </w:r>
                  <w:r>
                    <w:rPr>
                      <w:rFonts w:hint="eastAsia"/>
                      <w:color w:val="auto"/>
                      <w:szCs w:val="21"/>
                      <w:u w:val="single"/>
                      <w:shd w:val="clear" w:color="auto" w:fill="FFFFFF"/>
                      <w:lang w:val="en-US" w:eastAsia="zh-CN"/>
                    </w:rPr>
                    <w:t>1</w:t>
                  </w:r>
                  <w:r>
                    <w:rPr>
                      <w:rFonts w:hint="eastAsia" w:ascii="Times New Roman"/>
                      <w:color w:val="auto"/>
                      <w:szCs w:val="21"/>
                      <w:u w:val="single"/>
                      <w:shd w:val="clear" w:color="auto" w:fill="FFFFFF"/>
                    </w:rPr>
                    <w:t>h平均）</w:t>
                  </w:r>
                </w:p>
              </w:tc>
              <w:tc>
                <w:tcPr>
                  <w:tcW w:w="1418"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200（1h平均）</w:t>
                  </w:r>
                </w:p>
              </w:tc>
              <w:tc>
                <w:tcPr>
                  <w:tcW w:w="1023" w:type="dxa"/>
                  <w:noWrap w:val="0"/>
                  <w:vAlign w:val="center"/>
                </w:tcPr>
                <w:p>
                  <w:pPr>
                    <w:pStyle w:val="18"/>
                    <w:spacing w:line="240" w:lineRule="auto"/>
                    <w:jc w:val="center"/>
                    <w:rPr>
                      <w:rFonts w:ascii="Times New Roman"/>
                      <w:b/>
                      <w:bCs/>
                      <w:color w:val="auto"/>
                      <w:szCs w:val="21"/>
                      <w:u w:val="single"/>
                      <w:shd w:val="clear" w:color="auto" w:fill="FFFFFF"/>
                    </w:rPr>
                  </w:pPr>
                  <w:r>
                    <w:rPr>
                      <w:rFonts w:hint="eastAsia" w:ascii="Times New Roman"/>
                      <w:color w:val="auto"/>
                      <w:szCs w:val="21"/>
                      <w:u w:val="single"/>
                      <w:shd w:val="clear" w:color="auto" w:fill="FFFFFF"/>
                    </w:rPr>
                    <w:t>35</w:t>
                  </w:r>
                </w:p>
              </w:tc>
            </w:tr>
          </w:tbl>
          <w:p>
            <w:pPr>
              <w:rPr>
                <w:rFonts w:hint="eastAsia" w:ascii="Times New Roman" w:cs="Times New Roman"/>
                <w:color w:val="auto"/>
                <w:shd w:val="clear" w:color="auto" w:fill="FFFFFF"/>
              </w:rPr>
            </w:pP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由上表可知，检测点所在</w:t>
            </w:r>
            <w:r>
              <w:rPr>
                <w:rFonts w:hint="eastAsia" w:cs="Times New Roman"/>
                <w:color w:val="auto"/>
                <w:sz w:val="24"/>
                <w:szCs w:val="24"/>
                <w:u w:val="single"/>
                <w:lang w:val="en-US" w:eastAsia="zh-CN"/>
              </w:rPr>
              <w:t>地2020年7月</w:t>
            </w:r>
            <w:r>
              <w:rPr>
                <w:rFonts w:hint="eastAsia" w:ascii="Times New Roman" w:hAnsi="Times New Roman"/>
                <w:bCs/>
                <w:color w:val="auto"/>
                <w:sz w:val="24"/>
                <w:szCs w:val="24"/>
                <w:u w:val="single"/>
              </w:rPr>
              <w:t>SO</w:t>
            </w:r>
            <w:r>
              <w:rPr>
                <w:rFonts w:hint="eastAsia" w:ascii="Times New Roman" w:hAnsi="Times New Roman"/>
                <w:bCs/>
                <w:color w:val="auto"/>
                <w:sz w:val="24"/>
                <w:szCs w:val="24"/>
                <w:u w:val="single"/>
                <w:vertAlign w:val="subscript"/>
              </w:rPr>
              <w:t>2</w:t>
            </w:r>
            <w:r>
              <w:rPr>
                <w:rFonts w:hint="eastAsia" w:ascii="Times New Roman" w:hAnsi="Times New Roman"/>
                <w:bCs/>
                <w:color w:val="auto"/>
                <w:sz w:val="24"/>
                <w:szCs w:val="24"/>
                <w:u w:val="single"/>
              </w:rPr>
              <w:t>、NO</w:t>
            </w:r>
            <w:r>
              <w:rPr>
                <w:rFonts w:hint="eastAsia" w:ascii="Times New Roman" w:hAnsi="Times New Roman"/>
                <w:bCs/>
                <w:color w:val="auto"/>
                <w:sz w:val="24"/>
                <w:szCs w:val="24"/>
                <w:u w:val="single"/>
                <w:vertAlign w:val="subscript"/>
              </w:rPr>
              <w:t>2</w:t>
            </w:r>
            <w:r>
              <w:rPr>
                <w:rFonts w:hint="eastAsia" w:ascii="Times New Roman" w:hAnsi="Times New Roman"/>
                <w:bCs/>
                <w:color w:val="auto"/>
                <w:sz w:val="24"/>
                <w:szCs w:val="24"/>
                <w:u w:val="single"/>
              </w:rPr>
              <w:t>、PM</w:t>
            </w:r>
            <w:r>
              <w:rPr>
                <w:rFonts w:hint="eastAsia" w:ascii="Times New Roman" w:hAnsi="Times New Roman"/>
                <w:bCs/>
                <w:color w:val="auto"/>
                <w:sz w:val="24"/>
                <w:szCs w:val="24"/>
                <w:u w:val="single"/>
                <w:vertAlign w:val="subscript"/>
              </w:rPr>
              <w:t>10</w:t>
            </w:r>
            <w:r>
              <w:rPr>
                <w:rFonts w:hint="eastAsia" w:ascii="Times New Roman" w:hAnsi="Times New Roman"/>
                <w:bCs/>
                <w:color w:val="auto"/>
                <w:sz w:val="24"/>
                <w:szCs w:val="24"/>
                <w:u w:val="single"/>
              </w:rPr>
              <w:t>、CO、O</w:t>
            </w:r>
            <w:r>
              <w:rPr>
                <w:rFonts w:hint="eastAsia" w:ascii="Times New Roman" w:hAnsi="Times New Roman"/>
                <w:bCs/>
                <w:color w:val="auto"/>
                <w:sz w:val="24"/>
                <w:szCs w:val="24"/>
                <w:u w:val="single"/>
                <w:vertAlign w:val="subscript"/>
              </w:rPr>
              <w:t>3</w:t>
            </w:r>
            <w:r>
              <w:rPr>
                <w:rFonts w:hint="eastAsia" w:ascii="Times New Roman" w:hAnsi="Times New Roman"/>
                <w:bCs/>
                <w:color w:val="auto"/>
                <w:sz w:val="24"/>
                <w:szCs w:val="24"/>
                <w:u w:val="single"/>
              </w:rPr>
              <w:t>、PM</w:t>
            </w:r>
            <w:r>
              <w:rPr>
                <w:rFonts w:hint="eastAsia" w:ascii="Times New Roman" w:hAnsi="Times New Roman"/>
                <w:bCs/>
                <w:color w:val="auto"/>
                <w:sz w:val="24"/>
                <w:szCs w:val="24"/>
                <w:u w:val="single"/>
                <w:vertAlign w:val="subscript"/>
              </w:rPr>
              <w:t>2.5</w:t>
            </w:r>
            <w:r>
              <w:rPr>
                <w:rFonts w:hint="eastAsia"/>
                <w:bCs/>
                <w:color w:val="auto"/>
                <w:sz w:val="24"/>
                <w:szCs w:val="24"/>
                <w:u w:val="single"/>
                <w:vertAlign w:val="baseline"/>
                <w:lang w:eastAsia="zh-CN"/>
              </w:rPr>
              <w:t>日</w:t>
            </w:r>
            <w:r>
              <w:rPr>
                <w:rFonts w:hint="eastAsia" w:cs="Times New Roman"/>
                <w:color w:val="auto"/>
                <w:sz w:val="24"/>
                <w:szCs w:val="24"/>
                <w:u w:val="single"/>
                <w:lang w:val="en-US" w:eastAsia="zh-CN"/>
              </w:rPr>
              <w:t>均</w:t>
            </w:r>
            <w:r>
              <w:rPr>
                <w:rFonts w:hint="eastAsia" w:cs="Times New Roman"/>
                <w:color w:val="auto"/>
                <w:sz w:val="24"/>
                <w:szCs w:val="24"/>
                <w:lang w:val="en-US" w:eastAsia="zh-CN"/>
              </w:rPr>
              <w:t>浓度均达到《环境空气质量标准》（GB3095-2012）二级标准要求。</w:t>
            </w:r>
          </w:p>
          <w:p>
            <w:pPr>
              <w:spacing w:line="360" w:lineRule="auto"/>
              <w:jc w:val="left"/>
              <w:rPr>
                <w:rFonts w:hint="eastAsia" w:ascii="Times New Roman" w:hAnsi="Times New Roman"/>
                <w:b/>
                <w:bCs/>
                <w:color w:val="auto"/>
                <w:sz w:val="24"/>
                <w:szCs w:val="24"/>
              </w:rPr>
            </w:pPr>
            <w:r>
              <w:rPr>
                <w:rFonts w:hint="eastAsia" w:ascii="Times New Roman" w:hAnsi="Times New Roman"/>
                <w:b/>
                <w:bCs/>
                <w:color w:val="auto"/>
                <w:sz w:val="24"/>
                <w:szCs w:val="24"/>
              </w:rPr>
              <w:t>3.2 地表水环境质量现状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eastAsia="zh-CN"/>
              </w:rPr>
              <w:t>依据</w:t>
            </w:r>
            <w:r>
              <w:rPr>
                <w:rFonts w:hint="default" w:ascii="Times New Roman" w:hAnsi="Times New Roman" w:eastAsia="宋体" w:cs="Times New Roman"/>
                <w:color w:val="auto"/>
                <w:sz w:val="24"/>
                <w:szCs w:val="24"/>
                <w:u w:val="none"/>
              </w:rPr>
              <w:t>《环境影响评价技术导则 地</w:t>
            </w:r>
            <w:r>
              <w:rPr>
                <w:rFonts w:hint="eastAsia" w:cs="Times New Roman"/>
                <w:color w:val="auto"/>
                <w:sz w:val="24"/>
                <w:szCs w:val="24"/>
                <w:u w:val="none"/>
                <w:lang w:eastAsia="zh-CN"/>
              </w:rPr>
              <w:t>表</w:t>
            </w:r>
            <w:r>
              <w:rPr>
                <w:rFonts w:hint="default" w:ascii="Times New Roman" w:hAnsi="Times New Roman" w:eastAsia="宋体" w:cs="Times New Roman"/>
                <w:color w:val="auto"/>
                <w:sz w:val="24"/>
                <w:szCs w:val="24"/>
                <w:u w:val="none"/>
              </w:rPr>
              <w:t>水环境》（HJ</w:t>
            </w:r>
            <w:r>
              <w:rPr>
                <w:rFonts w:hint="eastAsia" w:cs="Times New Roman"/>
                <w:color w:val="auto"/>
                <w:sz w:val="24"/>
                <w:szCs w:val="24"/>
                <w:u w:val="none"/>
                <w:lang w:val="en-US" w:eastAsia="zh-CN"/>
              </w:rPr>
              <w:t xml:space="preserve"> </w:t>
            </w:r>
            <w:r>
              <w:rPr>
                <w:rFonts w:hint="default" w:ascii="Times New Roman" w:hAnsi="Times New Roman" w:eastAsia="宋体" w:cs="Times New Roman"/>
                <w:color w:val="auto"/>
                <w:sz w:val="24"/>
                <w:szCs w:val="24"/>
                <w:u w:val="none"/>
              </w:rPr>
              <w:t>2.3—</w:t>
            </w:r>
            <w:r>
              <w:rPr>
                <w:rFonts w:hint="default" w:ascii="Times New Roman" w:hAnsi="Times New Roman" w:eastAsia="宋体" w:cs="Times New Roman"/>
                <w:color w:val="auto"/>
                <w:sz w:val="24"/>
                <w:szCs w:val="24"/>
                <w:u w:val="none"/>
                <w:lang w:val="en-US" w:eastAsia="zh-CN"/>
              </w:rPr>
              <w:t>2018</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US" w:eastAsia="zh-CN"/>
              </w:rPr>
              <w:t>,本项目生产工艺中有废水产生，但作为回水利用，不排放到外环境，按三级B评价。需了解</w:t>
            </w:r>
            <w:r>
              <w:rPr>
                <w:rFonts w:hint="default" w:ascii="Times New Roman" w:hAnsi="Times New Roman" w:eastAsia="宋体" w:cs="Times New Roman"/>
                <w:color w:val="auto"/>
                <w:sz w:val="24"/>
                <w:szCs w:val="24"/>
                <w:u w:val="none"/>
                <w:lang w:eastAsia="zh-CN"/>
              </w:rPr>
              <w:t>项目所在地</w:t>
            </w:r>
            <w:r>
              <w:rPr>
                <w:rFonts w:hint="default" w:ascii="Times New Roman" w:hAnsi="Times New Roman" w:eastAsia="宋体" w:cs="Times New Roman"/>
                <w:color w:val="auto"/>
                <w:sz w:val="24"/>
                <w:szCs w:val="24"/>
                <w:u w:val="none"/>
              </w:rPr>
              <w:t>地表水环境质量现状</w:t>
            </w:r>
            <w:r>
              <w:rPr>
                <w:rFonts w:hint="default" w:ascii="Times New Roman" w:hAnsi="Times New Roman" w:eastAsia="宋体" w:cs="Times New Roman"/>
                <w:color w:val="auto"/>
                <w:sz w:val="24"/>
                <w:szCs w:val="24"/>
                <w:u w:val="none"/>
                <w:lang w:eastAsia="zh-CN"/>
              </w:rPr>
              <w:t>。</w:t>
            </w:r>
          </w:p>
          <w:p>
            <w:pPr>
              <w:spacing w:line="360" w:lineRule="auto"/>
              <w:ind w:left="0" w:firstLine="480" w:firstLineChars="200"/>
              <w:rPr>
                <w:rFonts w:eastAsia="Calibri"/>
                <w:color w:val="auto"/>
                <w:sz w:val="24"/>
                <w:szCs w:val="24"/>
                <w:u w:val="none"/>
              </w:rPr>
            </w:pPr>
            <w:r>
              <w:rPr>
                <w:rFonts w:hint="eastAsia" w:eastAsia="Calibri"/>
                <w:color w:val="auto"/>
                <w:sz w:val="24"/>
                <w:szCs w:val="24"/>
                <w:u w:val="none"/>
              </w:rPr>
              <w:t>本评价收集了怀化市生态环境局于</w:t>
            </w:r>
            <w:r>
              <w:rPr>
                <w:rFonts w:eastAsia="Calibri"/>
                <w:color w:val="auto"/>
                <w:sz w:val="24"/>
                <w:szCs w:val="24"/>
                <w:u w:val="none"/>
              </w:rPr>
              <w:t>20</w:t>
            </w:r>
            <w:r>
              <w:rPr>
                <w:rFonts w:hint="eastAsia" w:eastAsia="Calibri"/>
                <w:color w:val="auto"/>
                <w:sz w:val="24"/>
                <w:szCs w:val="24"/>
                <w:u w:val="none"/>
              </w:rPr>
              <w:t>20年</w:t>
            </w:r>
            <w:r>
              <w:rPr>
                <w:rFonts w:eastAsia="Calibri"/>
                <w:color w:val="auto"/>
                <w:sz w:val="24"/>
                <w:szCs w:val="24"/>
                <w:u w:val="none"/>
              </w:rPr>
              <w:t>1</w:t>
            </w:r>
            <w:r>
              <w:rPr>
                <w:rFonts w:hint="eastAsia" w:eastAsia="Calibri"/>
                <w:color w:val="auto"/>
                <w:sz w:val="24"/>
                <w:szCs w:val="24"/>
                <w:u w:val="none"/>
              </w:rPr>
              <w:t>月2</w:t>
            </w:r>
            <w:r>
              <w:rPr>
                <w:rFonts w:hint="eastAsia" w:eastAsiaTheme="minorEastAsia"/>
                <w:color w:val="auto"/>
                <w:sz w:val="24"/>
                <w:szCs w:val="24"/>
                <w:u w:val="none"/>
              </w:rPr>
              <w:t>3</w:t>
            </w:r>
            <w:r>
              <w:rPr>
                <w:rFonts w:hint="eastAsia" w:eastAsia="Calibri"/>
                <w:color w:val="auto"/>
                <w:sz w:val="24"/>
                <w:szCs w:val="24"/>
                <w:u w:val="none"/>
              </w:rPr>
              <w:t>日公布的</w:t>
            </w:r>
            <w:r>
              <w:rPr>
                <w:rFonts w:eastAsia="Calibri"/>
                <w:color w:val="auto"/>
                <w:sz w:val="24"/>
                <w:szCs w:val="24"/>
                <w:u w:val="none"/>
              </w:rPr>
              <w:t>201</w:t>
            </w:r>
            <w:r>
              <w:rPr>
                <w:rFonts w:hint="eastAsia" w:eastAsia="Calibri"/>
                <w:color w:val="auto"/>
                <w:sz w:val="24"/>
                <w:szCs w:val="24"/>
                <w:u w:val="none"/>
              </w:rPr>
              <w:t>9年怀化市水环境质量</w:t>
            </w:r>
            <w:r>
              <w:rPr>
                <w:rFonts w:hint="eastAsia" w:eastAsiaTheme="minorEastAsia"/>
                <w:color w:val="auto"/>
                <w:sz w:val="24"/>
                <w:szCs w:val="24"/>
                <w:u w:val="none"/>
              </w:rPr>
              <w:t>年报</w:t>
            </w:r>
            <w:r>
              <w:rPr>
                <w:rFonts w:hint="eastAsia" w:eastAsia="Calibri"/>
                <w:color w:val="auto"/>
                <w:sz w:val="24"/>
                <w:szCs w:val="24"/>
                <w:u w:val="none"/>
              </w:rPr>
              <w:t>中沅</w:t>
            </w:r>
            <w:r>
              <w:rPr>
                <w:rFonts w:hint="eastAsia" w:asciiTheme="minorEastAsia" w:hAnsiTheme="minorEastAsia" w:eastAsiaTheme="minorEastAsia"/>
                <w:color w:val="auto"/>
                <w:sz w:val="24"/>
                <w:szCs w:val="24"/>
                <w:u w:val="none"/>
              </w:rPr>
              <w:t>水干流及主要支流</w:t>
            </w:r>
            <w:r>
              <w:rPr>
                <w:rFonts w:hint="eastAsia" w:eastAsia="Calibri"/>
                <w:color w:val="auto"/>
                <w:sz w:val="24"/>
                <w:szCs w:val="24"/>
                <w:u w:val="none"/>
              </w:rPr>
              <w:t>洪江区</w:t>
            </w:r>
            <w:r>
              <w:rPr>
                <w:rFonts w:hint="eastAsia" w:asciiTheme="minorEastAsia" w:hAnsiTheme="minorEastAsia" w:eastAsiaTheme="minorEastAsia"/>
                <w:color w:val="auto"/>
                <w:sz w:val="24"/>
                <w:szCs w:val="24"/>
                <w:u w:val="none"/>
              </w:rPr>
              <w:t>三</w:t>
            </w:r>
            <w:r>
              <w:rPr>
                <w:rFonts w:hint="eastAsia" w:eastAsia="Calibri"/>
                <w:color w:val="auto"/>
                <w:sz w:val="24"/>
                <w:szCs w:val="24"/>
                <w:u w:val="none"/>
              </w:rPr>
              <w:t>个省控断面的常规水质状况。其中深溪口</w:t>
            </w:r>
            <w:r>
              <w:rPr>
                <w:rFonts w:hint="eastAsia" w:eastAsia="宋体"/>
                <w:color w:val="auto"/>
                <w:sz w:val="24"/>
                <w:szCs w:val="24"/>
                <w:u w:val="none"/>
                <w:lang w:eastAsia="zh-CN"/>
              </w:rPr>
              <w:t>断面（距本项目地约</w:t>
            </w:r>
            <w:r>
              <w:rPr>
                <w:rFonts w:hint="eastAsia" w:eastAsia="宋体"/>
                <w:color w:val="auto"/>
                <w:sz w:val="24"/>
                <w:szCs w:val="24"/>
                <w:u w:val="none"/>
                <w:lang w:val="en-US" w:eastAsia="zh-CN"/>
              </w:rPr>
              <w:t>6.3km</w:t>
            </w:r>
            <w:r>
              <w:rPr>
                <w:rFonts w:hint="eastAsia" w:eastAsia="宋体"/>
                <w:color w:val="auto"/>
                <w:sz w:val="24"/>
                <w:szCs w:val="24"/>
                <w:u w:val="none"/>
                <w:lang w:eastAsia="zh-CN"/>
              </w:rPr>
              <w:t>）</w:t>
            </w:r>
            <w:r>
              <w:rPr>
                <w:rFonts w:hint="eastAsia" w:eastAsia="Calibri"/>
                <w:color w:val="auto"/>
                <w:sz w:val="24"/>
                <w:szCs w:val="24"/>
                <w:u w:val="none"/>
              </w:rPr>
              <w:t>、萝卜湾断面</w:t>
            </w:r>
            <w:r>
              <w:rPr>
                <w:rFonts w:hint="eastAsia" w:eastAsia="宋体"/>
                <w:color w:val="auto"/>
                <w:sz w:val="24"/>
                <w:szCs w:val="24"/>
                <w:u w:val="none"/>
                <w:lang w:eastAsia="zh-CN"/>
              </w:rPr>
              <w:t>（距本项目地约</w:t>
            </w:r>
            <w:r>
              <w:rPr>
                <w:rFonts w:hint="eastAsia" w:eastAsia="宋体"/>
                <w:color w:val="auto"/>
                <w:sz w:val="24"/>
                <w:szCs w:val="24"/>
                <w:u w:val="none"/>
                <w:lang w:val="en-US" w:eastAsia="zh-CN"/>
              </w:rPr>
              <w:t>900m</w:t>
            </w:r>
            <w:r>
              <w:rPr>
                <w:rFonts w:hint="eastAsia" w:eastAsia="宋体"/>
                <w:color w:val="auto"/>
                <w:sz w:val="24"/>
                <w:szCs w:val="24"/>
                <w:u w:val="none"/>
                <w:lang w:eastAsia="zh-CN"/>
              </w:rPr>
              <w:t>）</w:t>
            </w:r>
            <w:r>
              <w:rPr>
                <w:rFonts w:hint="eastAsia" w:eastAsia="Calibri"/>
                <w:color w:val="auto"/>
                <w:sz w:val="24"/>
                <w:szCs w:val="24"/>
                <w:u w:val="none"/>
              </w:rPr>
              <w:t>分别位于桃李园溪汇入口上游</w:t>
            </w:r>
            <w:r>
              <w:rPr>
                <w:rFonts w:eastAsia="Calibri"/>
                <w:color w:val="auto"/>
                <w:sz w:val="24"/>
                <w:szCs w:val="24"/>
                <w:u w:val="none"/>
              </w:rPr>
              <w:t>5km</w:t>
            </w:r>
            <w:r>
              <w:rPr>
                <w:rFonts w:hint="eastAsia" w:eastAsia="Calibri"/>
                <w:color w:val="auto"/>
                <w:sz w:val="24"/>
                <w:szCs w:val="24"/>
                <w:u w:val="none"/>
              </w:rPr>
              <w:t>、下游 3</w:t>
            </w:r>
            <w:r>
              <w:rPr>
                <w:rFonts w:eastAsia="Calibri"/>
                <w:color w:val="auto"/>
                <w:sz w:val="24"/>
                <w:szCs w:val="24"/>
                <w:u w:val="none"/>
              </w:rPr>
              <w:t>km</w:t>
            </w:r>
            <w:r>
              <w:rPr>
                <w:rFonts w:hint="eastAsia" w:eastAsia="Calibri"/>
                <w:color w:val="auto"/>
                <w:sz w:val="24"/>
                <w:szCs w:val="24"/>
                <w:u w:val="none"/>
              </w:rPr>
              <w:t>处，</w:t>
            </w:r>
            <w:r>
              <w:rPr>
                <w:rFonts w:hint="eastAsia" w:asciiTheme="minorEastAsia" w:hAnsiTheme="minorEastAsia" w:eastAsiaTheme="minorEastAsia"/>
                <w:color w:val="auto"/>
                <w:sz w:val="24"/>
                <w:szCs w:val="24"/>
                <w:u w:val="none"/>
              </w:rPr>
              <w:t>洪江区水厂断面位于</w:t>
            </w:r>
            <w:r>
              <w:rPr>
                <w:rFonts w:hint="eastAsia" w:eastAsia="Calibri"/>
                <w:color w:val="auto"/>
                <w:sz w:val="24"/>
                <w:szCs w:val="24"/>
                <w:u w:val="none"/>
              </w:rPr>
              <w:t>桃李园溪汇入口上游</w:t>
            </w:r>
            <w:r>
              <w:rPr>
                <w:rFonts w:hint="eastAsia" w:asciiTheme="minorEastAsia" w:hAnsiTheme="minorEastAsia" w:eastAsiaTheme="minorEastAsia"/>
                <w:color w:val="auto"/>
                <w:sz w:val="24"/>
                <w:szCs w:val="24"/>
                <w:u w:val="none"/>
              </w:rPr>
              <w:t>沅水支流巫水</w:t>
            </w:r>
            <w:r>
              <w:rPr>
                <w:rFonts w:hint="eastAsia" w:eastAsia="Calibri"/>
                <w:color w:val="auto"/>
                <w:sz w:val="24"/>
                <w:szCs w:val="24"/>
                <w:u w:val="none"/>
              </w:rPr>
              <w:t>。</w:t>
            </w:r>
          </w:p>
          <w:p>
            <w:pPr>
              <w:spacing w:line="360" w:lineRule="auto"/>
              <w:ind w:left="0" w:firstLine="480" w:firstLineChars="200"/>
              <w:jc w:val="left"/>
              <w:rPr>
                <w:rFonts w:eastAsia="Calibri"/>
                <w:color w:val="auto"/>
                <w:sz w:val="24"/>
                <w:szCs w:val="24"/>
                <w:u w:val="none"/>
              </w:rPr>
            </w:pPr>
            <w:r>
              <w:rPr>
                <w:rFonts w:hint="eastAsia" w:eastAsia="Calibri"/>
                <w:color w:val="auto"/>
                <w:sz w:val="24"/>
                <w:szCs w:val="24"/>
                <w:u w:val="none"/>
              </w:rPr>
              <w:t>网址：</w:t>
            </w:r>
            <w:r>
              <w:rPr>
                <w:rFonts w:eastAsia="Calibri"/>
                <w:color w:val="auto"/>
                <w:sz w:val="24"/>
                <w:szCs w:val="24"/>
                <w:u w:val="none"/>
              </w:rPr>
              <w:t xml:space="preserve"> </w:t>
            </w:r>
          </w:p>
          <w:p>
            <w:pPr>
              <w:spacing w:line="400" w:lineRule="exact"/>
              <w:ind w:firstLine="480"/>
              <w:rPr>
                <w:color w:val="auto"/>
                <w:sz w:val="24"/>
              </w:rPr>
            </w:pPr>
            <w:r>
              <w:rPr>
                <w:color w:val="auto"/>
                <w:u w:val="none"/>
              </w:rPr>
              <w:fldChar w:fldCharType="begin"/>
            </w:r>
            <w:r>
              <w:rPr>
                <w:color w:val="auto"/>
                <w:u w:val="none"/>
              </w:rPr>
              <w:instrText xml:space="preserve"> HYPERLINK "http://www.huaihua.gov.cn/sthjj/c115424/202001/55b2f6fb04344a579a0d2c1d931fc884.shtml" </w:instrText>
            </w:r>
            <w:r>
              <w:rPr>
                <w:color w:val="auto"/>
                <w:u w:val="none"/>
              </w:rPr>
              <w:fldChar w:fldCharType="separate"/>
            </w:r>
            <w:r>
              <w:rPr>
                <w:rStyle w:val="25"/>
                <w:rFonts w:ascii="Times New Roman" w:hAnsi="Times New Roman" w:eastAsia="宋体"/>
                <w:color w:val="auto"/>
                <w:sz w:val="24"/>
                <w:szCs w:val="20"/>
                <w:u w:val="none"/>
              </w:rPr>
              <w:t>http://www.huaihua.gov.cn/sthjj/c115424/202001/55b2f6fb04344a579a0d2c1d931fc884.shtml</w:t>
            </w:r>
            <w:r>
              <w:rPr>
                <w:rStyle w:val="25"/>
                <w:rFonts w:ascii="Times New Roman" w:hAnsi="Times New Roman" w:eastAsia="宋体"/>
                <w:color w:val="auto"/>
                <w:sz w:val="24"/>
                <w:szCs w:val="20"/>
                <w:u w:val="none"/>
              </w:rPr>
              <w:fldChar w:fldCharType="end"/>
            </w:r>
          </w:p>
          <w:p>
            <w:pPr>
              <w:ind w:firstLine="720" w:firstLineChars="300"/>
              <w:rPr>
                <w:color w:val="auto"/>
                <w:sz w:val="24"/>
              </w:rPr>
            </w:pPr>
            <w:r>
              <w:rPr>
                <w:color w:val="auto"/>
                <w:sz w:val="24"/>
              </w:rPr>
              <w:drawing>
                <wp:inline distT="0" distB="0" distL="0" distR="0">
                  <wp:extent cx="4572000" cy="3352800"/>
                  <wp:effectExtent l="0" t="0" r="0" b="0"/>
                  <wp:docPr id="69" name="图片 69" descr="d:\Users\Administrator\Desktop\F0R2OUAP(958`O~PME0H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Users\Administrator\Desktop\F0R2OUAP(958`O~PME0HC$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70355" cy="3351594"/>
                          </a:xfrm>
                          <a:prstGeom prst="rect">
                            <a:avLst/>
                          </a:prstGeom>
                          <a:noFill/>
                          <a:ln>
                            <a:noFill/>
                          </a:ln>
                        </pic:spPr>
                      </pic:pic>
                    </a:graphicData>
                  </a:graphic>
                </wp:inline>
              </w:drawing>
            </w:r>
          </w:p>
          <w:p>
            <w:pPr>
              <w:spacing w:line="360" w:lineRule="auto"/>
              <w:jc w:val="center"/>
              <w:rPr>
                <w:color w:val="auto"/>
                <w:sz w:val="24"/>
              </w:rPr>
            </w:pPr>
            <w:r>
              <w:rPr>
                <w:color w:val="auto"/>
                <w:sz w:val="24"/>
              </w:rPr>
              <w:drawing>
                <wp:inline distT="0" distB="0" distL="0" distR="0">
                  <wp:extent cx="4323080" cy="2204720"/>
                  <wp:effectExtent l="0" t="0" r="1270" b="5080"/>
                  <wp:docPr id="3" name="图片 3" descr="C:\Users\Administrator\Desktop\15912532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591253226(1).png"/>
                          <pic:cNvPicPr>
                            <a:picLocks noChangeAspect="1" noChangeArrowheads="1"/>
                          </pic:cNvPicPr>
                        </pic:nvPicPr>
                        <pic:blipFill>
                          <a:blip r:embed="rId10"/>
                          <a:srcRect/>
                          <a:stretch>
                            <a:fillRect/>
                          </a:stretch>
                        </pic:blipFill>
                        <pic:spPr>
                          <a:xfrm>
                            <a:off x="0" y="0"/>
                            <a:ext cx="4332246" cy="2209395"/>
                          </a:xfrm>
                          <a:prstGeom prst="rect">
                            <a:avLst/>
                          </a:prstGeom>
                          <a:noFill/>
                          <a:ln w="9525">
                            <a:noFill/>
                            <a:miter lim="800000"/>
                            <a:headEnd/>
                            <a:tailEnd/>
                          </a:ln>
                        </pic:spPr>
                      </pic:pic>
                    </a:graphicData>
                  </a:graphic>
                </wp:inline>
              </w:drawing>
            </w:r>
          </w:p>
          <w:p>
            <w:pPr>
              <w:spacing w:line="360" w:lineRule="auto"/>
              <w:ind w:left="-40" w:firstLine="482"/>
              <w:jc w:val="center"/>
              <w:rPr>
                <w:rFonts w:eastAsia="Calibri"/>
                <w:b/>
                <w:bCs/>
                <w:color w:val="auto"/>
                <w:szCs w:val="21"/>
              </w:rPr>
            </w:pPr>
            <w:r>
              <w:rPr>
                <w:rFonts w:hint="eastAsia" w:eastAsia="Calibri"/>
                <w:b/>
                <w:bCs/>
                <w:color w:val="auto"/>
                <w:szCs w:val="21"/>
              </w:rPr>
              <w:t>图3-</w:t>
            </w:r>
            <w:r>
              <w:rPr>
                <w:rFonts w:hint="eastAsia" w:eastAsia="宋体"/>
                <w:b/>
                <w:bCs/>
                <w:color w:val="auto"/>
                <w:szCs w:val="21"/>
                <w:lang w:val="en-US" w:eastAsia="zh-CN"/>
              </w:rPr>
              <w:t>3</w:t>
            </w:r>
            <w:r>
              <w:rPr>
                <w:rFonts w:hint="eastAsia" w:eastAsia="Calibri"/>
                <w:b/>
                <w:bCs/>
                <w:color w:val="auto"/>
                <w:szCs w:val="21"/>
              </w:rPr>
              <w:t xml:space="preserve"> 区域地表水环境质量状况公报截图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eastAsiaTheme="minorEastAsia"/>
                <w:color w:val="auto"/>
                <w:sz w:val="24"/>
                <w:szCs w:val="24"/>
                <w:u w:val="none"/>
              </w:rPr>
              <w:t>年</w:t>
            </w:r>
            <w:r>
              <w:rPr>
                <w:rFonts w:hint="eastAsia" w:eastAsia="Calibri"/>
                <w:color w:val="auto"/>
                <w:sz w:val="24"/>
                <w:szCs w:val="24"/>
                <w:u w:val="none"/>
              </w:rPr>
              <w:t>报中水环境质量状况表明，</w:t>
            </w:r>
            <w:r>
              <w:rPr>
                <w:rFonts w:eastAsia="Calibri"/>
                <w:color w:val="auto"/>
                <w:sz w:val="24"/>
                <w:szCs w:val="24"/>
                <w:u w:val="none"/>
              </w:rPr>
              <w:t>201</w:t>
            </w:r>
            <w:r>
              <w:rPr>
                <w:rFonts w:hint="eastAsia" w:eastAsiaTheme="minorEastAsia"/>
                <w:color w:val="auto"/>
                <w:sz w:val="24"/>
                <w:szCs w:val="24"/>
                <w:u w:val="none"/>
              </w:rPr>
              <w:t>9</w:t>
            </w:r>
            <w:r>
              <w:rPr>
                <w:rFonts w:hint="eastAsia" w:eastAsia="Calibri"/>
                <w:color w:val="auto"/>
                <w:sz w:val="24"/>
                <w:szCs w:val="24"/>
                <w:u w:val="none"/>
              </w:rPr>
              <w:t>年沅</w:t>
            </w:r>
            <w:r>
              <w:rPr>
                <w:rFonts w:hint="eastAsia" w:asciiTheme="minorEastAsia" w:hAnsiTheme="minorEastAsia" w:eastAsiaTheme="minorEastAsia"/>
                <w:color w:val="auto"/>
                <w:sz w:val="24"/>
                <w:szCs w:val="24"/>
                <w:u w:val="none"/>
              </w:rPr>
              <w:t>水</w:t>
            </w:r>
            <w:r>
              <w:rPr>
                <w:rFonts w:hint="eastAsia" w:eastAsia="宋体"/>
                <w:color w:val="auto"/>
                <w:sz w:val="24"/>
                <w:szCs w:val="24"/>
                <w:u w:val="none"/>
                <w:lang w:eastAsia="zh-CN"/>
              </w:rPr>
              <w:t>监测断面</w:t>
            </w:r>
            <w:r>
              <w:rPr>
                <w:rFonts w:hint="eastAsia" w:eastAsia="Calibri"/>
                <w:color w:val="auto"/>
                <w:sz w:val="24"/>
                <w:szCs w:val="24"/>
                <w:u w:val="none"/>
              </w:rPr>
              <w:t>水质</w:t>
            </w:r>
            <w:r>
              <w:rPr>
                <w:rFonts w:hint="eastAsia" w:eastAsiaTheme="minorEastAsia"/>
                <w:color w:val="auto"/>
                <w:sz w:val="24"/>
                <w:szCs w:val="24"/>
                <w:u w:val="none"/>
              </w:rPr>
              <w:t>满足</w:t>
            </w:r>
            <w:r>
              <w:rPr>
                <w:rFonts w:hint="eastAsia" w:eastAsia="Calibri"/>
                <w:color w:val="auto"/>
                <w:sz w:val="24"/>
                <w:szCs w:val="24"/>
                <w:u w:val="none"/>
              </w:rPr>
              <w:t>《地表水环境质量标准》 （</w:t>
            </w:r>
            <w:r>
              <w:rPr>
                <w:rFonts w:eastAsia="Calibri"/>
                <w:color w:val="auto"/>
                <w:sz w:val="24"/>
                <w:szCs w:val="24"/>
                <w:u w:val="none"/>
              </w:rPr>
              <w:t>GB3838-2002</w:t>
            </w:r>
            <w:r>
              <w:rPr>
                <w:rFonts w:hint="eastAsia" w:eastAsia="Calibri"/>
                <w:color w:val="auto"/>
                <w:sz w:val="24"/>
                <w:szCs w:val="24"/>
                <w:u w:val="none"/>
              </w:rPr>
              <w:t>）</w:t>
            </w:r>
            <w:r>
              <w:rPr>
                <w:rFonts w:hint="eastAsia" w:asciiTheme="minorEastAsia" w:hAnsiTheme="minorEastAsia" w:eastAsiaTheme="minorEastAsia"/>
                <w:color w:val="auto"/>
                <w:sz w:val="24"/>
                <w:szCs w:val="24"/>
                <w:u w:val="none"/>
              </w:rPr>
              <w:t>Ⅱ</w:t>
            </w:r>
            <w:r>
              <w:rPr>
                <w:rFonts w:hint="eastAsia" w:eastAsia="Calibri"/>
                <w:color w:val="auto"/>
                <w:sz w:val="24"/>
                <w:szCs w:val="24"/>
                <w:u w:val="none"/>
              </w:rPr>
              <w:t>类标准，</w:t>
            </w:r>
            <w:r>
              <w:rPr>
                <w:rFonts w:hint="eastAsia" w:asciiTheme="minorEastAsia" w:hAnsiTheme="minorEastAsia" w:eastAsiaTheme="minorEastAsia"/>
                <w:color w:val="auto"/>
                <w:sz w:val="24"/>
                <w:szCs w:val="24"/>
                <w:u w:val="none"/>
              </w:rPr>
              <w:t>沅水支流巫水洪江水厂断面水质满足</w:t>
            </w:r>
            <w:r>
              <w:rPr>
                <w:rFonts w:hint="eastAsia" w:eastAsia="Calibri"/>
                <w:color w:val="auto"/>
                <w:sz w:val="24"/>
                <w:szCs w:val="24"/>
                <w:u w:val="none"/>
              </w:rPr>
              <w:t>《地表水环境质量标准》 （</w:t>
            </w:r>
            <w:r>
              <w:rPr>
                <w:rFonts w:eastAsia="Calibri"/>
                <w:color w:val="auto"/>
                <w:sz w:val="24"/>
                <w:szCs w:val="24"/>
                <w:u w:val="none"/>
              </w:rPr>
              <w:t>GB3838-2002</w:t>
            </w:r>
            <w:r>
              <w:rPr>
                <w:rFonts w:hint="eastAsia" w:eastAsia="Calibri"/>
                <w:color w:val="auto"/>
                <w:sz w:val="24"/>
                <w:szCs w:val="24"/>
                <w:u w:val="none"/>
              </w:rPr>
              <w:t>）</w:t>
            </w:r>
            <w:r>
              <w:rPr>
                <w:rFonts w:hint="eastAsia" w:asciiTheme="minorEastAsia" w:hAnsiTheme="minorEastAsia" w:eastAsiaTheme="minorEastAsia"/>
                <w:color w:val="auto"/>
                <w:sz w:val="24"/>
                <w:szCs w:val="24"/>
                <w:u w:val="none"/>
              </w:rPr>
              <w:t>Ⅱ</w:t>
            </w:r>
            <w:r>
              <w:rPr>
                <w:rFonts w:hint="eastAsia" w:eastAsia="Calibri"/>
                <w:color w:val="auto"/>
                <w:sz w:val="24"/>
                <w:szCs w:val="24"/>
                <w:u w:val="none"/>
              </w:rPr>
              <w:t>类标准，项目所在区域地表水环境质量良好</w:t>
            </w:r>
            <w:r>
              <w:rPr>
                <w:rFonts w:hint="eastAsia" w:eastAsia="宋体"/>
                <w:color w:val="auto"/>
                <w:sz w:val="24"/>
                <w:szCs w:val="24"/>
                <w:u w:val="none"/>
                <w:lang w:eastAsia="zh-CN"/>
              </w:rPr>
              <w:t>。</w:t>
            </w:r>
          </w:p>
          <w:p>
            <w:pPr>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ascii="Times New Roman" w:hAnsi="Times New Roman"/>
                <w:b/>
                <w:bCs/>
                <w:color w:val="auto"/>
                <w:sz w:val="24"/>
                <w:szCs w:val="24"/>
              </w:rPr>
            </w:pPr>
            <w:r>
              <w:rPr>
                <w:rFonts w:hint="eastAsia" w:ascii="Times New Roman" w:hAnsi="Times New Roman"/>
                <w:b/>
                <w:bCs/>
                <w:color w:val="auto"/>
                <w:sz w:val="24"/>
                <w:szCs w:val="24"/>
              </w:rPr>
              <w:t>3.3 声环境质量现状</w:t>
            </w:r>
          </w:p>
          <w:p>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val="0"/>
                <w:bCs w:val="0"/>
                <w:color w:val="auto"/>
                <w:kern w:val="2"/>
                <w:sz w:val="24"/>
                <w:szCs w:val="24"/>
                <w:lang w:val="en-US" w:eastAsia="zh-CN"/>
              </w:rPr>
              <w:t>本</w:t>
            </w:r>
            <w:r>
              <w:rPr>
                <w:rFonts w:hint="eastAsia" w:ascii="Times New Roman" w:hAnsi="Times New Roman" w:cs="Times New Roman"/>
                <w:color w:val="auto"/>
                <w:sz w:val="24"/>
                <w:szCs w:val="24"/>
                <w:highlight w:val="none"/>
                <w:lang w:eastAsia="zh-CN"/>
              </w:rPr>
              <w:t>环评</w:t>
            </w:r>
            <w:r>
              <w:rPr>
                <w:rFonts w:hint="eastAsia" w:cs="Times New Roman"/>
                <w:color w:val="auto"/>
                <w:sz w:val="24"/>
                <w:szCs w:val="24"/>
                <w:highlight w:val="none"/>
                <w:lang w:eastAsia="zh-CN"/>
              </w:rPr>
              <w:t>委托湖南昌旭环保科技有限公司对项目地</w:t>
            </w:r>
            <w:r>
              <w:rPr>
                <w:rFonts w:hint="default" w:ascii="Times New Roman" w:hAnsi="Times New Roman" w:cs="Times New Roman"/>
                <w:color w:val="auto"/>
                <w:sz w:val="24"/>
                <w:szCs w:val="24"/>
                <w:highlight w:val="none"/>
              </w:rPr>
              <w:t>东、</w:t>
            </w:r>
            <w:r>
              <w:rPr>
                <w:rFonts w:hint="eastAsia" w:cs="Times New Roman"/>
                <w:color w:val="auto"/>
                <w:sz w:val="24"/>
                <w:szCs w:val="24"/>
                <w:highlight w:val="none"/>
                <w:lang w:eastAsia="zh-CN"/>
              </w:rPr>
              <w:t>南、</w:t>
            </w:r>
            <w:r>
              <w:rPr>
                <w:rFonts w:hint="default" w:ascii="Times New Roman" w:hAnsi="Times New Roman" w:cs="Times New Roman"/>
                <w:color w:val="auto"/>
                <w:sz w:val="24"/>
                <w:szCs w:val="24"/>
                <w:highlight w:val="none"/>
              </w:rPr>
              <w:t>西、</w:t>
            </w:r>
            <w:r>
              <w:rPr>
                <w:rFonts w:hint="eastAsia" w:cs="Times New Roman"/>
                <w:color w:val="auto"/>
                <w:sz w:val="24"/>
                <w:szCs w:val="24"/>
                <w:highlight w:val="none"/>
                <w:lang w:eastAsia="zh-CN"/>
              </w:rPr>
              <w:t>北侧</w:t>
            </w:r>
            <w:r>
              <w:rPr>
                <w:rFonts w:hint="default" w:ascii="Times New Roman" w:hAnsi="Times New Roman" w:cs="Times New Roman"/>
                <w:color w:val="auto"/>
                <w:sz w:val="24"/>
                <w:szCs w:val="24"/>
                <w:highlight w:val="none"/>
              </w:rPr>
              <w:t>厂界</w:t>
            </w:r>
            <w:r>
              <w:rPr>
                <w:rFonts w:hint="eastAsia" w:ascii="Times New Roman" w:hAnsi="Times New Roman" w:cs="Times New Roman"/>
                <w:color w:val="auto"/>
                <w:sz w:val="24"/>
                <w:szCs w:val="24"/>
                <w:highlight w:val="none"/>
                <w:lang w:eastAsia="zh-CN"/>
              </w:rPr>
              <w:t>处</w:t>
            </w:r>
            <w:r>
              <w:rPr>
                <w:rFonts w:hint="eastAsia" w:cs="Times New Roman"/>
                <w:color w:val="auto"/>
                <w:sz w:val="24"/>
                <w:szCs w:val="24"/>
                <w:highlight w:val="none"/>
                <w:lang w:eastAsia="zh-CN"/>
              </w:rPr>
              <w:t>进行</w:t>
            </w:r>
            <w:r>
              <w:rPr>
                <w:rFonts w:hint="eastAsia" w:ascii="Times New Roman" w:hAnsi="Times New Roman" w:cs="Times New Roman"/>
                <w:color w:val="auto"/>
                <w:sz w:val="24"/>
                <w:szCs w:val="24"/>
                <w:highlight w:val="none"/>
                <w:lang w:eastAsia="zh-CN"/>
              </w:rPr>
              <w:t>声环境质量现状</w:t>
            </w:r>
            <w:r>
              <w:rPr>
                <w:rFonts w:hint="default" w:ascii="Times New Roman" w:hAnsi="Times New Roman" w:cs="Times New Roman"/>
                <w:color w:val="auto"/>
                <w:sz w:val="24"/>
                <w:szCs w:val="24"/>
                <w:highlight w:val="none"/>
              </w:rPr>
              <w:t>进行实测，各监测点按</w:t>
            </w:r>
            <w:r>
              <w:rPr>
                <w:rFonts w:hint="eastAsia" w:asciiTheme="minorEastAsia" w:hAnsiTheme="minorEastAsia" w:eastAsiaTheme="minorEastAsia" w:cstheme="minorEastAsia"/>
                <w:color w:val="auto"/>
                <w:sz w:val="24"/>
                <w:szCs w:val="24"/>
                <w:lang w:val="en-US" w:eastAsia="zh-CN"/>
              </w:rPr>
              <w:t>昼间、夜间</w:t>
            </w:r>
            <w:r>
              <w:rPr>
                <w:rFonts w:hint="default" w:ascii="Times New Roman" w:hAnsi="Times New Roman" w:cs="Times New Roman"/>
                <w:color w:val="auto"/>
                <w:sz w:val="24"/>
                <w:szCs w:val="24"/>
                <w:highlight w:val="none"/>
              </w:rPr>
              <w:t>分段监测</w:t>
            </w:r>
            <w:r>
              <w:rPr>
                <w:rFonts w:hint="eastAsia" w:asciiTheme="minorEastAsia" w:hAnsiTheme="minorEastAsia" w:eastAsiaTheme="minorEastAsia" w:cstheme="minorEastAsia"/>
                <w:color w:val="auto"/>
                <w:sz w:val="24"/>
                <w:szCs w:val="24"/>
                <w:highlight w:val="none"/>
                <w:lang w:eastAsia="zh-CN"/>
              </w:rPr>
              <w:t>，监测情况与监测结果说明如下：</w:t>
            </w:r>
          </w:p>
          <w:p>
            <w:pPr>
              <w:pStyle w:val="10"/>
              <w:keepNext w:val="0"/>
              <w:keepLines w:val="0"/>
              <w:pageBreakBefore w:val="0"/>
              <w:widowControl w:val="0"/>
              <w:numPr>
                <w:ilvl w:val="0"/>
                <w:numId w:val="5"/>
              </w:numPr>
              <w:suppressLineNumbers w:val="0"/>
              <w:kinsoku/>
              <w:wordWrap/>
              <w:overflowPunct/>
              <w:topLinePunct w:val="0"/>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监测时间：</w:t>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highlight w:val="none"/>
                <w:u w:val="none"/>
              </w:rPr>
              <w:t>月</w:t>
            </w:r>
            <w:r>
              <w:rPr>
                <w:rFonts w:hint="eastAsia" w:asciiTheme="minorEastAsia" w:hAnsiTheme="minorEastAsia" w:eastAsiaTheme="minorEastAsia" w:cstheme="minorEastAsia"/>
                <w:color w:val="auto"/>
                <w:sz w:val="24"/>
                <w:szCs w:val="24"/>
                <w:highlight w:val="none"/>
                <w:u w:val="none"/>
                <w:lang w:val="en-US" w:eastAsia="zh-CN"/>
              </w:rPr>
              <w:t>19～20日，</w:t>
            </w:r>
            <w:r>
              <w:rPr>
                <w:rFonts w:hint="eastAsia" w:ascii="Times New Roman" w:hAnsi="Times New Roman" w:cs="Times New Roman"/>
                <w:color w:val="auto"/>
                <w:sz w:val="24"/>
                <w:szCs w:val="24"/>
                <w:highlight w:val="none"/>
                <w:lang w:eastAsia="zh-CN"/>
              </w:rPr>
              <w:t>共</w:t>
            </w:r>
            <w:r>
              <w:rPr>
                <w:rFonts w:hint="default" w:ascii="Times New Roman" w:hAnsi="Times New Roman" w:cs="Times New Roman"/>
                <w:color w:val="auto"/>
                <w:sz w:val="24"/>
                <w:szCs w:val="24"/>
                <w:highlight w:val="none"/>
              </w:rPr>
              <w:t>监测2天，</w:t>
            </w:r>
            <w:r>
              <w:rPr>
                <w:rFonts w:hint="eastAsia" w:ascii="Times New Roman" w:hAnsi="Times New Roman" w:cs="Times New Roman"/>
                <w:color w:val="auto"/>
                <w:sz w:val="24"/>
                <w:szCs w:val="24"/>
                <w:highlight w:val="none"/>
                <w:lang w:eastAsia="zh-CN"/>
              </w:rPr>
              <w:t>每天</w:t>
            </w:r>
            <w:r>
              <w:rPr>
                <w:rFonts w:hint="eastAsia" w:asciiTheme="minorEastAsia" w:hAnsiTheme="minorEastAsia" w:eastAsiaTheme="minorEastAsia" w:cstheme="minorEastAsia"/>
                <w:color w:val="auto"/>
                <w:sz w:val="24"/>
                <w:szCs w:val="24"/>
                <w:lang w:val="en-US" w:eastAsia="zh-CN"/>
              </w:rPr>
              <w:t>昼间、夜间</w:t>
            </w:r>
            <w:r>
              <w:rPr>
                <w:rFonts w:hint="default" w:ascii="Times New Roman" w:hAnsi="Times New Roman" w:cs="Times New Roman"/>
                <w:color w:val="auto"/>
                <w:sz w:val="24"/>
                <w:szCs w:val="24"/>
                <w:highlight w:val="none"/>
              </w:rPr>
              <w:t>各</w:t>
            </w:r>
            <w:r>
              <w:rPr>
                <w:rFonts w:hint="eastAsia" w:ascii="Times New Roman" w:hAnsi="Times New Roman" w:cs="Times New Roman"/>
                <w:color w:val="auto"/>
                <w:sz w:val="24"/>
                <w:szCs w:val="24"/>
                <w:highlight w:val="none"/>
                <w:lang w:eastAsia="zh-CN"/>
              </w:rPr>
              <w:t>监测</w:t>
            </w:r>
            <w:r>
              <w:rPr>
                <w:rFonts w:hint="default" w:ascii="Times New Roman" w:hAnsi="Times New Roman" w:cs="Times New Roman"/>
                <w:color w:val="auto"/>
                <w:sz w:val="24"/>
                <w:szCs w:val="24"/>
                <w:highlight w:val="none"/>
              </w:rPr>
              <w:t>1次</w:t>
            </w:r>
            <w:r>
              <w:rPr>
                <w:rFonts w:hint="eastAsia" w:asciiTheme="minorEastAsia" w:hAnsiTheme="minorEastAsia" w:eastAsiaTheme="minorEastAsia" w:cstheme="minorEastAsia"/>
                <w:color w:val="auto"/>
                <w:sz w:val="24"/>
                <w:szCs w:val="24"/>
                <w:highlight w:val="none"/>
                <w:lang w:eastAsia="zh-CN"/>
              </w:rPr>
              <w:t>；</w:t>
            </w:r>
          </w:p>
          <w:p>
            <w:pPr>
              <w:pStyle w:val="10"/>
              <w:keepNext w:val="0"/>
              <w:keepLines w:val="0"/>
              <w:pageBreakBefore w:val="0"/>
              <w:widowControl w:val="0"/>
              <w:numPr>
                <w:ilvl w:val="0"/>
                <w:numId w:val="5"/>
              </w:numPr>
              <w:suppressLineNumbers w:val="0"/>
              <w:kinsoku/>
              <w:wordWrap/>
              <w:overflowPunct/>
              <w:topLinePunct w:val="0"/>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监测点位：东、南、西、北侧厂界外1m处各设1个监测点，共设4个。</w:t>
            </w:r>
          </w:p>
          <w:p>
            <w:pPr>
              <w:keepNext w:val="0"/>
              <w:keepLines w:val="0"/>
              <w:pageBreakBefore w:val="0"/>
              <w:widowControl w:val="0"/>
              <w:numPr>
                <w:ilvl w:val="0"/>
                <w:numId w:val="5"/>
              </w:numPr>
              <w:suppressLineNumbers w:val="0"/>
              <w:kinsoku/>
              <w:wordWrap/>
              <w:overflowPunct/>
              <w:topLinePunct w:val="0"/>
              <w:autoSpaceDE w:val="0"/>
              <w:autoSpaceDN w:val="0"/>
              <w:bidi w:val="0"/>
              <w:adjustRightInd/>
              <w:snapToGrid/>
              <w:spacing w:before="0" w:beforeAutospacing="0" w:afterAutospacing="0" w:line="36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eastAsia" w:asciiTheme="minorEastAsia" w:hAnsiTheme="minorEastAsia" w:eastAsiaTheme="minorEastAsia" w:cstheme="minorEastAsia"/>
                <w:color w:val="auto"/>
                <w:kern w:val="0"/>
                <w:sz w:val="24"/>
                <w:szCs w:val="24"/>
              </w:rPr>
              <w:t>评价标准</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2"/>
                <w:sz w:val="24"/>
                <w:szCs w:val="24"/>
                <w:lang w:val="en-US" w:eastAsia="zh-CN"/>
              </w:rPr>
              <w:t>《声环境质量标准》</w:t>
            </w:r>
            <w:r>
              <w:rPr>
                <w:rFonts w:hint="default" w:ascii="Times New Roman" w:hAnsi="Times New Roman" w:cs="Times New Roman" w:eastAsiaTheme="minorEastAsia"/>
                <w:color w:val="auto"/>
                <w:kern w:val="2"/>
                <w:sz w:val="24"/>
                <w:szCs w:val="24"/>
                <w:lang w:val="en-US" w:eastAsia="zh-CN"/>
              </w:rPr>
              <w:t>（GB3096-2008）2</w:t>
            </w:r>
            <w:r>
              <w:rPr>
                <w:rFonts w:hint="eastAsia" w:asciiTheme="minorEastAsia" w:hAnsiTheme="minorEastAsia" w:eastAsiaTheme="minorEastAsia" w:cstheme="minorEastAsia"/>
                <w:color w:val="auto"/>
                <w:kern w:val="2"/>
                <w:sz w:val="24"/>
                <w:szCs w:val="24"/>
                <w:lang w:val="en-US" w:eastAsia="zh-CN"/>
              </w:rPr>
              <w:t>类标准。</w:t>
            </w:r>
          </w:p>
          <w:p>
            <w:pPr>
              <w:keepNext w:val="0"/>
              <w:keepLines w:val="0"/>
              <w:pageBreakBefore w:val="0"/>
              <w:widowControl w:val="0"/>
              <w:numPr>
                <w:ilvl w:val="0"/>
                <w:numId w:val="5"/>
              </w:numPr>
              <w:suppressLineNumbers w:val="0"/>
              <w:kinsoku/>
              <w:wordWrap/>
              <w:overflowPunct/>
              <w:topLinePunct w:val="0"/>
              <w:autoSpaceDE w:val="0"/>
              <w:autoSpaceDN w:val="0"/>
              <w:bidi w:val="0"/>
              <w:adjustRightInd/>
              <w:snapToGrid/>
              <w:spacing w:before="0" w:beforeAutospacing="0" w:afterAutospacing="0" w:line="36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监测结果见表。</w:t>
            </w:r>
          </w:p>
          <w:p>
            <w:pPr>
              <w:keepNext w:val="0"/>
              <w:keepLines w:val="0"/>
              <w:suppressLineNumbers w:val="0"/>
              <w:spacing w:before="0" w:beforeAutospacing="0" w:after="0" w:afterAutospacing="0" w:line="240" w:lineRule="auto"/>
              <w:ind w:left="0" w:right="0" w:firstLine="422" w:firstLineChars="200"/>
              <w:jc w:val="center"/>
              <w:rPr>
                <w:rFonts w:hint="default"/>
                <w:b/>
                <w:bCs/>
                <w:color w:val="auto"/>
                <w:sz w:val="21"/>
                <w:szCs w:val="21"/>
                <w:highlight w:val="none"/>
              </w:rPr>
            </w:pPr>
            <w:r>
              <w:rPr>
                <w:rFonts w:hint="default"/>
                <w:b/>
                <w:bCs/>
                <w:color w:val="auto"/>
                <w:sz w:val="21"/>
                <w:szCs w:val="21"/>
                <w:highlight w:val="none"/>
              </w:rPr>
              <w:t>表</w:t>
            </w:r>
            <w:r>
              <w:rPr>
                <w:rFonts w:hint="eastAsia"/>
                <w:b/>
                <w:bCs/>
                <w:color w:val="auto"/>
                <w:sz w:val="21"/>
                <w:szCs w:val="21"/>
                <w:highlight w:val="none"/>
                <w:lang w:val="en-US" w:eastAsia="zh-CN"/>
              </w:rPr>
              <w:t>3-3</w:t>
            </w:r>
            <w:r>
              <w:rPr>
                <w:rFonts w:hint="default"/>
                <w:b/>
                <w:bCs/>
                <w:color w:val="auto"/>
                <w:sz w:val="21"/>
                <w:szCs w:val="21"/>
                <w:highlight w:val="none"/>
              </w:rPr>
              <w:t xml:space="preserve"> </w:t>
            </w:r>
            <w:r>
              <w:rPr>
                <w:rFonts w:hint="eastAsia"/>
                <w:b/>
                <w:bCs/>
                <w:color w:val="auto"/>
                <w:sz w:val="21"/>
                <w:szCs w:val="21"/>
                <w:highlight w:val="none"/>
                <w:lang w:eastAsia="zh-CN"/>
              </w:rPr>
              <w:t>环境</w:t>
            </w:r>
            <w:r>
              <w:rPr>
                <w:rFonts w:hint="default"/>
                <w:b/>
                <w:bCs/>
                <w:color w:val="auto"/>
                <w:sz w:val="21"/>
                <w:szCs w:val="21"/>
                <w:highlight w:val="none"/>
              </w:rPr>
              <w:t>噪声现状监测结果   单位：dB(A)</w:t>
            </w:r>
          </w:p>
          <w:tbl>
            <w:tblPr>
              <w:tblStyle w:val="22"/>
              <w:tblW w:w="9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64" w:type="dxa"/>
                <w:bottom w:w="0" w:type="dxa"/>
                <w:right w:w="51" w:type="dxa"/>
              </w:tblCellMar>
            </w:tblPr>
            <w:tblGrid>
              <w:gridCol w:w="3620"/>
              <w:gridCol w:w="1545"/>
              <w:gridCol w:w="1804"/>
              <w:gridCol w:w="1231"/>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90" w:hRule="atLeast"/>
                <w:jc w:val="center"/>
              </w:trPr>
              <w:tc>
                <w:tcPr>
                  <w:tcW w:w="3620" w:type="dxa"/>
                  <w:vMerge w:val="restart"/>
                  <w:tcBorders>
                    <w:tl2br w:val="nil"/>
                    <w:tr2bl w:val="nil"/>
                  </w:tcBorders>
                  <w:noWrap w:val="0"/>
                  <w:vAlign w:val="center"/>
                </w:tcPr>
                <w:p>
                  <w:pPr>
                    <w:spacing w:line="420" w:lineRule="exact"/>
                    <w:jc w:val="center"/>
                    <w:rPr>
                      <w:rFonts w:ascii="Times New Roman" w:hAnsi="Times New Roman"/>
                      <w:bCs w:val="0"/>
                      <w:color w:val="auto"/>
                      <w:sz w:val="21"/>
                      <w:szCs w:val="21"/>
                    </w:rPr>
                  </w:pPr>
                  <w:r>
                    <w:rPr>
                      <w:rFonts w:ascii="Times New Roman" w:hAnsi="Times New Roman"/>
                      <w:bCs w:val="0"/>
                      <w:color w:val="auto"/>
                      <w:sz w:val="21"/>
                      <w:szCs w:val="21"/>
                    </w:rPr>
                    <w:t>点位名称</w:t>
                  </w:r>
                </w:p>
              </w:tc>
              <w:tc>
                <w:tcPr>
                  <w:tcW w:w="1545" w:type="dxa"/>
                  <w:vMerge w:val="restart"/>
                  <w:tcBorders>
                    <w:tl2br w:val="nil"/>
                    <w:tr2bl w:val="nil"/>
                  </w:tcBorders>
                  <w:noWrap w:val="0"/>
                  <w:vAlign w:val="center"/>
                </w:tcPr>
                <w:p>
                  <w:pPr>
                    <w:spacing w:line="420" w:lineRule="exact"/>
                    <w:jc w:val="center"/>
                    <w:rPr>
                      <w:rFonts w:ascii="Times New Roman" w:hAnsi="Times New Roman"/>
                      <w:bCs w:val="0"/>
                      <w:color w:val="auto"/>
                      <w:sz w:val="21"/>
                      <w:szCs w:val="21"/>
                    </w:rPr>
                  </w:pPr>
                  <w:r>
                    <w:rPr>
                      <w:rFonts w:hint="eastAsia" w:ascii="Times New Roman" w:hAnsi="Times New Roman"/>
                      <w:bCs w:val="0"/>
                      <w:color w:val="auto"/>
                      <w:sz w:val="21"/>
                      <w:szCs w:val="21"/>
                      <w:lang w:val="en-US" w:eastAsia="zh-CN"/>
                    </w:rPr>
                    <w:t>检测</w:t>
                  </w:r>
                  <w:r>
                    <w:rPr>
                      <w:rFonts w:ascii="Times New Roman" w:hAnsi="Times New Roman"/>
                      <w:bCs w:val="0"/>
                      <w:color w:val="auto"/>
                      <w:sz w:val="21"/>
                      <w:szCs w:val="21"/>
                    </w:rPr>
                    <w:t>日期</w:t>
                  </w:r>
                </w:p>
              </w:tc>
              <w:tc>
                <w:tcPr>
                  <w:tcW w:w="1804" w:type="dxa"/>
                  <w:vMerge w:val="restart"/>
                  <w:tcBorders>
                    <w:tl2br w:val="nil"/>
                    <w:tr2bl w:val="nil"/>
                  </w:tcBorders>
                  <w:noWrap w:val="0"/>
                  <w:vAlign w:val="center"/>
                </w:tcPr>
                <w:p>
                  <w:pPr>
                    <w:spacing w:line="240" w:lineRule="exact"/>
                    <w:jc w:val="center"/>
                    <w:rPr>
                      <w:rFonts w:hint="eastAsia" w:ascii="Times New Roman" w:hAnsi="Times New Roman"/>
                      <w:color w:val="auto"/>
                      <w:sz w:val="21"/>
                      <w:szCs w:val="21"/>
                    </w:rPr>
                  </w:pPr>
                  <w:r>
                    <w:rPr>
                      <w:rFonts w:hint="eastAsia" w:ascii="Times New Roman" w:hAnsi="Times New Roman"/>
                      <w:color w:val="auto"/>
                      <w:sz w:val="21"/>
                      <w:szCs w:val="21"/>
                    </w:rPr>
                    <w:t>监测内容</w:t>
                  </w:r>
                </w:p>
              </w:tc>
              <w:tc>
                <w:tcPr>
                  <w:tcW w:w="2449" w:type="dxa"/>
                  <w:gridSpan w:val="2"/>
                  <w:tcBorders>
                    <w:tl2br w:val="nil"/>
                    <w:tr2bl w:val="nil"/>
                  </w:tcBorders>
                  <w:noWrap w:val="0"/>
                  <w:vAlign w:val="center"/>
                </w:tcPr>
                <w:p>
                  <w:pPr>
                    <w:spacing w:line="240" w:lineRule="exact"/>
                    <w:jc w:val="center"/>
                    <w:rPr>
                      <w:rFonts w:ascii="Times New Roman" w:hAnsi="Times New Roman"/>
                      <w:color w:val="auto"/>
                      <w:sz w:val="21"/>
                      <w:szCs w:val="21"/>
                    </w:rPr>
                  </w:pPr>
                  <w:r>
                    <w:rPr>
                      <w:rFonts w:ascii="Times New Roman" w:hAnsi="Times New Roman"/>
                      <w:color w:val="auto"/>
                      <w:sz w:val="21"/>
                      <w:szCs w:val="21"/>
                    </w:rPr>
                    <w:t>检测结果</w:t>
                  </w:r>
                </w:p>
                <w:p>
                  <w:pPr>
                    <w:spacing w:line="240" w:lineRule="exact"/>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284" w:hRule="atLeast"/>
                <w:jc w:val="center"/>
              </w:trPr>
              <w:tc>
                <w:tcPr>
                  <w:tcW w:w="3620" w:type="dxa"/>
                  <w:vMerge w:val="continue"/>
                  <w:tcBorders>
                    <w:tl2br w:val="nil"/>
                    <w:tr2bl w:val="nil"/>
                  </w:tcBorders>
                  <w:noWrap w:val="0"/>
                  <w:vAlign w:val="center"/>
                </w:tcPr>
                <w:p>
                  <w:pPr>
                    <w:spacing w:line="420" w:lineRule="exact"/>
                    <w:jc w:val="center"/>
                    <w:rPr>
                      <w:rFonts w:ascii="Times New Roman" w:hAnsi="Times New Roman"/>
                      <w:bCs w:val="0"/>
                      <w:color w:val="auto"/>
                      <w:sz w:val="21"/>
                      <w:szCs w:val="21"/>
                    </w:rPr>
                  </w:pPr>
                </w:p>
              </w:tc>
              <w:tc>
                <w:tcPr>
                  <w:tcW w:w="1545" w:type="dxa"/>
                  <w:vMerge w:val="continue"/>
                  <w:tcBorders>
                    <w:tl2br w:val="nil"/>
                    <w:tr2bl w:val="nil"/>
                  </w:tcBorders>
                  <w:noWrap w:val="0"/>
                  <w:vAlign w:val="center"/>
                </w:tcPr>
                <w:p>
                  <w:pPr>
                    <w:spacing w:line="420" w:lineRule="exact"/>
                    <w:jc w:val="center"/>
                    <w:rPr>
                      <w:rFonts w:ascii="Times New Roman" w:hAnsi="Times New Roman"/>
                      <w:bCs w:val="0"/>
                      <w:color w:val="auto"/>
                      <w:sz w:val="21"/>
                      <w:szCs w:val="21"/>
                    </w:rPr>
                  </w:pPr>
                </w:p>
              </w:tc>
              <w:tc>
                <w:tcPr>
                  <w:tcW w:w="1804" w:type="dxa"/>
                  <w:vMerge w:val="continue"/>
                  <w:tcBorders>
                    <w:tl2br w:val="nil"/>
                    <w:tr2bl w:val="nil"/>
                  </w:tcBorders>
                  <w:noWrap w:val="0"/>
                  <w:vAlign w:val="center"/>
                </w:tcPr>
                <w:p>
                  <w:pPr>
                    <w:spacing w:line="240" w:lineRule="exact"/>
                    <w:jc w:val="center"/>
                    <w:rPr>
                      <w:rFonts w:ascii="Times New Roman" w:hAnsi="Times New Roman"/>
                      <w:color w:val="auto"/>
                      <w:sz w:val="21"/>
                      <w:szCs w:val="21"/>
                    </w:rPr>
                  </w:pPr>
                </w:p>
              </w:tc>
              <w:tc>
                <w:tcPr>
                  <w:tcW w:w="1231" w:type="dxa"/>
                  <w:tcBorders>
                    <w:tl2br w:val="nil"/>
                    <w:tr2bl w:val="nil"/>
                  </w:tcBorders>
                  <w:noWrap w:val="0"/>
                  <w:vAlign w:val="center"/>
                </w:tcPr>
                <w:p>
                  <w:pPr>
                    <w:spacing w:line="240" w:lineRule="exact"/>
                    <w:jc w:val="center"/>
                    <w:rPr>
                      <w:rFonts w:ascii="Times New Roman" w:hAnsi="Times New Roman"/>
                      <w:color w:val="auto"/>
                      <w:sz w:val="21"/>
                      <w:szCs w:val="21"/>
                    </w:rPr>
                  </w:pPr>
                  <w:r>
                    <w:rPr>
                      <w:rFonts w:hint="eastAsia" w:ascii="Times New Roman" w:hAnsi="Times New Roman"/>
                      <w:color w:val="auto"/>
                      <w:sz w:val="21"/>
                      <w:szCs w:val="21"/>
                    </w:rPr>
                    <w:t>昼间</w:t>
                  </w:r>
                </w:p>
              </w:tc>
              <w:tc>
                <w:tcPr>
                  <w:tcW w:w="1218" w:type="dxa"/>
                  <w:tcBorders>
                    <w:tl2br w:val="nil"/>
                    <w:tr2bl w:val="nil"/>
                  </w:tcBorders>
                  <w:noWrap w:val="0"/>
                  <w:vAlign w:val="center"/>
                </w:tcPr>
                <w:p>
                  <w:pPr>
                    <w:spacing w:line="240" w:lineRule="exact"/>
                    <w:jc w:val="center"/>
                    <w:rPr>
                      <w:rFonts w:hint="eastAsia" w:ascii="Times New Roman" w:hAnsi="Times New Roman"/>
                      <w:color w:val="auto"/>
                      <w:sz w:val="21"/>
                      <w:szCs w:val="21"/>
                    </w:rPr>
                  </w:pPr>
                  <w:r>
                    <w:rPr>
                      <w:rFonts w:hint="eastAsia" w:ascii="Times New Roman" w:hAnsi="Times New Roman"/>
                      <w:color w:val="auto"/>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63" w:hRule="atLeast"/>
                <w:jc w:val="center"/>
              </w:trPr>
              <w:tc>
                <w:tcPr>
                  <w:tcW w:w="3620" w:type="dxa"/>
                  <w:tcBorders>
                    <w:tl2br w:val="nil"/>
                    <w:tr2bl w:val="nil"/>
                  </w:tcBorders>
                  <w:noWrap w:val="0"/>
                  <w:vAlign w:val="center"/>
                </w:tcPr>
                <w:p>
                  <w:pPr>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w:t>
                  </w:r>
                  <w:r>
                    <w:rPr>
                      <w:rFonts w:hint="eastAsia" w:ascii="Times New Roman" w:hAnsi="Times New Roman" w:eastAsia="仿宋" w:cs="Times New Roman"/>
                      <w:b w:val="0"/>
                      <w:bCs w:val="0"/>
                      <w:color w:val="auto"/>
                      <w:sz w:val="21"/>
                      <w:szCs w:val="21"/>
                      <w:lang w:val="en-US" w:eastAsia="zh-CN"/>
                    </w:rPr>
                    <w:t>东侧</w:t>
                  </w:r>
                  <w:r>
                    <w:rPr>
                      <w:rFonts w:hint="default" w:ascii="Times New Roman" w:hAnsi="Times New Roman" w:eastAsia="仿宋" w:cs="Times New Roman"/>
                      <w:b w:val="0"/>
                      <w:bCs w:val="0"/>
                      <w:color w:val="auto"/>
                      <w:sz w:val="21"/>
                      <w:szCs w:val="21"/>
                      <w:lang w:val="en-US" w:eastAsia="zh-CN"/>
                    </w:rPr>
                    <w:t>外1m处</w:t>
                  </w:r>
                  <w:r>
                    <w:rPr>
                      <w:rFonts w:hint="eastAsia" w:ascii="Times New Roman" w:hAnsi="Times New Roman" w:eastAsia="仿宋" w:cs="Times New Roman"/>
                      <w:b w:val="0"/>
                      <w:bCs w:val="0"/>
                      <w:color w:val="auto"/>
                      <w:sz w:val="21"/>
                      <w:szCs w:val="21"/>
                      <w:lang w:val="en-US" w:eastAsia="zh-CN"/>
                    </w:rPr>
                    <w:t>△N1</w:t>
                  </w:r>
                </w:p>
              </w:tc>
              <w:tc>
                <w:tcPr>
                  <w:tcW w:w="1545" w:type="dxa"/>
                  <w:vMerge w:val="restart"/>
                  <w:tcBorders>
                    <w:tl2br w:val="nil"/>
                    <w:tr2bl w:val="nil"/>
                  </w:tcBorders>
                  <w:noWrap w:val="0"/>
                  <w:vAlign w:val="center"/>
                </w:tcPr>
                <w:p>
                  <w:pPr>
                    <w:jc w:val="center"/>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2020.8.19</w:t>
                  </w:r>
                </w:p>
              </w:tc>
              <w:tc>
                <w:tcPr>
                  <w:tcW w:w="1804" w:type="dxa"/>
                  <w:tcBorders>
                    <w:tl2br w:val="nil"/>
                    <w:tr2bl w:val="nil"/>
                  </w:tcBorders>
                  <w:noWrap w:val="0"/>
                  <w:vAlign w:val="center"/>
                </w:tcPr>
                <w:p>
                  <w:pPr>
                    <w:spacing w:line="240" w:lineRule="exact"/>
                    <w:jc w:val="center"/>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声环境噪声</w:t>
                  </w:r>
                </w:p>
              </w:tc>
              <w:tc>
                <w:tcPr>
                  <w:tcW w:w="1231"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54</w:t>
                  </w:r>
                </w:p>
              </w:tc>
              <w:tc>
                <w:tcPr>
                  <w:tcW w:w="1218"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63" w:hRule="atLeast"/>
                <w:jc w:val="center"/>
              </w:trPr>
              <w:tc>
                <w:tcPr>
                  <w:tcW w:w="3620" w:type="dxa"/>
                  <w:tcBorders>
                    <w:tl2br w:val="nil"/>
                    <w:tr2bl w:val="nil"/>
                  </w:tcBorders>
                  <w:noWrap w:val="0"/>
                  <w:vAlign w:val="center"/>
                </w:tcPr>
                <w:p>
                  <w:pPr>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w:t>
                  </w:r>
                  <w:r>
                    <w:rPr>
                      <w:rFonts w:hint="eastAsia" w:ascii="Times New Roman" w:hAnsi="Times New Roman" w:eastAsia="仿宋" w:cs="Times New Roman"/>
                      <w:b w:val="0"/>
                      <w:bCs w:val="0"/>
                      <w:color w:val="auto"/>
                      <w:sz w:val="21"/>
                      <w:szCs w:val="21"/>
                      <w:lang w:val="en-US" w:eastAsia="zh-CN"/>
                    </w:rPr>
                    <w:t>南侧</w:t>
                  </w:r>
                  <w:r>
                    <w:rPr>
                      <w:rFonts w:hint="default" w:ascii="Times New Roman" w:hAnsi="Times New Roman" w:eastAsia="仿宋" w:cs="Times New Roman"/>
                      <w:b w:val="0"/>
                      <w:bCs w:val="0"/>
                      <w:color w:val="auto"/>
                      <w:sz w:val="21"/>
                      <w:szCs w:val="21"/>
                      <w:lang w:val="en-US" w:eastAsia="zh-CN"/>
                    </w:rPr>
                    <w:t>外1m处</w:t>
                  </w:r>
                  <w:r>
                    <w:rPr>
                      <w:rFonts w:hint="eastAsia" w:ascii="Times New Roman" w:hAnsi="Times New Roman" w:eastAsia="仿宋" w:cs="Times New Roman"/>
                      <w:b w:val="0"/>
                      <w:bCs w:val="0"/>
                      <w:color w:val="auto"/>
                      <w:sz w:val="21"/>
                      <w:szCs w:val="21"/>
                      <w:lang w:val="en-US" w:eastAsia="zh-CN"/>
                    </w:rPr>
                    <w:t>△N2</w:t>
                  </w:r>
                </w:p>
              </w:tc>
              <w:tc>
                <w:tcPr>
                  <w:tcW w:w="1545" w:type="dxa"/>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804" w:type="dxa"/>
                  <w:tcBorders>
                    <w:tl2br w:val="nil"/>
                    <w:tr2bl w:val="nil"/>
                  </w:tcBorders>
                  <w:noWrap w:val="0"/>
                  <w:vAlign w:val="center"/>
                </w:tcPr>
                <w:p>
                  <w:pPr>
                    <w:spacing w:line="24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声环境噪声</w:t>
                  </w:r>
                </w:p>
              </w:tc>
              <w:tc>
                <w:tcPr>
                  <w:tcW w:w="1231"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55</w:t>
                  </w:r>
                </w:p>
              </w:tc>
              <w:tc>
                <w:tcPr>
                  <w:tcW w:w="1218"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63" w:hRule="atLeast"/>
                <w:jc w:val="center"/>
              </w:trPr>
              <w:tc>
                <w:tcPr>
                  <w:tcW w:w="3620" w:type="dxa"/>
                  <w:tcBorders>
                    <w:tl2br w:val="nil"/>
                    <w:tr2bl w:val="nil"/>
                  </w:tcBorders>
                  <w:noWrap w:val="0"/>
                  <w:vAlign w:val="center"/>
                </w:tcPr>
                <w:p>
                  <w:pPr>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w:t>
                  </w:r>
                  <w:r>
                    <w:rPr>
                      <w:rFonts w:hint="eastAsia" w:ascii="Times New Roman" w:hAnsi="Times New Roman" w:eastAsia="仿宋" w:cs="Times New Roman"/>
                      <w:b w:val="0"/>
                      <w:bCs w:val="0"/>
                      <w:color w:val="auto"/>
                      <w:sz w:val="21"/>
                      <w:szCs w:val="21"/>
                      <w:lang w:val="en-US" w:eastAsia="zh-CN"/>
                    </w:rPr>
                    <w:t>西侧</w:t>
                  </w:r>
                  <w:r>
                    <w:rPr>
                      <w:rFonts w:hint="default" w:ascii="Times New Roman" w:hAnsi="Times New Roman" w:eastAsia="仿宋" w:cs="Times New Roman"/>
                      <w:b w:val="0"/>
                      <w:bCs w:val="0"/>
                      <w:color w:val="auto"/>
                      <w:sz w:val="21"/>
                      <w:szCs w:val="21"/>
                      <w:lang w:val="en-US" w:eastAsia="zh-CN"/>
                    </w:rPr>
                    <w:t>外1m处</w:t>
                  </w:r>
                  <w:r>
                    <w:rPr>
                      <w:rFonts w:hint="eastAsia" w:ascii="Times New Roman" w:hAnsi="Times New Roman" w:eastAsia="仿宋" w:cs="Times New Roman"/>
                      <w:b w:val="0"/>
                      <w:bCs w:val="0"/>
                      <w:color w:val="auto"/>
                      <w:sz w:val="21"/>
                      <w:szCs w:val="21"/>
                      <w:lang w:val="en-US" w:eastAsia="zh-CN"/>
                    </w:rPr>
                    <w:t>△N3</w:t>
                  </w:r>
                </w:p>
              </w:tc>
              <w:tc>
                <w:tcPr>
                  <w:tcW w:w="1545" w:type="dxa"/>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804" w:type="dxa"/>
                  <w:tcBorders>
                    <w:tl2br w:val="nil"/>
                    <w:tr2bl w:val="nil"/>
                  </w:tcBorders>
                  <w:noWrap w:val="0"/>
                  <w:vAlign w:val="center"/>
                </w:tcPr>
                <w:p>
                  <w:pPr>
                    <w:spacing w:line="24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声环境噪声</w:t>
                  </w:r>
                </w:p>
              </w:tc>
              <w:tc>
                <w:tcPr>
                  <w:tcW w:w="1231"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56</w:t>
                  </w:r>
                </w:p>
              </w:tc>
              <w:tc>
                <w:tcPr>
                  <w:tcW w:w="1218"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63" w:hRule="atLeast"/>
                <w:jc w:val="center"/>
              </w:trPr>
              <w:tc>
                <w:tcPr>
                  <w:tcW w:w="3620" w:type="dxa"/>
                  <w:tcBorders>
                    <w:tl2br w:val="nil"/>
                    <w:tr2bl w:val="nil"/>
                  </w:tcBorders>
                  <w:noWrap w:val="0"/>
                  <w:vAlign w:val="center"/>
                </w:tcPr>
                <w:p>
                  <w:pPr>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w:t>
                  </w:r>
                  <w:r>
                    <w:rPr>
                      <w:rFonts w:hint="eastAsia" w:ascii="Times New Roman" w:hAnsi="Times New Roman" w:eastAsia="仿宋" w:cs="Times New Roman"/>
                      <w:b w:val="0"/>
                      <w:bCs w:val="0"/>
                      <w:color w:val="auto"/>
                      <w:sz w:val="21"/>
                      <w:szCs w:val="21"/>
                      <w:lang w:val="en-US" w:eastAsia="zh-CN"/>
                    </w:rPr>
                    <w:t>北侧</w:t>
                  </w:r>
                  <w:r>
                    <w:rPr>
                      <w:rFonts w:hint="default" w:ascii="Times New Roman" w:hAnsi="Times New Roman" w:eastAsia="仿宋" w:cs="Times New Roman"/>
                      <w:b w:val="0"/>
                      <w:bCs w:val="0"/>
                      <w:color w:val="auto"/>
                      <w:sz w:val="21"/>
                      <w:szCs w:val="21"/>
                      <w:lang w:val="en-US" w:eastAsia="zh-CN"/>
                    </w:rPr>
                    <w:t>外1m处</w:t>
                  </w:r>
                  <w:r>
                    <w:rPr>
                      <w:rFonts w:hint="eastAsia" w:ascii="Times New Roman" w:hAnsi="Times New Roman" w:eastAsia="仿宋" w:cs="Times New Roman"/>
                      <w:b w:val="0"/>
                      <w:bCs w:val="0"/>
                      <w:color w:val="auto"/>
                      <w:sz w:val="21"/>
                      <w:szCs w:val="21"/>
                      <w:lang w:val="en-US" w:eastAsia="zh-CN"/>
                    </w:rPr>
                    <w:t>△N4</w:t>
                  </w:r>
                </w:p>
              </w:tc>
              <w:tc>
                <w:tcPr>
                  <w:tcW w:w="1545" w:type="dxa"/>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804" w:type="dxa"/>
                  <w:tcBorders>
                    <w:tl2br w:val="nil"/>
                    <w:tr2bl w:val="nil"/>
                  </w:tcBorders>
                  <w:noWrap w:val="0"/>
                  <w:vAlign w:val="center"/>
                </w:tcPr>
                <w:p>
                  <w:pPr>
                    <w:spacing w:line="24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声环境噪声</w:t>
                  </w:r>
                </w:p>
              </w:tc>
              <w:tc>
                <w:tcPr>
                  <w:tcW w:w="1231"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53</w:t>
                  </w:r>
                </w:p>
              </w:tc>
              <w:tc>
                <w:tcPr>
                  <w:tcW w:w="1218"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63" w:hRule="atLeast"/>
                <w:jc w:val="center"/>
              </w:trPr>
              <w:tc>
                <w:tcPr>
                  <w:tcW w:w="3620" w:type="dxa"/>
                  <w:tcBorders>
                    <w:tl2br w:val="nil"/>
                    <w:tr2bl w:val="nil"/>
                  </w:tcBorders>
                  <w:noWrap w:val="0"/>
                  <w:vAlign w:val="center"/>
                </w:tcPr>
                <w:p>
                  <w:pPr>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w:t>
                  </w:r>
                  <w:r>
                    <w:rPr>
                      <w:rFonts w:hint="eastAsia" w:ascii="Times New Roman" w:hAnsi="Times New Roman" w:eastAsia="仿宋" w:cs="Times New Roman"/>
                      <w:b w:val="0"/>
                      <w:bCs w:val="0"/>
                      <w:color w:val="auto"/>
                      <w:sz w:val="21"/>
                      <w:szCs w:val="21"/>
                      <w:lang w:val="en-US" w:eastAsia="zh-CN"/>
                    </w:rPr>
                    <w:t>东侧</w:t>
                  </w:r>
                  <w:r>
                    <w:rPr>
                      <w:rFonts w:hint="default" w:ascii="Times New Roman" w:hAnsi="Times New Roman" w:eastAsia="仿宋" w:cs="Times New Roman"/>
                      <w:b w:val="0"/>
                      <w:bCs w:val="0"/>
                      <w:color w:val="auto"/>
                      <w:sz w:val="21"/>
                      <w:szCs w:val="21"/>
                      <w:lang w:val="en-US" w:eastAsia="zh-CN"/>
                    </w:rPr>
                    <w:t>外1m处</w:t>
                  </w:r>
                  <w:r>
                    <w:rPr>
                      <w:rFonts w:hint="eastAsia" w:ascii="Times New Roman" w:hAnsi="Times New Roman" w:eastAsia="仿宋" w:cs="Times New Roman"/>
                      <w:b w:val="0"/>
                      <w:bCs w:val="0"/>
                      <w:color w:val="auto"/>
                      <w:sz w:val="21"/>
                      <w:szCs w:val="21"/>
                      <w:lang w:val="en-US" w:eastAsia="zh-CN"/>
                    </w:rPr>
                    <w:t>△N1</w:t>
                  </w:r>
                </w:p>
              </w:tc>
              <w:tc>
                <w:tcPr>
                  <w:tcW w:w="1545" w:type="dxa"/>
                  <w:vMerge w:val="restart"/>
                  <w:tcBorders>
                    <w:tl2br w:val="nil"/>
                    <w:tr2bl w:val="nil"/>
                  </w:tcBorders>
                  <w:noWrap w:val="0"/>
                  <w:vAlign w:val="center"/>
                </w:tcPr>
                <w:p>
                  <w:pPr>
                    <w:jc w:val="center"/>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2020.8.20</w:t>
                  </w:r>
                </w:p>
              </w:tc>
              <w:tc>
                <w:tcPr>
                  <w:tcW w:w="1804" w:type="dxa"/>
                  <w:tcBorders>
                    <w:tl2br w:val="nil"/>
                    <w:tr2bl w:val="nil"/>
                  </w:tcBorders>
                  <w:noWrap w:val="0"/>
                  <w:vAlign w:val="center"/>
                </w:tcPr>
                <w:p>
                  <w:pPr>
                    <w:spacing w:line="240" w:lineRule="exact"/>
                    <w:jc w:val="center"/>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声环境噪声</w:t>
                  </w:r>
                </w:p>
              </w:tc>
              <w:tc>
                <w:tcPr>
                  <w:tcW w:w="1231"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53</w:t>
                  </w:r>
                </w:p>
              </w:tc>
              <w:tc>
                <w:tcPr>
                  <w:tcW w:w="1218"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63" w:hRule="atLeast"/>
                <w:jc w:val="center"/>
              </w:trPr>
              <w:tc>
                <w:tcPr>
                  <w:tcW w:w="3620" w:type="dxa"/>
                  <w:tcBorders>
                    <w:tl2br w:val="nil"/>
                    <w:tr2bl w:val="nil"/>
                  </w:tcBorders>
                  <w:noWrap w:val="0"/>
                  <w:vAlign w:val="center"/>
                </w:tcPr>
                <w:p>
                  <w:pPr>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w:t>
                  </w:r>
                  <w:r>
                    <w:rPr>
                      <w:rFonts w:hint="eastAsia" w:ascii="Times New Roman" w:hAnsi="Times New Roman" w:eastAsia="仿宋" w:cs="Times New Roman"/>
                      <w:b w:val="0"/>
                      <w:bCs w:val="0"/>
                      <w:color w:val="auto"/>
                      <w:sz w:val="21"/>
                      <w:szCs w:val="21"/>
                      <w:lang w:val="en-US" w:eastAsia="zh-CN"/>
                    </w:rPr>
                    <w:t>南侧</w:t>
                  </w:r>
                  <w:r>
                    <w:rPr>
                      <w:rFonts w:hint="default" w:ascii="Times New Roman" w:hAnsi="Times New Roman" w:eastAsia="仿宋" w:cs="Times New Roman"/>
                      <w:b w:val="0"/>
                      <w:bCs w:val="0"/>
                      <w:color w:val="auto"/>
                      <w:sz w:val="21"/>
                      <w:szCs w:val="21"/>
                      <w:lang w:val="en-US" w:eastAsia="zh-CN"/>
                    </w:rPr>
                    <w:t>外1m处</w:t>
                  </w:r>
                  <w:r>
                    <w:rPr>
                      <w:rFonts w:hint="eastAsia" w:ascii="Times New Roman" w:hAnsi="Times New Roman" w:eastAsia="仿宋" w:cs="Times New Roman"/>
                      <w:b w:val="0"/>
                      <w:bCs w:val="0"/>
                      <w:color w:val="auto"/>
                      <w:sz w:val="21"/>
                      <w:szCs w:val="21"/>
                      <w:lang w:val="en-US" w:eastAsia="zh-CN"/>
                    </w:rPr>
                    <w:t>△N2</w:t>
                  </w:r>
                </w:p>
              </w:tc>
              <w:tc>
                <w:tcPr>
                  <w:tcW w:w="1545" w:type="dxa"/>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804" w:type="dxa"/>
                  <w:tcBorders>
                    <w:tl2br w:val="nil"/>
                    <w:tr2bl w:val="nil"/>
                  </w:tcBorders>
                  <w:noWrap w:val="0"/>
                  <w:vAlign w:val="center"/>
                </w:tcPr>
                <w:p>
                  <w:pPr>
                    <w:spacing w:line="24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声环境噪声</w:t>
                  </w:r>
                </w:p>
              </w:tc>
              <w:tc>
                <w:tcPr>
                  <w:tcW w:w="1231"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55</w:t>
                  </w:r>
                </w:p>
              </w:tc>
              <w:tc>
                <w:tcPr>
                  <w:tcW w:w="1218"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63" w:hRule="atLeast"/>
                <w:jc w:val="center"/>
              </w:trPr>
              <w:tc>
                <w:tcPr>
                  <w:tcW w:w="3620" w:type="dxa"/>
                  <w:tcBorders>
                    <w:tl2br w:val="nil"/>
                    <w:tr2bl w:val="nil"/>
                  </w:tcBorders>
                  <w:noWrap w:val="0"/>
                  <w:vAlign w:val="center"/>
                </w:tcPr>
                <w:p>
                  <w:pPr>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w:t>
                  </w:r>
                  <w:r>
                    <w:rPr>
                      <w:rFonts w:hint="eastAsia" w:ascii="Times New Roman" w:hAnsi="Times New Roman" w:eastAsia="仿宋" w:cs="Times New Roman"/>
                      <w:b w:val="0"/>
                      <w:bCs w:val="0"/>
                      <w:color w:val="auto"/>
                      <w:sz w:val="21"/>
                      <w:szCs w:val="21"/>
                      <w:lang w:val="en-US" w:eastAsia="zh-CN"/>
                    </w:rPr>
                    <w:t>西侧</w:t>
                  </w:r>
                  <w:r>
                    <w:rPr>
                      <w:rFonts w:hint="default" w:ascii="Times New Roman" w:hAnsi="Times New Roman" w:eastAsia="仿宋" w:cs="Times New Roman"/>
                      <w:b w:val="0"/>
                      <w:bCs w:val="0"/>
                      <w:color w:val="auto"/>
                      <w:sz w:val="21"/>
                      <w:szCs w:val="21"/>
                      <w:lang w:val="en-US" w:eastAsia="zh-CN"/>
                    </w:rPr>
                    <w:t>外1m处</w:t>
                  </w:r>
                  <w:r>
                    <w:rPr>
                      <w:rFonts w:hint="eastAsia" w:ascii="Times New Roman" w:hAnsi="Times New Roman" w:eastAsia="仿宋" w:cs="Times New Roman"/>
                      <w:b w:val="0"/>
                      <w:bCs w:val="0"/>
                      <w:color w:val="auto"/>
                      <w:sz w:val="21"/>
                      <w:szCs w:val="21"/>
                      <w:lang w:val="en-US" w:eastAsia="zh-CN"/>
                    </w:rPr>
                    <w:t>△N3</w:t>
                  </w:r>
                </w:p>
              </w:tc>
              <w:tc>
                <w:tcPr>
                  <w:tcW w:w="1545" w:type="dxa"/>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804" w:type="dxa"/>
                  <w:tcBorders>
                    <w:tl2br w:val="nil"/>
                    <w:tr2bl w:val="nil"/>
                  </w:tcBorders>
                  <w:noWrap w:val="0"/>
                  <w:vAlign w:val="center"/>
                </w:tcPr>
                <w:p>
                  <w:pPr>
                    <w:spacing w:line="24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声环境噪声</w:t>
                  </w:r>
                </w:p>
              </w:tc>
              <w:tc>
                <w:tcPr>
                  <w:tcW w:w="1231"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57</w:t>
                  </w:r>
                </w:p>
              </w:tc>
              <w:tc>
                <w:tcPr>
                  <w:tcW w:w="1218"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97" w:hRule="atLeast"/>
                <w:jc w:val="center"/>
              </w:trPr>
              <w:tc>
                <w:tcPr>
                  <w:tcW w:w="3620" w:type="dxa"/>
                  <w:tcBorders>
                    <w:tl2br w:val="nil"/>
                    <w:tr2bl w:val="nil"/>
                  </w:tcBorders>
                  <w:noWrap w:val="0"/>
                  <w:vAlign w:val="center"/>
                </w:tcPr>
                <w:p>
                  <w:pPr>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w:t>
                  </w:r>
                  <w:r>
                    <w:rPr>
                      <w:rFonts w:hint="eastAsia" w:ascii="Times New Roman" w:hAnsi="Times New Roman" w:eastAsia="仿宋" w:cs="Times New Roman"/>
                      <w:b w:val="0"/>
                      <w:bCs w:val="0"/>
                      <w:color w:val="auto"/>
                      <w:sz w:val="21"/>
                      <w:szCs w:val="21"/>
                      <w:lang w:val="en-US" w:eastAsia="zh-CN"/>
                    </w:rPr>
                    <w:t>北侧</w:t>
                  </w:r>
                  <w:r>
                    <w:rPr>
                      <w:rFonts w:hint="default" w:ascii="Times New Roman" w:hAnsi="Times New Roman" w:eastAsia="仿宋" w:cs="Times New Roman"/>
                      <w:b w:val="0"/>
                      <w:bCs w:val="0"/>
                      <w:color w:val="auto"/>
                      <w:sz w:val="21"/>
                      <w:szCs w:val="21"/>
                      <w:lang w:val="en-US" w:eastAsia="zh-CN"/>
                    </w:rPr>
                    <w:t>外1m处</w:t>
                  </w:r>
                  <w:r>
                    <w:rPr>
                      <w:rFonts w:hint="eastAsia" w:ascii="Times New Roman" w:hAnsi="Times New Roman" w:eastAsia="仿宋" w:cs="Times New Roman"/>
                      <w:b w:val="0"/>
                      <w:bCs w:val="0"/>
                      <w:color w:val="auto"/>
                      <w:sz w:val="21"/>
                      <w:szCs w:val="21"/>
                      <w:lang w:val="en-US" w:eastAsia="zh-CN"/>
                    </w:rPr>
                    <w:t>△N4</w:t>
                  </w:r>
                </w:p>
              </w:tc>
              <w:tc>
                <w:tcPr>
                  <w:tcW w:w="1545" w:type="dxa"/>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804" w:type="dxa"/>
                  <w:tcBorders>
                    <w:tl2br w:val="nil"/>
                    <w:tr2bl w:val="nil"/>
                  </w:tcBorders>
                  <w:noWrap w:val="0"/>
                  <w:vAlign w:val="center"/>
                </w:tcPr>
                <w:p>
                  <w:pPr>
                    <w:spacing w:line="24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声环境噪声</w:t>
                  </w:r>
                </w:p>
              </w:tc>
              <w:tc>
                <w:tcPr>
                  <w:tcW w:w="1231"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52</w:t>
                  </w:r>
                </w:p>
              </w:tc>
              <w:tc>
                <w:tcPr>
                  <w:tcW w:w="1218"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97" w:hRule="atLeast"/>
                <w:jc w:val="center"/>
              </w:trPr>
              <w:tc>
                <w:tcPr>
                  <w:tcW w:w="6969" w:type="dxa"/>
                  <w:gridSpan w:val="3"/>
                  <w:tcBorders>
                    <w:tl2br w:val="nil"/>
                    <w:tr2bl w:val="nil"/>
                  </w:tcBorders>
                  <w:noWrap w:val="0"/>
                  <w:vAlign w:val="center"/>
                </w:tcPr>
                <w:p>
                  <w:pPr>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《声环境质量标准》GB3096-2008</w:t>
                  </w:r>
                </w:p>
              </w:tc>
              <w:tc>
                <w:tcPr>
                  <w:tcW w:w="1231"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60</w:t>
                  </w:r>
                </w:p>
              </w:tc>
              <w:tc>
                <w:tcPr>
                  <w:tcW w:w="1218" w:type="dxa"/>
                  <w:tcBorders>
                    <w:tl2br w:val="nil"/>
                    <w:tr2bl w:val="nil"/>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485" w:hRule="atLeast"/>
                <w:jc w:val="center"/>
              </w:trPr>
              <w:tc>
                <w:tcPr>
                  <w:tcW w:w="6969" w:type="dxa"/>
                  <w:gridSpan w:val="3"/>
                  <w:tcBorders>
                    <w:tl2br w:val="nil"/>
                    <w:tr2bl w:val="nil"/>
                  </w:tcBorders>
                  <w:noWrap w:val="0"/>
                  <w:vAlign w:val="center"/>
                </w:tcPr>
                <w:p>
                  <w:pPr>
                    <w:spacing w:line="240" w:lineRule="exact"/>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达标情况</w:t>
                  </w:r>
                </w:p>
              </w:tc>
              <w:tc>
                <w:tcPr>
                  <w:tcW w:w="1231" w:type="dxa"/>
                  <w:tcBorders>
                    <w:tl2br w:val="nil"/>
                    <w:tr2bl w:val="nil"/>
                  </w:tcBorders>
                  <w:noWrap w:val="0"/>
                  <w:vAlign w:val="center"/>
                </w:tcPr>
                <w:p>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达标</w:t>
                  </w:r>
                </w:p>
              </w:tc>
              <w:tc>
                <w:tcPr>
                  <w:tcW w:w="1218" w:type="dxa"/>
                  <w:tcBorders>
                    <w:tl2br w:val="nil"/>
                    <w:tr2bl w:val="nil"/>
                  </w:tcBorders>
                  <w:noWrap w:val="0"/>
                  <w:vAlign w:val="center"/>
                </w:tcPr>
                <w:p>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达标</w:t>
                  </w:r>
                </w:p>
              </w:tc>
            </w:tr>
          </w:tbl>
          <w:p>
            <w:pPr>
              <w:spacing w:line="360" w:lineRule="auto"/>
              <w:rPr>
                <w:rFonts w:hint="eastAsia" w:cs="Times New Roman"/>
                <w:color w:val="auto"/>
                <w:sz w:val="24"/>
                <w:szCs w:val="28"/>
                <w:highlight w:val="none"/>
                <w:lang w:eastAsia="zh-CN"/>
              </w:rPr>
            </w:pPr>
          </w:p>
          <w:p>
            <w:pPr>
              <w:spacing w:line="360" w:lineRule="auto"/>
              <w:ind w:firstLine="480" w:firstLineChars="200"/>
              <w:rPr>
                <w:rFonts w:hint="eastAsia" w:ascii="Times New Roman" w:hAnsi="Times New Roman" w:cs="宋体"/>
                <w:color w:val="auto"/>
                <w:sz w:val="24"/>
                <w:szCs w:val="24"/>
              </w:rPr>
            </w:pPr>
            <w:r>
              <w:rPr>
                <w:rFonts w:hint="eastAsia" w:cs="Times New Roman"/>
                <w:color w:val="auto"/>
                <w:sz w:val="24"/>
                <w:szCs w:val="28"/>
                <w:highlight w:val="none"/>
                <w:lang w:eastAsia="zh-CN"/>
              </w:rPr>
              <w:t>由</w:t>
            </w:r>
            <w:r>
              <w:rPr>
                <w:rFonts w:hint="default" w:ascii="Times New Roman" w:hAnsi="Times New Roman" w:cs="Times New Roman"/>
                <w:color w:val="auto"/>
                <w:sz w:val="24"/>
                <w:szCs w:val="28"/>
                <w:highlight w:val="none"/>
              </w:rPr>
              <w:t>声环境质量现状监测结果表明，项目东</w:t>
            </w:r>
            <w:r>
              <w:rPr>
                <w:rFonts w:hint="eastAsia" w:ascii="Times New Roman" w:hAnsi="Times New Roman" w:cs="Times New Roman"/>
                <w:color w:val="auto"/>
                <w:sz w:val="24"/>
                <w:szCs w:val="28"/>
                <w:highlight w:val="none"/>
              </w:rPr>
              <w:t>、</w:t>
            </w:r>
            <w:r>
              <w:rPr>
                <w:rFonts w:hint="eastAsia" w:cs="Times New Roman"/>
                <w:color w:val="auto"/>
                <w:sz w:val="24"/>
                <w:szCs w:val="28"/>
                <w:highlight w:val="none"/>
                <w:lang w:eastAsia="zh-CN"/>
              </w:rPr>
              <w:t>南、</w:t>
            </w:r>
            <w:r>
              <w:rPr>
                <w:rFonts w:hint="eastAsia" w:ascii="Times New Roman" w:hAnsi="Times New Roman" w:cs="Times New Roman"/>
                <w:color w:val="auto"/>
                <w:sz w:val="24"/>
                <w:szCs w:val="28"/>
                <w:highlight w:val="none"/>
                <w:lang w:eastAsia="zh-CN"/>
              </w:rPr>
              <w:t>西、</w:t>
            </w:r>
            <w:r>
              <w:rPr>
                <w:rFonts w:hint="eastAsia" w:ascii="Times New Roman" w:hAnsi="Times New Roman" w:cs="Times New Roman"/>
                <w:color w:val="auto"/>
                <w:sz w:val="24"/>
                <w:szCs w:val="28"/>
                <w:highlight w:val="none"/>
              </w:rPr>
              <w:t>北</w:t>
            </w:r>
            <w:r>
              <w:rPr>
                <w:rFonts w:hint="eastAsia" w:ascii="Times New Roman" w:hAnsi="Times New Roman" w:cs="Times New Roman"/>
                <w:color w:val="auto"/>
                <w:sz w:val="24"/>
                <w:szCs w:val="28"/>
                <w:highlight w:val="none"/>
                <w:lang w:eastAsia="zh-CN"/>
              </w:rPr>
              <w:t>侧厂界的</w:t>
            </w:r>
            <w:r>
              <w:rPr>
                <w:rFonts w:hint="default" w:ascii="Times New Roman" w:hAnsi="Times New Roman" w:cs="Times New Roman"/>
                <w:color w:val="auto"/>
                <w:sz w:val="24"/>
                <w:szCs w:val="28"/>
                <w:highlight w:val="none"/>
              </w:rPr>
              <w:t>昼</w:t>
            </w:r>
            <w:r>
              <w:rPr>
                <w:rFonts w:hint="eastAsia" w:ascii="Times New Roman" w:hAnsi="Times New Roman" w:cs="Times New Roman"/>
                <w:color w:val="auto"/>
                <w:sz w:val="24"/>
                <w:szCs w:val="28"/>
                <w:highlight w:val="none"/>
                <w:lang w:eastAsia="zh-CN"/>
              </w:rPr>
              <w:t>间、</w:t>
            </w:r>
            <w:r>
              <w:rPr>
                <w:rFonts w:hint="default" w:ascii="Times New Roman" w:hAnsi="Times New Roman" w:cs="Times New Roman"/>
                <w:color w:val="auto"/>
                <w:sz w:val="24"/>
                <w:szCs w:val="28"/>
                <w:highlight w:val="none"/>
              </w:rPr>
              <w:t>夜</w:t>
            </w:r>
            <w:r>
              <w:rPr>
                <w:rFonts w:hint="eastAsia" w:ascii="Times New Roman" w:hAnsi="Times New Roman" w:cs="Times New Roman"/>
                <w:color w:val="auto"/>
                <w:sz w:val="24"/>
                <w:szCs w:val="28"/>
                <w:highlight w:val="none"/>
                <w:lang w:eastAsia="zh-CN"/>
              </w:rPr>
              <w:t>间</w:t>
            </w:r>
            <w:r>
              <w:rPr>
                <w:rFonts w:hint="default" w:ascii="Times New Roman" w:hAnsi="Times New Roman" w:cs="Times New Roman"/>
                <w:color w:val="auto"/>
                <w:sz w:val="24"/>
                <w:szCs w:val="28"/>
                <w:highlight w:val="none"/>
              </w:rPr>
              <w:t>噪声</w:t>
            </w:r>
            <w:r>
              <w:rPr>
                <w:rFonts w:hint="eastAsia" w:ascii="Times New Roman" w:hAnsi="Times New Roman" w:cs="Times New Roman"/>
                <w:color w:val="auto"/>
                <w:sz w:val="24"/>
                <w:szCs w:val="28"/>
                <w:highlight w:val="none"/>
              </w:rPr>
              <w:t>均符合</w:t>
            </w:r>
            <w:r>
              <w:rPr>
                <w:rFonts w:hint="default" w:ascii="Times New Roman" w:hAnsi="Times New Roman" w:cs="Times New Roman"/>
                <w:color w:val="auto"/>
                <w:sz w:val="24"/>
                <w:szCs w:val="28"/>
                <w:highlight w:val="none"/>
              </w:rPr>
              <w:t>《声环境质量标准》</w:t>
            </w:r>
            <w:r>
              <w:rPr>
                <w:rFonts w:hint="eastAsia" w:cs="Times New Roman"/>
                <w:color w:val="auto"/>
                <w:sz w:val="24"/>
                <w:szCs w:val="28"/>
                <w:highlight w:val="none"/>
                <w:lang w:eastAsia="zh-CN"/>
              </w:rPr>
              <w:t>（</w:t>
            </w:r>
            <w:r>
              <w:rPr>
                <w:rFonts w:hint="default" w:ascii="Times New Roman" w:hAnsi="Times New Roman" w:cs="Times New Roman"/>
                <w:color w:val="auto"/>
                <w:sz w:val="24"/>
                <w:szCs w:val="28"/>
                <w:highlight w:val="none"/>
              </w:rPr>
              <w:t>GB3096-2008</w:t>
            </w:r>
            <w:r>
              <w:rPr>
                <w:rFonts w:hint="eastAsia" w:cs="Times New Roman"/>
                <w:color w:val="auto"/>
                <w:sz w:val="24"/>
                <w:szCs w:val="28"/>
                <w:highlight w:val="none"/>
                <w:lang w:eastAsia="zh-CN"/>
              </w:rPr>
              <w:t>）</w:t>
            </w:r>
            <w:r>
              <w:rPr>
                <w:rFonts w:hint="default" w:ascii="Times New Roman" w:hAnsi="Times New Roman" w:cs="Times New Roman"/>
                <w:color w:val="auto"/>
                <w:sz w:val="24"/>
                <w:szCs w:val="28"/>
                <w:highlight w:val="none"/>
              </w:rPr>
              <w:t>中</w:t>
            </w:r>
            <w:r>
              <w:rPr>
                <w:rFonts w:hint="eastAsia" w:cs="Times New Roman"/>
                <w:color w:val="auto"/>
                <w:sz w:val="24"/>
                <w:szCs w:val="28"/>
                <w:highlight w:val="none"/>
                <w:lang w:val="en-US" w:eastAsia="zh-CN"/>
              </w:rPr>
              <w:t>2类</w:t>
            </w:r>
            <w:r>
              <w:rPr>
                <w:rFonts w:hint="default" w:ascii="Times New Roman" w:hAnsi="Times New Roman" w:cs="Times New Roman"/>
                <w:color w:val="auto"/>
                <w:sz w:val="24"/>
                <w:szCs w:val="28"/>
                <w:highlight w:val="none"/>
              </w:rPr>
              <w:t>标准</w:t>
            </w:r>
            <w:r>
              <w:rPr>
                <w:rFonts w:hint="eastAsia" w:cs="Times New Roman"/>
                <w:color w:val="auto"/>
                <w:sz w:val="24"/>
                <w:szCs w:val="28"/>
                <w:highlight w:val="none"/>
                <w:lang w:eastAsia="zh-CN"/>
              </w:rPr>
              <w:t>要求</w:t>
            </w:r>
            <w:r>
              <w:rPr>
                <w:rFonts w:hint="default" w:ascii="Times New Roman" w:hAnsi="Times New Roman" w:cs="Times New Roman"/>
                <w:color w:val="auto"/>
                <w:sz w:val="24"/>
                <w:szCs w:val="28"/>
                <w:highlight w:val="none"/>
              </w:rPr>
              <w:t>，项目所在区域</w:t>
            </w:r>
            <w:r>
              <w:rPr>
                <w:rFonts w:hint="eastAsia" w:ascii="Times New Roman" w:hAnsi="Times New Roman" w:cs="Times New Roman"/>
                <w:color w:val="auto"/>
                <w:sz w:val="24"/>
                <w:szCs w:val="28"/>
                <w:highlight w:val="none"/>
              </w:rPr>
              <w:t>声环境质量情况良好</w:t>
            </w:r>
            <w:r>
              <w:rPr>
                <w:rFonts w:hint="eastAsia" w:ascii="Times New Roman" w:hAnsi="Times New Roman" w:cs="宋体"/>
                <w:color w:val="auto"/>
                <w:sz w:val="24"/>
                <w:szCs w:val="24"/>
              </w:rPr>
              <w:t>。</w:t>
            </w:r>
          </w:p>
          <w:p>
            <w:pPr>
              <w:keepNext w:val="0"/>
              <w:keepLines w:val="0"/>
              <w:suppressLineNumbers w:val="0"/>
              <w:spacing w:before="0" w:beforeAutospacing="0" w:after="0" w:afterAutospacing="0" w:line="360" w:lineRule="auto"/>
              <w:ind w:left="0" w:right="0"/>
              <w:rPr>
                <w:rFonts w:hint="default" w:eastAsiaTheme="minorEastAsia"/>
                <w:b/>
                <w:color w:val="auto"/>
                <w:kern w:val="0"/>
                <w:sz w:val="24"/>
                <w:szCs w:val="20"/>
              </w:rPr>
            </w:pPr>
            <w:r>
              <w:rPr>
                <w:rFonts w:hint="eastAsia" w:eastAsiaTheme="minorEastAsia"/>
                <w:b/>
                <w:color w:val="auto"/>
                <w:kern w:val="0"/>
                <w:sz w:val="24"/>
                <w:szCs w:val="20"/>
              </w:rPr>
              <w:t>4</w:t>
            </w:r>
            <w:r>
              <w:rPr>
                <w:rFonts w:hint="default" w:eastAsiaTheme="minorEastAsia"/>
                <w:b/>
                <w:color w:val="auto"/>
                <w:kern w:val="0"/>
                <w:sz w:val="24"/>
                <w:szCs w:val="20"/>
              </w:rPr>
              <w:t xml:space="preserve"> </w:t>
            </w:r>
            <w:r>
              <w:rPr>
                <w:rFonts w:hint="default" w:hAnsiTheme="minorEastAsia" w:eastAsiaTheme="minorEastAsia"/>
                <w:b/>
                <w:color w:val="auto"/>
                <w:kern w:val="0"/>
                <w:sz w:val="24"/>
                <w:szCs w:val="20"/>
              </w:rPr>
              <w:t>生态环境现状</w:t>
            </w:r>
          </w:p>
          <w:p>
            <w:pPr>
              <w:spacing w:line="360" w:lineRule="auto"/>
              <w:ind w:firstLine="480" w:firstLineChars="200"/>
              <w:rPr>
                <w:rFonts w:hint="eastAsia" w:cs="宋体"/>
                <w:color w:val="auto"/>
                <w:sz w:val="24"/>
                <w:szCs w:val="24"/>
                <w:lang w:eastAsia="zh-CN"/>
              </w:rPr>
            </w:pPr>
            <w:r>
              <w:rPr>
                <w:rFonts w:hint="eastAsia"/>
                <w:color w:val="auto"/>
                <w:sz w:val="24"/>
                <w:szCs w:val="24"/>
                <w:lang w:eastAsia="zh-CN"/>
              </w:rPr>
              <w:t>本项目</w:t>
            </w:r>
            <w:r>
              <w:rPr>
                <w:rFonts w:hint="eastAsia"/>
                <w:color w:val="auto"/>
                <w:sz w:val="24"/>
                <w:szCs w:val="24"/>
                <w:lang w:val="en-US" w:eastAsia="zh-CN"/>
              </w:rPr>
              <w:t>地</w:t>
            </w:r>
            <w:r>
              <w:rPr>
                <w:rFonts w:hint="eastAsia"/>
                <w:color w:val="auto"/>
                <w:sz w:val="24"/>
                <w:szCs w:val="24"/>
                <w:lang w:eastAsia="zh-CN"/>
              </w:rPr>
              <w:t>位于</w:t>
            </w:r>
            <w:r>
              <w:rPr>
                <w:rFonts w:hint="eastAsia" w:asciiTheme="minorEastAsia" w:hAnsiTheme="minorEastAsia" w:eastAsiaTheme="minorEastAsia" w:cstheme="minorEastAsia"/>
                <w:b w:val="0"/>
                <w:bCs/>
                <w:color w:val="auto"/>
                <w:sz w:val="24"/>
                <w:szCs w:val="24"/>
                <w:u w:val="none"/>
                <w:lang w:val="en-US" w:eastAsia="zh-CN"/>
              </w:rPr>
              <w:t>怀化市</w:t>
            </w:r>
            <w:r>
              <w:rPr>
                <w:rFonts w:hint="eastAsia" w:asciiTheme="minorEastAsia" w:hAnsiTheme="minorEastAsia" w:eastAsiaTheme="minorEastAsia" w:cstheme="minorEastAsia"/>
                <w:b w:val="0"/>
                <w:bCs/>
                <w:color w:val="auto"/>
                <w:sz w:val="24"/>
                <w:szCs w:val="24"/>
                <w:u w:val="none"/>
              </w:rPr>
              <w:t>洪江区长寨英明山</w:t>
            </w:r>
            <w:r>
              <w:rPr>
                <w:rFonts w:hint="eastAsia" w:ascii="宋体" w:hAnsi="宋体"/>
                <w:color w:val="auto"/>
                <w:sz w:val="24"/>
                <w:szCs w:val="24"/>
              </w:rPr>
              <w:t>，</w:t>
            </w:r>
            <w:r>
              <w:rPr>
                <w:rFonts w:hint="eastAsia" w:cs="Times New Roman"/>
                <w:color w:val="auto"/>
                <w:sz w:val="24"/>
                <w:szCs w:val="24"/>
                <w:highlight w:val="none"/>
                <w:lang w:eastAsia="zh-CN"/>
              </w:rPr>
              <w:t>场址南北两侧是山体，山上树木茂密</w:t>
            </w:r>
            <w:r>
              <w:rPr>
                <w:rFonts w:hint="default" w:hAnsiTheme="minorEastAsia" w:eastAsiaTheme="minorEastAsia"/>
                <w:color w:val="auto"/>
                <w:kern w:val="0"/>
                <w:sz w:val="24"/>
                <w:szCs w:val="20"/>
              </w:rPr>
              <w:t>，植被覆盖率较</w:t>
            </w:r>
            <w:r>
              <w:rPr>
                <w:rFonts w:hint="eastAsia" w:hAnsiTheme="minorEastAsia" w:eastAsiaTheme="minorEastAsia"/>
                <w:color w:val="auto"/>
                <w:kern w:val="0"/>
                <w:sz w:val="24"/>
                <w:szCs w:val="20"/>
                <w:lang w:eastAsia="zh-CN"/>
              </w:rPr>
              <w:t>高</w:t>
            </w:r>
            <w:r>
              <w:rPr>
                <w:rFonts w:hint="default" w:hAnsiTheme="minorEastAsia" w:eastAsiaTheme="minorEastAsia"/>
                <w:color w:val="auto"/>
                <w:kern w:val="0"/>
                <w:sz w:val="24"/>
                <w:szCs w:val="20"/>
              </w:rPr>
              <w:t>，</w:t>
            </w:r>
            <w:r>
              <w:rPr>
                <w:rFonts w:hint="eastAsia" w:hAnsiTheme="minorEastAsia" w:eastAsiaTheme="minorEastAsia"/>
                <w:color w:val="auto"/>
                <w:kern w:val="0"/>
                <w:sz w:val="24"/>
                <w:szCs w:val="20"/>
                <w:lang w:eastAsia="zh-CN"/>
              </w:rPr>
              <w:t>地表植被以</w:t>
            </w:r>
            <w:r>
              <w:rPr>
                <w:rFonts w:hint="default"/>
                <w:color w:val="auto"/>
                <w:sz w:val="24"/>
                <w:szCs w:val="20"/>
              </w:rPr>
              <w:t>木本植物及草本植物为主，草本植物主要有狗尾草、车前草、狗牙根和野菊花等，没有珍稀保护物种。此外，该区野生动物较少，主要为常见的鼠、麻雀、斑鸠等，未发现珍稀动物物种</w:t>
            </w:r>
            <w:r>
              <w:rPr>
                <w:rFonts w:hint="eastAsia" w:ascii="Times New Roman" w:hAnsi="Times New Roman" w:cs="宋体"/>
                <w:color w:val="auto"/>
                <w:sz w:val="24"/>
                <w:szCs w:val="24"/>
              </w:rPr>
              <w:t>。</w:t>
            </w:r>
          </w:p>
          <w:p>
            <w:pPr>
              <w:keepNext w:val="0"/>
              <w:keepLines w:val="0"/>
              <w:suppressLineNumbers w:val="0"/>
              <w:spacing w:before="0" w:beforeAutospacing="0" w:after="0" w:afterAutospacing="0" w:line="360" w:lineRule="auto"/>
              <w:ind w:left="0" w:right="0"/>
              <w:rPr>
                <w:rFonts w:hint="default" w:eastAsiaTheme="minorEastAsia"/>
                <w:b/>
                <w:color w:val="auto"/>
                <w:kern w:val="0"/>
                <w:sz w:val="24"/>
                <w:szCs w:val="20"/>
              </w:rPr>
            </w:pPr>
            <w:r>
              <w:rPr>
                <w:rFonts w:hint="default" w:hAnsiTheme="minorEastAsia" w:eastAsiaTheme="minorEastAsia"/>
                <w:b/>
                <w:color w:val="auto"/>
                <w:kern w:val="0"/>
                <w:sz w:val="28"/>
                <w:szCs w:val="20"/>
              </w:rPr>
              <w:t>主要环境保护目标</w:t>
            </w:r>
            <w:r>
              <w:rPr>
                <w:rFonts w:hint="default" w:eastAsiaTheme="minorEastAsia"/>
                <w:b/>
                <w:color w:val="auto"/>
                <w:kern w:val="0"/>
                <w:sz w:val="28"/>
                <w:szCs w:val="20"/>
              </w:rPr>
              <w:t>(</w:t>
            </w:r>
            <w:r>
              <w:rPr>
                <w:rFonts w:hint="default" w:hAnsiTheme="minorEastAsia" w:eastAsiaTheme="minorEastAsia"/>
                <w:b/>
                <w:color w:val="auto"/>
                <w:kern w:val="0"/>
                <w:sz w:val="28"/>
                <w:szCs w:val="20"/>
              </w:rPr>
              <w:t>列出名单及保护级别</w:t>
            </w:r>
            <w:r>
              <w:rPr>
                <w:rFonts w:hint="default" w:eastAsiaTheme="minorEastAsia"/>
                <w:b/>
                <w:color w:val="auto"/>
                <w:kern w:val="0"/>
                <w:sz w:val="28"/>
                <w:szCs w:val="20"/>
              </w:rPr>
              <w:t>)</w:t>
            </w:r>
            <w:r>
              <w:rPr>
                <w:rFonts w:hint="default" w:hAnsiTheme="minorEastAsia" w:eastAsiaTheme="minorEastAsia"/>
                <w:b/>
                <w:color w:val="auto"/>
                <w:kern w:val="0"/>
                <w:sz w:val="28"/>
                <w:szCs w:val="20"/>
              </w:rPr>
              <w:t>：</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lang w:eastAsia="zh-CN"/>
              </w:rPr>
            </w:pPr>
            <w:r>
              <w:rPr>
                <w:rFonts w:hint="eastAsia" w:asciiTheme="minorEastAsia" w:hAnsiTheme="minorEastAsia" w:eastAsiaTheme="minorEastAsia" w:cstheme="minorEastAsia"/>
                <w:color w:val="auto"/>
                <w:sz w:val="24"/>
                <w:szCs w:val="24"/>
                <w:lang w:eastAsia="zh-CN"/>
              </w:rPr>
              <w:t>本项目</w:t>
            </w:r>
            <w:r>
              <w:rPr>
                <w:rFonts w:hint="eastAsia"/>
                <w:color w:val="auto"/>
                <w:sz w:val="24"/>
                <w:szCs w:val="24"/>
                <w:lang w:eastAsia="zh-CN"/>
              </w:rPr>
              <w:t>厂址位于</w:t>
            </w:r>
            <w:r>
              <w:rPr>
                <w:rFonts w:hint="eastAsia"/>
                <w:color w:val="auto"/>
                <w:sz w:val="24"/>
                <w:szCs w:val="24"/>
              </w:rPr>
              <w:t>湖南省</w:t>
            </w:r>
            <w:r>
              <w:rPr>
                <w:rFonts w:hint="eastAsia"/>
                <w:color w:val="auto"/>
                <w:sz w:val="24"/>
                <w:szCs w:val="24"/>
                <w:lang w:eastAsia="zh-CN"/>
              </w:rPr>
              <w:t>怀化市怀化市洪江区</w:t>
            </w:r>
            <w:r>
              <w:rPr>
                <w:rFonts w:hint="eastAsia" w:asciiTheme="minorEastAsia" w:hAnsiTheme="minorEastAsia" w:eastAsiaTheme="minorEastAsia" w:cstheme="minorEastAsia"/>
                <w:color w:val="auto"/>
                <w:sz w:val="24"/>
                <w:szCs w:val="24"/>
              </w:rPr>
              <w:t>长寨</w:t>
            </w:r>
            <w:r>
              <w:rPr>
                <w:rFonts w:hint="eastAsia" w:asciiTheme="minorEastAsia" w:hAnsiTheme="minorEastAsia" w:eastAsiaTheme="minorEastAsia" w:cstheme="minorEastAsia"/>
                <w:color w:val="auto"/>
                <w:sz w:val="24"/>
                <w:szCs w:val="24"/>
                <w:lang w:eastAsia="zh-CN"/>
              </w:rPr>
              <w:t>社区</w:t>
            </w:r>
            <w:r>
              <w:rPr>
                <w:rFonts w:hint="eastAsia"/>
                <w:color w:val="auto"/>
                <w:sz w:val="24"/>
                <w:szCs w:val="24"/>
                <w:lang w:eastAsia="zh-CN"/>
              </w:rPr>
              <w:t>，厂址位置坐标为</w:t>
            </w:r>
            <w:r>
              <w:rPr>
                <w:rFonts w:hint="eastAsia"/>
                <w:color w:val="auto"/>
                <w:kern w:val="0"/>
                <w:sz w:val="24"/>
                <w:szCs w:val="20"/>
                <w:highlight w:val="none"/>
                <w:lang w:eastAsia="zh-CN"/>
              </w:rPr>
              <w:t>经度110.026810，纬度27.131679</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b w:val="0"/>
                <w:bCs w:val="0"/>
                <w:color w:val="auto"/>
                <w:sz w:val="24"/>
                <w:szCs w:val="24"/>
                <w:lang w:val="en-US" w:eastAsia="zh-CN"/>
              </w:rPr>
              <w:t>地理位置图</w:t>
            </w:r>
            <w:r>
              <w:rPr>
                <w:rFonts w:hint="eastAsia" w:asciiTheme="minorEastAsia" w:hAnsiTheme="minorEastAsia" w:eastAsiaTheme="minorEastAsia" w:cstheme="minorEastAsia"/>
                <w:color w:val="auto"/>
                <w:sz w:val="24"/>
                <w:szCs w:val="24"/>
                <w:lang w:val="en-US" w:eastAsia="zh-CN"/>
              </w:rPr>
              <w:t>见附图1。</w:t>
            </w:r>
          </w:p>
          <w:p>
            <w:pPr>
              <w:keepNext w:val="0"/>
              <w:keepLines w:val="0"/>
              <w:suppressLineNumbers w:val="0"/>
              <w:spacing w:before="0" w:beforeAutospacing="0" w:after="0" w:afterAutospacing="0" w:line="360" w:lineRule="auto"/>
              <w:ind w:left="0" w:right="0" w:firstLine="480" w:firstLineChars="200"/>
              <w:rPr>
                <w:rFonts w:hint="eastAsia" w:eastAsiaTheme="minorEastAsia"/>
                <w:color w:val="auto"/>
                <w:kern w:val="0"/>
                <w:sz w:val="24"/>
                <w:szCs w:val="20"/>
                <w:lang w:val="en-US" w:eastAsia="zh-CN"/>
              </w:rPr>
            </w:pPr>
            <w:r>
              <w:rPr>
                <w:rFonts w:hint="default" w:hAnsiTheme="minorEastAsia" w:eastAsiaTheme="minorEastAsia"/>
                <w:color w:val="auto"/>
                <w:kern w:val="0"/>
                <w:sz w:val="24"/>
                <w:szCs w:val="20"/>
              </w:rPr>
              <w:t>经现场踏勘，</w:t>
            </w:r>
            <w:r>
              <w:rPr>
                <w:rFonts w:hint="eastAsia" w:hAnsiTheme="minorEastAsia" w:eastAsiaTheme="minorEastAsia"/>
                <w:color w:val="auto"/>
                <w:kern w:val="0"/>
                <w:sz w:val="24"/>
                <w:szCs w:val="20"/>
                <w:lang w:eastAsia="zh-CN"/>
              </w:rPr>
              <w:t>本项目场地东侧为场地入口，西北两侧是山，南面为山地和其他厂房。</w:t>
            </w:r>
            <w:r>
              <w:rPr>
                <w:rFonts w:hint="default" w:hAnsiTheme="minorEastAsia" w:eastAsiaTheme="minorEastAsia"/>
                <w:color w:val="auto"/>
                <w:kern w:val="0"/>
                <w:sz w:val="24"/>
                <w:szCs w:val="20"/>
              </w:rPr>
              <w:t>主要环境保护目标见表</w:t>
            </w:r>
            <w:r>
              <w:rPr>
                <w:rFonts w:hint="default" w:eastAsiaTheme="minorEastAsia"/>
                <w:color w:val="auto"/>
                <w:kern w:val="0"/>
                <w:sz w:val="24"/>
                <w:szCs w:val="20"/>
              </w:rPr>
              <w:t>3-</w:t>
            </w:r>
            <w:r>
              <w:rPr>
                <w:rFonts w:hint="eastAsia" w:eastAsiaTheme="minorEastAsia"/>
                <w:color w:val="auto"/>
                <w:kern w:val="0"/>
                <w:sz w:val="24"/>
                <w:szCs w:val="20"/>
                <w:lang w:val="en-US" w:eastAsia="zh-CN"/>
              </w:rPr>
              <w:t>4</w:t>
            </w:r>
            <w:r>
              <w:rPr>
                <w:rFonts w:hint="eastAsia" w:eastAsiaTheme="minorEastAsia"/>
                <w:color w:val="auto"/>
                <w:kern w:val="0"/>
                <w:sz w:val="24"/>
                <w:szCs w:val="20"/>
                <w:lang w:eastAsia="zh-CN"/>
              </w:rPr>
              <w:t>，</w:t>
            </w:r>
            <w:r>
              <w:rPr>
                <w:rFonts w:hint="default" w:hAnsiTheme="minorEastAsia" w:eastAsiaTheme="minorEastAsia"/>
                <w:color w:val="auto"/>
                <w:kern w:val="0"/>
                <w:sz w:val="24"/>
                <w:szCs w:val="20"/>
              </w:rPr>
              <w:t>主要环境保护目标</w:t>
            </w:r>
            <w:r>
              <w:rPr>
                <w:rFonts w:hint="eastAsia" w:hAnsiTheme="minorEastAsia" w:eastAsiaTheme="minorEastAsia"/>
                <w:color w:val="auto"/>
                <w:kern w:val="0"/>
                <w:sz w:val="24"/>
                <w:szCs w:val="20"/>
                <w:lang w:eastAsia="zh-CN"/>
              </w:rPr>
              <w:t>分布图见附图</w:t>
            </w:r>
            <w:r>
              <w:rPr>
                <w:rFonts w:hint="default" w:hAnsiTheme="minorEastAsia" w:eastAsiaTheme="minorEastAsia"/>
                <w:color w:val="auto"/>
                <w:kern w:val="0"/>
                <w:sz w:val="24"/>
                <w:szCs w:val="20"/>
              </w:rPr>
              <w:t>。</w:t>
            </w:r>
          </w:p>
          <w:p>
            <w:pPr>
              <w:keepNext w:val="0"/>
              <w:keepLines w:val="0"/>
              <w:suppressLineNumbers w:val="0"/>
              <w:spacing w:before="0" w:beforeAutospacing="0" w:after="0" w:afterAutospacing="0" w:line="360" w:lineRule="auto"/>
              <w:ind w:left="0" w:right="0" w:firstLine="632" w:firstLineChars="300"/>
              <w:jc w:val="center"/>
              <w:rPr>
                <w:rFonts w:hint="default" w:hAnsiTheme="minorEastAsia" w:eastAsiaTheme="minorEastAsia"/>
                <w:b/>
                <w:color w:val="auto"/>
                <w:kern w:val="0"/>
                <w:sz w:val="21"/>
                <w:szCs w:val="21"/>
                <w:highlight w:val="none"/>
              </w:rPr>
            </w:pPr>
            <w:r>
              <w:rPr>
                <w:rFonts w:hint="default" w:hAnsiTheme="minorEastAsia" w:eastAsiaTheme="minorEastAsia"/>
                <w:b/>
                <w:color w:val="auto"/>
                <w:kern w:val="0"/>
                <w:sz w:val="21"/>
                <w:szCs w:val="21"/>
                <w:highlight w:val="none"/>
              </w:rPr>
              <w:t>表</w:t>
            </w:r>
            <w:r>
              <w:rPr>
                <w:rFonts w:hint="eastAsia" w:hAnsiTheme="minorEastAsia" w:eastAsiaTheme="minorEastAsia"/>
                <w:b/>
                <w:color w:val="auto"/>
                <w:kern w:val="0"/>
                <w:sz w:val="21"/>
                <w:szCs w:val="21"/>
                <w:highlight w:val="none"/>
                <w:lang w:val="en-US" w:eastAsia="zh-CN"/>
              </w:rPr>
              <w:t>3-4</w:t>
            </w:r>
            <w:r>
              <w:rPr>
                <w:rFonts w:hint="default" w:eastAsiaTheme="minorEastAsia"/>
                <w:b/>
                <w:color w:val="auto"/>
                <w:kern w:val="0"/>
                <w:sz w:val="21"/>
                <w:szCs w:val="21"/>
                <w:highlight w:val="none"/>
              </w:rPr>
              <w:t xml:space="preserve">  </w:t>
            </w:r>
            <w:r>
              <w:rPr>
                <w:rFonts w:hint="default" w:hAnsiTheme="minorEastAsia" w:eastAsiaTheme="minorEastAsia"/>
                <w:b/>
                <w:color w:val="auto"/>
                <w:kern w:val="0"/>
                <w:sz w:val="21"/>
                <w:szCs w:val="21"/>
                <w:highlight w:val="none"/>
              </w:rPr>
              <w:t>主要环境保护目标</w:t>
            </w:r>
          </w:p>
          <w:tbl>
            <w:tblPr>
              <w:tblStyle w:val="22"/>
              <w:tblW w:w="9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631"/>
              <w:gridCol w:w="1605"/>
              <w:gridCol w:w="1862"/>
              <w:gridCol w:w="1808"/>
              <w:gridCol w:w="15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环境要素</w:t>
                  </w:r>
                </w:p>
              </w:tc>
              <w:tc>
                <w:tcPr>
                  <w:tcW w:w="16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保护目标</w:t>
                  </w:r>
                </w:p>
              </w:tc>
              <w:tc>
                <w:tcPr>
                  <w:tcW w:w="16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位置坐标</w:t>
                  </w:r>
                </w:p>
              </w:tc>
              <w:tc>
                <w:tcPr>
                  <w:tcW w:w="18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w:t>
                  </w:r>
                  <w:r>
                    <w:rPr>
                      <w:rFonts w:hint="default" w:ascii="Times New Roman" w:hAnsi="Times New Roman" w:eastAsia="宋体" w:cs="Times New Roman"/>
                      <w:color w:val="auto"/>
                      <w:sz w:val="21"/>
                      <w:szCs w:val="21"/>
                      <w:highlight w:val="none"/>
                      <w:lang w:eastAsia="zh-CN"/>
                    </w:rPr>
                    <w:t>厂界</w:t>
                  </w:r>
                  <w:r>
                    <w:rPr>
                      <w:rFonts w:hint="default" w:ascii="Times New Roman" w:hAnsi="Times New Roman" w:eastAsia="宋体" w:cs="Times New Roman"/>
                      <w:color w:val="auto"/>
                      <w:sz w:val="21"/>
                      <w:szCs w:val="21"/>
                      <w:highlight w:val="none"/>
                    </w:rPr>
                    <w:t>相对方位及距离</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功能与规模</w:t>
                  </w:r>
                </w:p>
              </w:tc>
              <w:tc>
                <w:tcPr>
                  <w:tcW w:w="15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3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境</w:t>
                  </w:r>
                </w:p>
              </w:tc>
              <w:tc>
                <w:tcPr>
                  <w:tcW w:w="16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东北侧居民点</w:t>
                  </w:r>
                </w:p>
              </w:tc>
              <w:tc>
                <w:tcPr>
                  <w:tcW w:w="16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110°1′43.95″,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27°7′55.98″</w:t>
                  </w:r>
                </w:p>
              </w:tc>
              <w:tc>
                <w:tcPr>
                  <w:tcW w:w="18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w:t>
                  </w:r>
                  <w:r>
                    <w:rPr>
                      <w:rFonts w:hint="eastAsia"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lang w:val="en-US" w:eastAsia="zh-CN"/>
                    </w:rPr>
                    <w:t>348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eastAsia="zh-CN"/>
                    </w:rPr>
                    <w:t>，有山体阻隔</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约5</w:t>
                  </w:r>
                  <w:r>
                    <w:rPr>
                      <w:rFonts w:hint="default" w:ascii="Times New Roman" w:hAnsi="Times New Roman" w:eastAsia="宋体" w:cs="Times New Roman"/>
                      <w:color w:val="auto"/>
                      <w:sz w:val="21"/>
                      <w:szCs w:val="21"/>
                      <w:highlight w:val="none"/>
                      <w:lang w:val="en-US" w:eastAsia="zh-CN"/>
                    </w:rPr>
                    <w:t>户</w:t>
                  </w:r>
                  <w:r>
                    <w:rPr>
                      <w:rFonts w:hint="eastAsia" w:cs="Times New Roman"/>
                      <w:color w:val="auto"/>
                      <w:sz w:val="21"/>
                      <w:szCs w:val="21"/>
                      <w:highlight w:val="none"/>
                      <w:lang w:val="en-US" w:eastAsia="zh-CN"/>
                    </w:rPr>
                    <w:t>，居民点</w:t>
                  </w:r>
                </w:p>
              </w:tc>
              <w:tc>
                <w:tcPr>
                  <w:tcW w:w="1534"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GB3095-2012环境空气质量</w:t>
                  </w:r>
                  <w:r>
                    <w:rPr>
                      <w:rFonts w:hint="default" w:ascii="Times New Roman" w:hAnsi="Times New Roman" w:eastAsia="宋体" w:cs="Times New Roman"/>
                      <w:color w:val="auto"/>
                      <w:sz w:val="21"/>
                      <w:szCs w:val="21"/>
                      <w:highlight w:val="none"/>
                      <w:lang w:eastAsia="zh-CN"/>
                    </w:rPr>
                    <w:t>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3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6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西北侧居民点</w:t>
                  </w:r>
                </w:p>
              </w:tc>
              <w:tc>
                <w:tcPr>
                  <w:tcW w:w="16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110°1′34.68″,</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27°7′59.6</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p>
              </w:tc>
              <w:tc>
                <w:tcPr>
                  <w:tcW w:w="18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w:t>
                  </w:r>
                  <w:r>
                    <w:rPr>
                      <w:rFonts w:hint="eastAsia" w:cs="Times New Roman"/>
                      <w:color w:val="auto"/>
                      <w:sz w:val="21"/>
                      <w:szCs w:val="21"/>
                      <w:highlight w:val="none"/>
                      <w:lang w:val="en-US" w:eastAsia="zh-CN"/>
                    </w:rPr>
                    <w:t>129-302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有山体阻隔</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约100</w:t>
                  </w:r>
                  <w:r>
                    <w:rPr>
                      <w:rFonts w:hint="default" w:ascii="Times New Roman" w:hAnsi="Times New Roman" w:eastAsia="宋体" w:cs="Times New Roman"/>
                      <w:color w:val="auto"/>
                      <w:sz w:val="21"/>
                      <w:szCs w:val="21"/>
                      <w:highlight w:val="none"/>
                      <w:lang w:val="en-US" w:eastAsia="zh-CN"/>
                    </w:rPr>
                    <w:t>户</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居民点</w:t>
                  </w:r>
                </w:p>
              </w:tc>
              <w:tc>
                <w:tcPr>
                  <w:tcW w:w="1534"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3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6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楠木田村</w:t>
                  </w:r>
                </w:p>
              </w:tc>
              <w:tc>
                <w:tcPr>
                  <w:tcW w:w="16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110°1′29.23″,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27°7′50.07″</w:t>
                  </w:r>
                </w:p>
              </w:tc>
              <w:tc>
                <w:tcPr>
                  <w:tcW w:w="18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w:t>
                  </w:r>
                  <w:r>
                    <w:rPr>
                      <w:rFonts w:hint="eastAsia" w:cs="Times New Roman"/>
                      <w:color w:val="auto"/>
                      <w:sz w:val="21"/>
                      <w:szCs w:val="21"/>
                      <w:highlight w:val="none"/>
                      <w:lang w:val="en-US" w:eastAsia="zh-CN"/>
                    </w:rPr>
                    <w:t>142-678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有山体阻隔</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约180</w:t>
                  </w:r>
                  <w:r>
                    <w:rPr>
                      <w:rFonts w:hint="default" w:ascii="Times New Roman" w:hAnsi="Times New Roman" w:eastAsia="宋体" w:cs="Times New Roman"/>
                      <w:color w:val="auto"/>
                      <w:sz w:val="21"/>
                      <w:szCs w:val="21"/>
                      <w:highlight w:val="none"/>
                      <w:lang w:val="en-US" w:eastAsia="zh-CN"/>
                    </w:rPr>
                    <w:t>户</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居民点</w:t>
                  </w:r>
                </w:p>
              </w:tc>
              <w:tc>
                <w:tcPr>
                  <w:tcW w:w="1534"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3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6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引水盘</w:t>
                  </w:r>
                </w:p>
              </w:tc>
              <w:tc>
                <w:tcPr>
                  <w:tcW w:w="16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110°1′55.15″,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27°7′57.33″</w:t>
                  </w:r>
                </w:p>
              </w:tc>
              <w:tc>
                <w:tcPr>
                  <w:tcW w:w="18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w:t>
                  </w:r>
                  <w:r>
                    <w:rPr>
                      <w:rFonts w:hint="eastAsia" w:cs="Times New Roman"/>
                      <w:color w:val="auto"/>
                      <w:sz w:val="21"/>
                      <w:szCs w:val="21"/>
                      <w:highlight w:val="none"/>
                      <w:lang w:val="en-US" w:eastAsia="zh-CN"/>
                    </w:rPr>
                    <w:t>450-772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有山体阻隔</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约25</w:t>
                  </w:r>
                  <w:r>
                    <w:rPr>
                      <w:rFonts w:hint="default" w:ascii="Times New Roman" w:hAnsi="Times New Roman" w:eastAsia="宋体" w:cs="Times New Roman"/>
                      <w:color w:val="auto"/>
                      <w:sz w:val="21"/>
                      <w:szCs w:val="21"/>
                      <w:highlight w:val="none"/>
                      <w:lang w:val="en-US" w:eastAsia="zh-CN"/>
                    </w:rPr>
                    <w:t>户</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居民点</w:t>
                  </w:r>
                </w:p>
              </w:tc>
              <w:tc>
                <w:tcPr>
                  <w:tcW w:w="1534"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境</w:t>
                  </w:r>
                </w:p>
              </w:tc>
              <w:tc>
                <w:tcPr>
                  <w:tcW w:w="16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沅江</w:t>
                  </w:r>
                </w:p>
              </w:tc>
              <w:tc>
                <w:tcPr>
                  <w:tcW w:w="16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18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西，约</w:t>
                  </w:r>
                  <w:r>
                    <w:rPr>
                      <w:rFonts w:hint="default" w:ascii="Times New Roman" w:hAnsi="Times New Roman" w:eastAsia="宋体" w:cs="Times New Roman"/>
                      <w:color w:val="auto"/>
                      <w:sz w:val="21"/>
                      <w:szCs w:val="21"/>
                      <w:highlight w:val="none"/>
                      <w:lang w:val="en-US" w:eastAsia="zh-CN"/>
                    </w:rPr>
                    <w:t>400米，</w:t>
                  </w:r>
                  <w:r>
                    <w:rPr>
                      <w:rFonts w:hint="default" w:ascii="Times New Roman" w:hAnsi="Times New Roman" w:eastAsia="宋体" w:cs="Times New Roman"/>
                      <w:color w:val="auto"/>
                      <w:sz w:val="21"/>
                      <w:szCs w:val="21"/>
                      <w:highlight w:val="none"/>
                      <w:lang w:eastAsia="zh-CN"/>
                    </w:rPr>
                    <w:t>有山体阻隔</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中</w:t>
                  </w:r>
                  <w:r>
                    <w:rPr>
                      <w:rFonts w:hint="default" w:ascii="Times New Roman" w:hAnsi="Times New Roman" w:eastAsia="宋体" w:cs="Times New Roman"/>
                      <w:color w:val="auto"/>
                      <w:sz w:val="21"/>
                      <w:szCs w:val="21"/>
                      <w:highlight w:val="none"/>
                    </w:rPr>
                    <w:t>型河流</w:t>
                  </w:r>
                </w:p>
              </w:tc>
              <w:tc>
                <w:tcPr>
                  <w:tcW w:w="15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地表水</w:t>
                  </w:r>
                  <w:r>
                    <w:rPr>
                      <w:rFonts w:hint="default" w:ascii="Times New Roman" w:hAnsi="Times New Roman" w:eastAsia="宋体" w:cs="Times New Roman"/>
                      <w:color w:val="auto"/>
                      <w:sz w:val="21"/>
                      <w:szCs w:val="21"/>
                      <w:highlight w:val="none"/>
                    </w:rPr>
                    <w:t>环境质量标准》GB3838－2002</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Ⅲ</w:t>
                  </w:r>
                  <w:r>
                    <w:rPr>
                      <w:rFonts w:hint="default" w:ascii="Times New Roman" w:hAnsi="Times New Roman" w:eastAsia="宋体" w:cs="Times New Roman"/>
                      <w:color w:val="auto"/>
                      <w:sz w:val="21"/>
                      <w:szCs w:val="21"/>
                      <w:highlight w:val="none"/>
                    </w:rPr>
                    <w:t>类</w:t>
                  </w:r>
                  <w:r>
                    <w:rPr>
                      <w:rFonts w:hint="default" w:ascii="Times New Roman" w:hAnsi="Times New Roman" w:eastAsia="宋体" w:cs="Times New Roman"/>
                      <w:color w:val="auto"/>
                      <w:sz w:val="21"/>
                      <w:szCs w:val="21"/>
                      <w:highlight w:val="none"/>
                      <w:lang w:eastAsia="zh-CN"/>
                    </w:rPr>
                    <w:t>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3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境</w:t>
                  </w:r>
                </w:p>
              </w:tc>
              <w:tc>
                <w:tcPr>
                  <w:tcW w:w="16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东北侧居民点</w:t>
                  </w:r>
                </w:p>
              </w:tc>
              <w:tc>
                <w:tcPr>
                  <w:tcW w:w="16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110°1′43.95″,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27°7′55.98″</w:t>
                  </w:r>
                </w:p>
              </w:tc>
              <w:tc>
                <w:tcPr>
                  <w:tcW w:w="18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东南</w:t>
                  </w:r>
                  <w:r>
                    <w:rPr>
                      <w:rFonts w:hint="eastAsia"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eastAsia="zh-CN"/>
                    </w:rPr>
                    <w:t>，有山体阻隔</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约2</w:t>
                  </w:r>
                  <w:r>
                    <w:rPr>
                      <w:rFonts w:hint="default" w:ascii="Times New Roman" w:hAnsi="Times New Roman" w:eastAsia="宋体" w:cs="Times New Roman"/>
                      <w:color w:val="auto"/>
                      <w:sz w:val="21"/>
                      <w:szCs w:val="21"/>
                      <w:highlight w:val="none"/>
                      <w:lang w:val="en-US" w:eastAsia="zh-CN"/>
                    </w:rPr>
                    <w:t>户</w:t>
                  </w:r>
                  <w:r>
                    <w:rPr>
                      <w:rFonts w:hint="eastAsia" w:cs="Times New Roman"/>
                      <w:color w:val="auto"/>
                      <w:sz w:val="21"/>
                      <w:szCs w:val="21"/>
                      <w:highlight w:val="none"/>
                      <w:lang w:val="en-US" w:eastAsia="zh-CN"/>
                    </w:rPr>
                    <w:t>，居民点</w:t>
                  </w:r>
                </w:p>
              </w:tc>
              <w:tc>
                <w:tcPr>
                  <w:tcW w:w="1534"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《声环境质量标准》（GB3096-2008）</w:t>
                  </w:r>
                  <w:r>
                    <w:rPr>
                      <w:rFonts w:hint="default" w:ascii="Times New Roman" w:hAnsi="Times New Roman" w:eastAsia="宋体" w:cs="Times New Roman"/>
                      <w:color w:val="auto"/>
                      <w:sz w:val="21"/>
                      <w:szCs w:val="21"/>
                      <w:highlight w:val="none"/>
                      <w:lang w:eastAsia="zh-CN"/>
                    </w:rPr>
                    <w:t>二类区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37"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6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西北侧居民点</w:t>
                  </w:r>
                </w:p>
              </w:tc>
              <w:tc>
                <w:tcPr>
                  <w:tcW w:w="16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110°1′34.68″,</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27°7′59.6</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p>
              </w:tc>
              <w:tc>
                <w:tcPr>
                  <w:tcW w:w="18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w:t>
                  </w:r>
                  <w:r>
                    <w:rPr>
                      <w:rFonts w:hint="eastAsia" w:cs="Times New Roman"/>
                      <w:color w:val="auto"/>
                      <w:sz w:val="21"/>
                      <w:szCs w:val="21"/>
                      <w:highlight w:val="none"/>
                      <w:lang w:val="en-US" w:eastAsia="zh-CN"/>
                    </w:rPr>
                    <w:t>129-200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有山体阻隔</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约30</w:t>
                  </w:r>
                  <w:r>
                    <w:rPr>
                      <w:rFonts w:hint="default" w:ascii="Times New Roman" w:hAnsi="Times New Roman" w:eastAsia="宋体" w:cs="Times New Roman"/>
                      <w:color w:val="auto"/>
                      <w:sz w:val="21"/>
                      <w:szCs w:val="21"/>
                      <w:highlight w:val="none"/>
                      <w:lang w:val="en-US" w:eastAsia="zh-CN"/>
                    </w:rPr>
                    <w:t>户</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居民点</w:t>
                  </w:r>
                </w:p>
              </w:tc>
              <w:tc>
                <w:tcPr>
                  <w:tcW w:w="153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37"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6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楠木田村</w:t>
                  </w:r>
                </w:p>
              </w:tc>
              <w:tc>
                <w:tcPr>
                  <w:tcW w:w="16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110°1′29.23″,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27°7′50.07″</w:t>
                  </w:r>
                </w:p>
              </w:tc>
              <w:tc>
                <w:tcPr>
                  <w:tcW w:w="18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w:t>
                  </w:r>
                  <w:r>
                    <w:rPr>
                      <w:rFonts w:hint="eastAsia" w:cs="Times New Roman"/>
                      <w:color w:val="auto"/>
                      <w:sz w:val="21"/>
                      <w:szCs w:val="21"/>
                      <w:highlight w:val="none"/>
                      <w:lang w:val="en-US" w:eastAsia="zh-CN"/>
                    </w:rPr>
                    <w:t>142-200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有山体阻隔</w:t>
                  </w:r>
                </w:p>
              </w:tc>
              <w:tc>
                <w:tcPr>
                  <w:tcW w:w="180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约20</w:t>
                  </w:r>
                  <w:r>
                    <w:rPr>
                      <w:rFonts w:hint="default" w:ascii="Times New Roman" w:hAnsi="Times New Roman" w:eastAsia="宋体" w:cs="Times New Roman"/>
                      <w:color w:val="auto"/>
                      <w:sz w:val="21"/>
                      <w:szCs w:val="21"/>
                      <w:highlight w:val="none"/>
                      <w:lang w:val="en-US" w:eastAsia="zh-CN"/>
                    </w:rPr>
                    <w:t>户</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居民点</w:t>
                  </w:r>
                </w:p>
              </w:tc>
              <w:tc>
                <w:tcPr>
                  <w:tcW w:w="153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3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生态环境</w:t>
                  </w:r>
                </w:p>
              </w:tc>
              <w:tc>
                <w:tcPr>
                  <w:tcW w:w="8440" w:type="dxa"/>
                  <w:gridSpan w:val="5"/>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项目所在区域的地表植被、林草地。</w:t>
                  </w:r>
                </w:p>
              </w:tc>
            </w:tr>
          </w:tbl>
          <w:p>
            <w:pPr>
              <w:spacing w:line="360" w:lineRule="auto"/>
              <w:rPr>
                <w:rFonts w:hint="eastAsia" w:ascii="Times New Roman" w:hAnsi="Times New Roman" w:eastAsia="宋体" w:cs="宋体"/>
                <w:color w:val="auto"/>
                <w:sz w:val="24"/>
                <w:szCs w:val="24"/>
                <w:lang w:eastAsia="zh-CN"/>
              </w:rPr>
            </w:pPr>
          </w:p>
        </w:tc>
      </w:tr>
    </w:tbl>
    <w:p>
      <w:pPr>
        <w:pStyle w:val="2"/>
        <w:rPr>
          <w:color w:val="auto"/>
          <w:sz w:val="24"/>
          <w:szCs w:val="24"/>
        </w:rPr>
      </w:pPr>
    </w:p>
    <w:p>
      <w:pPr>
        <w:pStyle w:val="2"/>
        <w:rPr>
          <w:color w:val="auto"/>
          <w:sz w:val="24"/>
          <w:szCs w:val="24"/>
        </w:rPr>
      </w:pPr>
    </w:p>
    <w:p>
      <w:pPr>
        <w:pStyle w:val="2"/>
        <w:rPr>
          <w:color w:val="auto"/>
          <w:sz w:val="24"/>
          <w:szCs w:val="24"/>
        </w:rPr>
        <w:sectPr>
          <w:pgSz w:w="11906" w:h="16838"/>
          <w:pgMar w:top="1440" w:right="1800" w:bottom="1440" w:left="1800" w:header="851" w:footer="992" w:gutter="0"/>
          <w:pgNumType w:fmt="decimal"/>
          <w:cols w:space="425" w:num="1"/>
          <w:docGrid w:type="lines" w:linePitch="312" w:charSpace="0"/>
        </w:sectPr>
      </w:pPr>
    </w:p>
    <w:p>
      <w:pPr>
        <w:pStyle w:val="3"/>
        <w:keepNext w:val="0"/>
        <w:keepLines w:val="0"/>
        <w:suppressAutoHyphens/>
        <w:topLinePunct/>
        <w:spacing w:before="0" w:after="0" w:line="240" w:lineRule="auto"/>
        <w:rPr>
          <w:rFonts w:hint="eastAsia"/>
          <w:bCs w:val="0"/>
          <w:color w:val="auto"/>
          <w:kern w:val="0"/>
          <w:sz w:val="28"/>
          <w:szCs w:val="28"/>
        </w:rPr>
      </w:pPr>
      <w:bookmarkStart w:id="5" w:name="_Toc29307429"/>
      <w:bookmarkStart w:id="6" w:name="_Toc29308629"/>
      <w:r>
        <w:rPr>
          <w:rFonts w:hint="eastAsia"/>
          <w:bCs w:val="0"/>
          <w:color w:val="auto"/>
          <w:kern w:val="0"/>
          <w:sz w:val="28"/>
          <w:szCs w:val="28"/>
        </w:rPr>
        <w:t>四、评价适用标准</w:t>
      </w:r>
      <w:bookmarkEnd w:id="5"/>
      <w:bookmarkEnd w:id="6"/>
    </w:p>
    <w:tbl>
      <w:tblPr>
        <w:tblStyle w:val="22"/>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568" w:type="dxa"/>
            <w:noWrap w:val="0"/>
            <w:vAlign w:val="center"/>
          </w:tcPr>
          <w:p>
            <w:pPr>
              <w:spacing w:line="360" w:lineRule="auto"/>
              <w:rPr>
                <w:rFonts w:ascii="宋体" w:hAnsi="宋体"/>
                <w:b/>
                <w:color w:val="auto"/>
                <w:sz w:val="24"/>
                <w:szCs w:val="24"/>
              </w:rPr>
            </w:pPr>
            <w:r>
              <w:rPr>
                <w:rFonts w:hint="eastAsia" w:ascii="宋体" w:hAnsi="宋体"/>
                <w:b/>
                <w:color w:val="auto"/>
                <w:sz w:val="24"/>
                <w:szCs w:val="24"/>
              </w:rPr>
              <w:t>环境质量标准</w:t>
            </w:r>
          </w:p>
        </w:tc>
        <w:tc>
          <w:tcPr>
            <w:tcW w:w="8647" w:type="dxa"/>
            <w:noWrap w:val="0"/>
            <w:vAlign w:val="top"/>
          </w:tcPr>
          <w:p>
            <w:pPr>
              <w:spacing w:line="360" w:lineRule="auto"/>
              <w:jc w:val="left"/>
              <w:rPr>
                <w:rFonts w:hint="eastAsia" w:ascii="Times New Roman" w:hAnsi="Times New Roman"/>
                <w:b/>
                <w:color w:val="auto"/>
                <w:sz w:val="24"/>
              </w:rPr>
            </w:pPr>
            <w:r>
              <w:rPr>
                <w:rFonts w:hint="eastAsia" w:ascii="Times New Roman" w:hAnsi="Times New Roman"/>
                <w:b/>
                <w:color w:val="auto"/>
                <w:sz w:val="24"/>
              </w:rPr>
              <w:t>4.1 大气环境质量标准</w:t>
            </w:r>
          </w:p>
          <w:p>
            <w:pPr>
              <w:spacing w:line="360" w:lineRule="auto"/>
              <w:ind w:firstLine="480" w:firstLineChars="200"/>
              <w:jc w:val="left"/>
              <w:rPr>
                <w:rFonts w:hint="eastAsia" w:ascii="Times New Roman" w:hAnsi="Times New Roman"/>
                <w:color w:val="auto"/>
                <w:sz w:val="24"/>
              </w:rPr>
            </w:pPr>
            <w:r>
              <w:rPr>
                <w:rFonts w:hint="eastAsia" w:ascii="Times New Roman" w:hAnsi="Times New Roman"/>
                <w:color w:val="auto"/>
                <w:sz w:val="24"/>
              </w:rPr>
              <w:t>项目所在区域环境空气质量功能区划为二类区，</w:t>
            </w:r>
            <w:r>
              <w:rPr>
                <w:rFonts w:hint="eastAsia" w:ascii="Times New Roman" w:hAnsi="Times New Roman"/>
                <w:color w:val="auto"/>
                <w:sz w:val="24"/>
              </w:rPr>
              <w:softHyphen/>
            </w:r>
            <w:r>
              <w:rPr>
                <w:rFonts w:hint="eastAsia" w:ascii="Times New Roman" w:hAnsi="Times New Roman"/>
                <w:color w:val="auto"/>
                <w:sz w:val="24"/>
              </w:rPr>
              <w:t>执行《环境空气质量标准》（GB3095-2012）中的二级标准，具体的标准值见表4-1</w:t>
            </w:r>
            <w:r>
              <w:rPr>
                <w:rFonts w:ascii="Times New Roman" w:hAnsi="Times New Roman"/>
                <w:color w:val="auto"/>
                <w:sz w:val="24"/>
              </w:rPr>
              <w:t>。</w:t>
            </w:r>
          </w:p>
          <w:p>
            <w:pPr>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4</w:t>
            </w:r>
            <w:r>
              <w:rPr>
                <w:rFonts w:ascii="Times New Roman" w:hAnsi="Times New Roman"/>
                <w:b/>
                <w:color w:val="auto"/>
                <w:szCs w:val="21"/>
              </w:rPr>
              <w:t>-</w:t>
            </w:r>
            <w:r>
              <w:rPr>
                <w:rFonts w:hint="eastAsia" w:ascii="Times New Roman" w:hAnsi="Times New Roman"/>
                <w:b/>
                <w:color w:val="auto"/>
                <w:szCs w:val="21"/>
              </w:rPr>
              <w:t>1：</w:t>
            </w:r>
            <w:r>
              <w:rPr>
                <w:rFonts w:ascii="Times New Roman" w:hAnsi="Times New Roman"/>
                <w:b/>
                <w:color w:val="auto"/>
                <w:szCs w:val="21"/>
              </w:rPr>
              <w:t>环境空气质量标准</w:t>
            </w:r>
          </w:p>
          <w:tbl>
            <w:tblPr>
              <w:tblStyle w:val="22"/>
              <w:tblW w:w="83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37"/>
              <w:gridCol w:w="2070"/>
              <w:gridCol w:w="1442"/>
              <w:gridCol w:w="35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133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3512" w:type="dxa"/>
                  <w:gridSpan w:val="2"/>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标准值(mg/</w:t>
                  </w:r>
                  <w:r>
                    <w:rPr>
                      <w:rFonts w:hint="default" w:ascii="Times New Roman" w:hAnsi="Times New Roman" w:eastAsia="宋体" w:cs="Times New Roman"/>
                      <w:b/>
                      <w:color w:val="auto"/>
                      <w:sz w:val="21"/>
                      <w:szCs w:val="21"/>
                      <w:lang w:eastAsia="zh-CN"/>
                    </w:rPr>
                    <w:t>m³</w:t>
                  </w:r>
                  <w:r>
                    <w:rPr>
                      <w:rFonts w:hint="default" w:ascii="Times New Roman" w:hAnsi="Times New Roman" w:eastAsia="宋体" w:cs="Times New Roman"/>
                      <w:b/>
                      <w:color w:val="auto"/>
                      <w:sz w:val="21"/>
                      <w:szCs w:val="21"/>
                    </w:rPr>
                    <w:t>)</w:t>
                  </w:r>
                </w:p>
              </w:tc>
              <w:tc>
                <w:tcPr>
                  <w:tcW w:w="354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选用标准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3549"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PM</w:t>
                  </w:r>
                  <w:r>
                    <w:rPr>
                      <w:rFonts w:hint="eastAsia" w:cs="Times New Roman"/>
                      <w:color w:val="auto"/>
                      <w:sz w:val="21"/>
                      <w:szCs w:val="21"/>
                      <w:vertAlign w:val="subscript"/>
                      <w:lang w:val="en-US" w:eastAsia="zh-CN"/>
                    </w:rPr>
                    <w:t>2.5</w:t>
                  </w: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0.035</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0.075</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日最大8小时 </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3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3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TSP</w:t>
                  </w:r>
                </w:p>
              </w:tc>
              <w:tc>
                <w:tcPr>
                  <w:tcW w:w="207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4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30</w:t>
                  </w:r>
                </w:p>
              </w:tc>
              <w:tc>
                <w:tcPr>
                  <w:tcW w:w="3549"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adjustRightInd w:val="0"/>
              <w:snapToGrid w:val="0"/>
              <w:spacing w:line="360" w:lineRule="auto"/>
              <w:rPr>
                <w:rFonts w:hint="eastAsia" w:ascii="Times New Roman" w:hAnsi="Times New Roman"/>
                <w:b/>
                <w:color w:val="auto"/>
                <w:sz w:val="24"/>
              </w:rPr>
            </w:pPr>
          </w:p>
          <w:p>
            <w:pPr>
              <w:adjustRightInd w:val="0"/>
              <w:snapToGrid w:val="0"/>
              <w:spacing w:line="360" w:lineRule="auto"/>
              <w:rPr>
                <w:rFonts w:hint="eastAsia" w:ascii="Times New Roman" w:hAnsi="Times New Roman"/>
                <w:b/>
                <w:color w:val="auto"/>
                <w:sz w:val="24"/>
              </w:rPr>
            </w:pPr>
            <w:r>
              <w:rPr>
                <w:rFonts w:hint="eastAsia" w:ascii="Times New Roman" w:hAnsi="Times New Roman"/>
                <w:b/>
                <w:color w:val="auto"/>
                <w:sz w:val="24"/>
              </w:rPr>
              <w:t>4.2 地表水环境质量标准</w:t>
            </w:r>
          </w:p>
          <w:p>
            <w:pPr>
              <w:adjustRightInd w:val="0"/>
              <w:snapToGrid w:val="0"/>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根据《湖南省主要地表水系水环境功能区划》，项目所在区域沅江地表水环境质量执行《地表水环境质量标准》（GB3838-2002）Ⅲ类标准。主要标准值详见表4-2</w:t>
            </w:r>
            <w:r>
              <w:rPr>
                <w:rFonts w:ascii="Times New Roman" w:hAnsi="Times New Roman"/>
                <w:color w:val="auto"/>
                <w:sz w:val="24"/>
              </w:rPr>
              <w:t>。</w:t>
            </w:r>
          </w:p>
          <w:p>
            <w:pPr>
              <w:adjustRightInd w:val="0"/>
              <w:snapToGrid w:val="0"/>
              <w:spacing w:line="360" w:lineRule="auto"/>
              <w:jc w:val="center"/>
              <w:rPr>
                <w:rFonts w:hint="eastAsia" w:ascii="Times New Roman" w:hAnsi="Times New Roman"/>
                <w:b/>
                <w:color w:val="auto"/>
                <w:szCs w:val="21"/>
              </w:rPr>
            </w:pPr>
            <w:r>
              <w:rPr>
                <w:rFonts w:hint="eastAsia" w:ascii="Times New Roman" w:hAnsi="Times New Roman"/>
                <w:b/>
                <w:color w:val="auto"/>
                <w:szCs w:val="21"/>
              </w:rPr>
              <w:t>表4-2：地表水环境质量标准</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17"/>
              <w:gridCol w:w="1636"/>
              <w:gridCol w:w="1069"/>
              <w:gridCol w:w="2082"/>
              <w:gridCol w:w="27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917" w:type="dxa"/>
                  <w:noWrap w:val="0"/>
                  <w:vAlign w:val="center"/>
                </w:tcPr>
                <w:p>
                  <w:pPr>
                    <w:adjustRightInd w:val="0"/>
                    <w:jc w:val="center"/>
                    <w:textAlignment w:val="baseline"/>
                    <w:rPr>
                      <w:rStyle w:val="31"/>
                      <w:rFonts w:hint="eastAsia" w:ascii="Times New Roman" w:hAnsi="Times New Roman"/>
                      <w:color w:val="auto"/>
                      <w:kern w:val="0"/>
                      <w:szCs w:val="21"/>
                    </w:rPr>
                  </w:pPr>
                  <w:r>
                    <w:rPr>
                      <w:rStyle w:val="31"/>
                      <w:rFonts w:ascii="Times New Roman" w:hAnsi="Times New Roman"/>
                      <w:color w:val="auto"/>
                      <w:kern w:val="0"/>
                      <w:szCs w:val="21"/>
                    </w:rPr>
                    <w:t>序</w:t>
                  </w:r>
                  <w:r>
                    <w:rPr>
                      <w:rStyle w:val="31"/>
                      <w:rFonts w:hint="eastAsia" w:ascii="Times New Roman" w:hAnsi="Times New Roman"/>
                      <w:color w:val="auto"/>
                      <w:kern w:val="0"/>
                      <w:szCs w:val="21"/>
                    </w:rPr>
                    <w:t>号</w:t>
                  </w:r>
                </w:p>
              </w:tc>
              <w:tc>
                <w:tcPr>
                  <w:tcW w:w="1636"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项目</w:t>
                  </w:r>
                </w:p>
              </w:tc>
              <w:tc>
                <w:tcPr>
                  <w:tcW w:w="1069"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单</w:t>
                  </w:r>
                  <w:r>
                    <w:rPr>
                      <w:rStyle w:val="31"/>
                      <w:rFonts w:hint="eastAsia" w:ascii="Times New Roman" w:hAnsi="Times New Roman"/>
                      <w:color w:val="auto"/>
                      <w:kern w:val="0"/>
                      <w:szCs w:val="21"/>
                    </w:rPr>
                    <w:t>位</w:t>
                  </w:r>
                </w:p>
              </w:tc>
              <w:tc>
                <w:tcPr>
                  <w:tcW w:w="2082" w:type="dxa"/>
                  <w:noWrap w:val="0"/>
                  <w:vAlign w:val="center"/>
                </w:tcPr>
                <w:p>
                  <w:pPr>
                    <w:adjustRightInd w:val="0"/>
                    <w:jc w:val="center"/>
                    <w:textAlignment w:val="baseline"/>
                    <w:rPr>
                      <w:rStyle w:val="31"/>
                      <w:rFonts w:ascii="Times New Roman" w:hAnsi="Times New Roman"/>
                      <w:color w:val="auto"/>
                      <w:kern w:val="0"/>
                      <w:szCs w:val="21"/>
                    </w:rPr>
                  </w:pPr>
                  <w:r>
                    <w:rPr>
                      <w:rStyle w:val="31"/>
                      <w:rFonts w:hint="eastAsia" w:ascii="Times New Roman" w:hAnsi="Times New Roman"/>
                      <w:color w:val="auto"/>
                      <w:kern w:val="0"/>
                      <w:szCs w:val="21"/>
                    </w:rPr>
                    <w:t>标准限值</w:t>
                  </w:r>
                </w:p>
              </w:tc>
              <w:tc>
                <w:tcPr>
                  <w:tcW w:w="2727" w:type="dxa"/>
                  <w:noWrap w:val="0"/>
                  <w:vAlign w:val="center"/>
                </w:tcPr>
                <w:p>
                  <w:pPr>
                    <w:adjustRightInd w:val="0"/>
                    <w:jc w:val="center"/>
                    <w:textAlignment w:val="baseline"/>
                    <w:rPr>
                      <w:rFonts w:hint="eastAsia" w:ascii="Times New Roman" w:hAnsi="Times New Roman"/>
                      <w:color w:val="auto"/>
                      <w:szCs w:val="21"/>
                    </w:rPr>
                  </w:pPr>
                  <w:r>
                    <w:rPr>
                      <w:rFonts w:hint="eastAsia" w:ascii="Times New Roman" w:hAnsi="Times New Roman"/>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2" w:hRule="atLeast"/>
                <w:jc w:val="center"/>
              </w:trPr>
              <w:tc>
                <w:tcPr>
                  <w:tcW w:w="917"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1</w:t>
                  </w:r>
                </w:p>
              </w:tc>
              <w:tc>
                <w:tcPr>
                  <w:tcW w:w="1636" w:type="dxa"/>
                  <w:noWrap w:val="0"/>
                  <w:vAlign w:val="center"/>
                </w:tcPr>
                <w:p>
                  <w:pPr>
                    <w:jc w:val="center"/>
                    <w:rPr>
                      <w:rFonts w:ascii="Times New Roman" w:hAnsi="Times New Roman"/>
                      <w:bCs/>
                      <w:color w:val="auto"/>
                      <w:szCs w:val="21"/>
                    </w:rPr>
                  </w:pPr>
                  <w:r>
                    <w:rPr>
                      <w:rFonts w:ascii="Times New Roman" w:hAnsi="Times New Roman"/>
                      <w:bCs/>
                      <w:color w:val="auto"/>
                      <w:szCs w:val="21"/>
                    </w:rPr>
                    <w:t>pH</w:t>
                  </w:r>
                  <w:r>
                    <w:rPr>
                      <w:rFonts w:hint="eastAsia" w:ascii="Times New Roman" w:hAnsi="Times New Roman"/>
                      <w:bCs/>
                      <w:color w:val="auto"/>
                      <w:szCs w:val="21"/>
                    </w:rPr>
                    <w:t>（无量纲）</w:t>
                  </w:r>
                </w:p>
              </w:tc>
              <w:tc>
                <w:tcPr>
                  <w:tcW w:w="1069"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无量纲</w:t>
                  </w:r>
                </w:p>
              </w:tc>
              <w:tc>
                <w:tcPr>
                  <w:tcW w:w="2082" w:type="dxa"/>
                  <w:noWrap w:val="0"/>
                  <w:vAlign w:val="center"/>
                </w:tcPr>
                <w:p>
                  <w:pPr>
                    <w:jc w:val="center"/>
                    <w:rPr>
                      <w:rFonts w:ascii="Times New Roman" w:hAnsi="Times New Roman"/>
                      <w:bCs/>
                      <w:color w:val="auto"/>
                      <w:szCs w:val="21"/>
                    </w:rPr>
                  </w:pPr>
                  <w:r>
                    <w:rPr>
                      <w:rFonts w:hint="eastAsia" w:ascii="Times New Roman" w:hAnsi="Times New Roman"/>
                      <w:bCs/>
                      <w:color w:val="auto"/>
                      <w:szCs w:val="21"/>
                    </w:rPr>
                    <w:t>6~9</w:t>
                  </w:r>
                </w:p>
              </w:tc>
              <w:tc>
                <w:tcPr>
                  <w:tcW w:w="2727" w:type="dxa"/>
                  <w:vMerge w:val="restart"/>
                  <w:noWrap w:val="0"/>
                  <w:vAlign w:val="center"/>
                </w:tcPr>
                <w:p>
                  <w:pPr>
                    <w:adjustRightInd w:val="0"/>
                    <w:jc w:val="center"/>
                    <w:textAlignment w:val="baseline"/>
                    <w:rPr>
                      <w:rFonts w:hint="eastAsia" w:ascii="Times New Roman" w:hAnsi="Times New Roman"/>
                      <w:color w:val="auto"/>
                      <w:szCs w:val="21"/>
                    </w:rPr>
                  </w:pPr>
                  <w:r>
                    <w:rPr>
                      <w:rFonts w:hint="eastAsia" w:ascii="Times New Roman" w:hAnsi="Times New Roman"/>
                      <w:color w:val="auto"/>
                      <w:szCs w:val="21"/>
                    </w:rPr>
                    <w:t>《地表水环境质量标准》GB3838-2002中</w:t>
                  </w:r>
                  <w:r>
                    <w:rPr>
                      <w:rFonts w:hint="eastAsia" w:ascii="宋体" w:hAnsi="宋体"/>
                      <w:color w:val="auto"/>
                      <w:szCs w:val="21"/>
                    </w:rPr>
                    <w:t>Ⅲ</w:t>
                  </w:r>
                  <w:r>
                    <w:rPr>
                      <w:rFonts w:hint="eastAsia" w:ascii="Times New Roman" w:hAnsi="Times New Roman"/>
                      <w:color w:val="auto"/>
                      <w:szCs w:val="21"/>
                    </w:rPr>
                    <w:t>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17"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2</w:t>
                  </w:r>
                </w:p>
              </w:tc>
              <w:tc>
                <w:tcPr>
                  <w:tcW w:w="1636" w:type="dxa"/>
                  <w:noWrap w:val="0"/>
                  <w:vAlign w:val="center"/>
                </w:tcPr>
                <w:p>
                  <w:pPr>
                    <w:jc w:val="center"/>
                    <w:rPr>
                      <w:rFonts w:ascii="Times New Roman" w:hAnsi="Times New Roman"/>
                      <w:bCs/>
                      <w:color w:val="auto"/>
                      <w:szCs w:val="21"/>
                    </w:rPr>
                  </w:pPr>
                  <w:r>
                    <w:rPr>
                      <w:rFonts w:hint="eastAsia" w:ascii="Times New Roman" w:hAnsi="Times New Roman"/>
                      <w:bCs/>
                      <w:color w:val="auto"/>
                      <w:szCs w:val="21"/>
                    </w:rPr>
                    <w:t>C</w:t>
                  </w:r>
                  <w:r>
                    <w:rPr>
                      <w:rFonts w:ascii="Times New Roman" w:hAnsi="Times New Roman"/>
                      <w:bCs/>
                      <w:color w:val="auto"/>
                      <w:szCs w:val="21"/>
                    </w:rPr>
                    <w:t>O</w:t>
                  </w:r>
                  <w:r>
                    <w:rPr>
                      <w:rFonts w:hint="eastAsia" w:ascii="Times New Roman" w:hAnsi="Times New Roman"/>
                      <w:bCs/>
                      <w:color w:val="auto"/>
                      <w:szCs w:val="21"/>
                    </w:rPr>
                    <w:t>D</w:t>
                  </w:r>
                </w:p>
              </w:tc>
              <w:tc>
                <w:tcPr>
                  <w:tcW w:w="1069"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mg/L</w:t>
                  </w:r>
                </w:p>
              </w:tc>
              <w:tc>
                <w:tcPr>
                  <w:tcW w:w="2082" w:type="dxa"/>
                  <w:noWrap w:val="0"/>
                  <w:vAlign w:val="center"/>
                </w:tcPr>
                <w:p>
                  <w:pPr>
                    <w:jc w:val="center"/>
                    <w:rPr>
                      <w:rFonts w:ascii="Times New Roman" w:hAnsi="Times New Roman"/>
                      <w:bCs/>
                      <w:color w:val="auto"/>
                      <w:szCs w:val="21"/>
                    </w:rPr>
                  </w:pPr>
                  <w:r>
                    <w:rPr>
                      <w:rFonts w:hint="eastAsia" w:ascii="Times New Roman" w:hAnsi="Times New Roman"/>
                      <w:bCs/>
                      <w:color w:val="auto"/>
                      <w:szCs w:val="21"/>
                    </w:rPr>
                    <w:t>≤20</w:t>
                  </w:r>
                </w:p>
              </w:tc>
              <w:tc>
                <w:tcPr>
                  <w:tcW w:w="2727" w:type="dxa"/>
                  <w:vMerge w:val="continue"/>
                  <w:noWrap w:val="0"/>
                  <w:vAlign w:val="center"/>
                </w:tcPr>
                <w:p>
                  <w:pPr>
                    <w:jc w:val="center"/>
                    <w:rPr>
                      <w:rFonts w:hint="eastAsia" w:ascii="Times New Roman" w:hAnsi="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17"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3</w:t>
                  </w:r>
                </w:p>
              </w:tc>
              <w:tc>
                <w:tcPr>
                  <w:tcW w:w="1636" w:type="dxa"/>
                  <w:noWrap w:val="0"/>
                  <w:vAlign w:val="center"/>
                </w:tcPr>
                <w:p>
                  <w:pPr>
                    <w:jc w:val="center"/>
                    <w:rPr>
                      <w:rFonts w:ascii="Times New Roman" w:hAnsi="Times New Roman"/>
                      <w:bCs/>
                      <w:color w:val="auto"/>
                      <w:szCs w:val="21"/>
                    </w:rPr>
                  </w:pPr>
                  <w:r>
                    <w:rPr>
                      <w:rFonts w:hint="eastAsia" w:ascii="Times New Roman" w:hAnsi="Times New Roman"/>
                      <w:bCs/>
                      <w:color w:val="auto"/>
                      <w:szCs w:val="21"/>
                    </w:rPr>
                    <w:t>SS</w:t>
                  </w:r>
                </w:p>
              </w:tc>
              <w:tc>
                <w:tcPr>
                  <w:tcW w:w="1069"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m</w:t>
                  </w:r>
                  <w:r>
                    <w:rPr>
                      <w:rStyle w:val="31"/>
                      <w:rFonts w:hint="eastAsia" w:ascii="Times New Roman" w:hAnsi="Times New Roman"/>
                      <w:color w:val="auto"/>
                      <w:kern w:val="0"/>
                      <w:szCs w:val="21"/>
                    </w:rPr>
                    <w:t>g</w:t>
                  </w:r>
                  <w:r>
                    <w:rPr>
                      <w:rStyle w:val="31"/>
                      <w:rFonts w:ascii="Times New Roman" w:hAnsi="Times New Roman"/>
                      <w:color w:val="auto"/>
                      <w:kern w:val="0"/>
                      <w:szCs w:val="21"/>
                    </w:rPr>
                    <w:t>/L</w:t>
                  </w:r>
                </w:p>
              </w:tc>
              <w:tc>
                <w:tcPr>
                  <w:tcW w:w="2082" w:type="dxa"/>
                  <w:noWrap w:val="0"/>
                  <w:vAlign w:val="center"/>
                </w:tcPr>
                <w:p>
                  <w:pPr>
                    <w:jc w:val="center"/>
                    <w:rPr>
                      <w:rFonts w:hint="eastAsia" w:ascii="Times New Roman" w:hAnsi="Times New Roman" w:eastAsia="宋体"/>
                      <w:bCs/>
                      <w:color w:val="auto"/>
                      <w:szCs w:val="21"/>
                      <w:lang w:eastAsia="zh-CN"/>
                    </w:rPr>
                  </w:pPr>
                  <w:r>
                    <w:rPr>
                      <w:rFonts w:hint="eastAsia"/>
                      <w:bCs/>
                      <w:color w:val="auto"/>
                      <w:szCs w:val="21"/>
                      <w:lang w:val="en-US" w:eastAsia="zh-CN"/>
                    </w:rPr>
                    <w:t>/</w:t>
                  </w:r>
                </w:p>
              </w:tc>
              <w:tc>
                <w:tcPr>
                  <w:tcW w:w="2727" w:type="dxa"/>
                  <w:vMerge w:val="continue"/>
                  <w:noWrap w:val="0"/>
                  <w:vAlign w:val="center"/>
                </w:tcPr>
                <w:p>
                  <w:pPr>
                    <w:jc w:val="center"/>
                    <w:rPr>
                      <w:rFonts w:hint="eastAsia" w:ascii="Times New Roman" w:hAnsi="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7"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4</w:t>
                  </w:r>
                </w:p>
              </w:tc>
              <w:tc>
                <w:tcPr>
                  <w:tcW w:w="1636" w:type="dxa"/>
                  <w:noWrap w:val="0"/>
                  <w:vAlign w:val="center"/>
                </w:tcPr>
                <w:p>
                  <w:pPr>
                    <w:jc w:val="center"/>
                    <w:rPr>
                      <w:rFonts w:ascii="Times New Roman" w:hAnsi="Times New Roman"/>
                      <w:bCs/>
                      <w:color w:val="auto"/>
                      <w:szCs w:val="21"/>
                      <w:vertAlign w:val="subscript"/>
                    </w:rPr>
                  </w:pPr>
                  <w:r>
                    <w:rPr>
                      <w:rFonts w:hint="eastAsia" w:ascii="Times New Roman" w:hAnsi="Times New Roman"/>
                      <w:bCs/>
                      <w:color w:val="auto"/>
                      <w:szCs w:val="21"/>
                    </w:rPr>
                    <w:t>BOD</w:t>
                  </w:r>
                  <w:r>
                    <w:rPr>
                      <w:rFonts w:hint="eastAsia" w:ascii="Times New Roman" w:hAnsi="Times New Roman"/>
                      <w:bCs/>
                      <w:color w:val="auto"/>
                      <w:szCs w:val="21"/>
                      <w:vertAlign w:val="subscript"/>
                    </w:rPr>
                    <w:t>5</w:t>
                  </w:r>
                </w:p>
              </w:tc>
              <w:tc>
                <w:tcPr>
                  <w:tcW w:w="1069" w:type="dxa"/>
                  <w:noWrap w:val="0"/>
                  <w:vAlign w:val="center"/>
                </w:tcPr>
                <w:p>
                  <w:pPr>
                    <w:adjustRightInd w:val="0"/>
                    <w:jc w:val="center"/>
                    <w:textAlignment w:val="baseline"/>
                    <w:rPr>
                      <w:rStyle w:val="31"/>
                      <w:rFonts w:ascii="Times New Roman" w:hAnsi="Times New Roman"/>
                      <w:color w:val="auto"/>
                      <w:kern w:val="0"/>
                      <w:szCs w:val="21"/>
                    </w:rPr>
                  </w:pPr>
                  <w:r>
                    <w:rPr>
                      <w:rStyle w:val="31"/>
                      <w:rFonts w:hint="eastAsia" w:ascii="Times New Roman" w:hAnsi="Times New Roman"/>
                      <w:color w:val="auto"/>
                      <w:kern w:val="0"/>
                      <w:szCs w:val="21"/>
                    </w:rPr>
                    <w:t>m</w:t>
                  </w:r>
                  <w:r>
                    <w:rPr>
                      <w:rStyle w:val="31"/>
                      <w:rFonts w:ascii="Times New Roman" w:hAnsi="Times New Roman"/>
                      <w:color w:val="auto"/>
                      <w:kern w:val="0"/>
                      <w:szCs w:val="21"/>
                    </w:rPr>
                    <w:t>g/L</w:t>
                  </w:r>
                </w:p>
              </w:tc>
              <w:tc>
                <w:tcPr>
                  <w:tcW w:w="2082" w:type="dxa"/>
                  <w:noWrap w:val="0"/>
                  <w:vAlign w:val="center"/>
                </w:tcPr>
                <w:p>
                  <w:pPr>
                    <w:jc w:val="center"/>
                    <w:rPr>
                      <w:rFonts w:ascii="Times New Roman" w:hAnsi="Times New Roman"/>
                      <w:bCs/>
                      <w:color w:val="auto"/>
                      <w:szCs w:val="21"/>
                    </w:rPr>
                  </w:pPr>
                  <w:r>
                    <w:rPr>
                      <w:rFonts w:hint="eastAsia" w:ascii="Times New Roman" w:hAnsi="Times New Roman"/>
                      <w:bCs/>
                      <w:color w:val="auto"/>
                      <w:szCs w:val="21"/>
                    </w:rPr>
                    <w:t>≤4</w:t>
                  </w:r>
                </w:p>
              </w:tc>
              <w:tc>
                <w:tcPr>
                  <w:tcW w:w="2727" w:type="dxa"/>
                  <w:vMerge w:val="continue"/>
                  <w:noWrap w:val="0"/>
                  <w:vAlign w:val="center"/>
                </w:tcPr>
                <w:p>
                  <w:pPr>
                    <w:jc w:val="center"/>
                    <w:rPr>
                      <w:rFonts w:hint="eastAsia" w:ascii="Times New Roman" w:hAnsi="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917" w:type="dxa"/>
                  <w:noWrap w:val="0"/>
                  <w:vAlign w:val="center"/>
                </w:tcPr>
                <w:p>
                  <w:pPr>
                    <w:adjustRightInd w:val="0"/>
                    <w:jc w:val="center"/>
                    <w:textAlignment w:val="baseline"/>
                    <w:rPr>
                      <w:rStyle w:val="31"/>
                      <w:rFonts w:hint="eastAsia" w:ascii="Times New Roman" w:hAnsi="Times New Roman"/>
                      <w:color w:val="auto"/>
                      <w:kern w:val="0"/>
                      <w:szCs w:val="21"/>
                    </w:rPr>
                  </w:pPr>
                  <w:r>
                    <w:rPr>
                      <w:rStyle w:val="31"/>
                      <w:rFonts w:hint="eastAsia" w:ascii="Times New Roman" w:hAnsi="Times New Roman"/>
                      <w:color w:val="auto"/>
                      <w:kern w:val="0"/>
                      <w:szCs w:val="21"/>
                    </w:rPr>
                    <w:t>5</w:t>
                  </w:r>
                </w:p>
              </w:tc>
              <w:tc>
                <w:tcPr>
                  <w:tcW w:w="1636" w:type="dxa"/>
                  <w:noWrap w:val="0"/>
                  <w:vAlign w:val="center"/>
                </w:tcPr>
                <w:p>
                  <w:pPr>
                    <w:jc w:val="center"/>
                    <w:rPr>
                      <w:rFonts w:ascii="Times New Roman" w:hAnsi="Times New Roman"/>
                      <w:bCs/>
                      <w:color w:val="auto"/>
                      <w:szCs w:val="21"/>
                    </w:rPr>
                  </w:pPr>
                  <w:r>
                    <w:rPr>
                      <w:rFonts w:hint="eastAsia" w:ascii="Times New Roman" w:hAnsi="Times New Roman"/>
                      <w:bCs/>
                      <w:color w:val="auto"/>
                      <w:szCs w:val="21"/>
                    </w:rPr>
                    <w:t>氨氮</w:t>
                  </w:r>
                </w:p>
              </w:tc>
              <w:tc>
                <w:tcPr>
                  <w:tcW w:w="1069"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mg/L</w:t>
                  </w:r>
                </w:p>
              </w:tc>
              <w:tc>
                <w:tcPr>
                  <w:tcW w:w="2082" w:type="dxa"/>
                  <w:noWrap w:val="0"/>
                  <w:vAlign w:val="center"/>
                </w:tcPr>
                <w:p>
                  <w:pPr>
                    <w:jc w:val="center"/>
                    <w:rPr>
                      <w:rFonts w:ascii="Times New Roman" w:hAnsi="Times New Roman"/>
                      <w:bCs/>
                      <w:color w:val="auto"/>
                      <w:szCs w:val="21"/>
                    </w:rPr>
                  </w:pPr>
                  <w:r>
                    <w:rPr>
                      <w:rFonts w:hint="eastAsia" w:ascii="Times New Roman" w:hAnsi="Times New Roman"/>
                      <w:bCs/>
                      <w:color w:val="auto"/>
                      <w:szCs w:val="21"/>
                    </w:rPr>
                    <w:t>≤1.0</w:t>
                  </w:r>
                </w:p>
              </w:tc>
              <w:tc>
                <w:tcPr>
                  <w:tcW w:w="2727" w:type="dxa"/>
                  <w:vMerge w:val="continue"/>
                  <w:noWrap w:val="0"/>
                  <w:vAlign w:val="center"/>
                </w:tcPr>
                <w:p>
                  <w:pPr>
                    <w:jc w:val="center"/>
                    <w:rPr>
                      <w:rFonts w:hint="eastAsia" w:ascii="Times New Roman" w:hAnsi="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17" w:type="dxa"/>
                  <w:noWrap w:val="0"/>
                  <w:vAlign w:val="center"/>
                </w:tcPr>
                <w:p>
                  <w:pPr>
                    <w:adjustRightInd w:val="0"/>
                    <w:jc w:val="center"/>
                    <w:textAlignment w:val="baseline"/>
                    <w:rPr>
                      <w:rStyle w:val="31"/>
                      <w:rFonts w:hint="eastAsia" w:ascii="Times New Roman" w:hAnsi="Times New Roman"/>
                      <w:color w:val="auto"/>
                      <w:kern w:val="0"/>
                      <w:szCs w:val="21"/>
                    </w:rPr>
                  </w:pPr>
                  <w:r>
                    <w:rPr>
                      <w:rStyle w:val="31"/>
                      <w:rFonts w:hint="eastAsia" w:ascii="Times New Roman" w:hAnsi="Times New Roman"/>
                      <w:color w:val="auto"/>
                      <w:kern w:val="0"/>
                      <w:szCs w:val="21"/>
                    </w:rPr>
                    <w:t>6</w:t>
                  </w:r>
                </w:p>
              </w:tc>
              <w:tc>
                <w:tcPr>
                  <w:tcW w:w="1636"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总氮</w:t>
                  </w:r>
                </w:p>
              </w:tc>
              <w:tc>
                <w:tcPr>
                  <w:tcW w:w="1069"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mg/L</w:t>
                  </w:r>
                </w:p>
              </w:tc>
              <w:tc>
                <w:tcPr>
                  <w:tcW w:w="2082"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≤1.0</w:t>
                  </w:r>
                </w:p>
              </w:tc>
              <w:tc>
                <w:tcPr>
                  <w:tcW w:w="2727" w:type="dxa"/>
                  <w:vMerge w:val="continue"/>
                  <w:noWrap w:val="0"/>
                  <w:vAlign w:val="center"/>
                </w:tcPr>
                <w:p>
                  <w:pPr>
                    <w:jc w:val="center"/>
                    <w:rPr>
                      <w:rFonts w:hint="eastAsia" w:ascii="Times New Roman" w:hAnsi="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17" w:type="dxa"/>
                  <w:noWrap w:val="0"/>
                  <w:vAlign w:val="center"/>
                </w:tcPr>
                <w:p>
                  <w:pPr>
                    <w:adjustRightInd w:val="0"/>
                    <w:jc w:val="center"/>
                    <w:textAlignment w:val="baseline"/>
                    <w:rPr>
                      <w:rStyle w:val="31"/>
                      <w:rFonts w:hint="eastAsia" w:ascii="Times New Roman" w:hAnsi="Times New Roman"/>
                      <w:color w:val="auto"/>
                      <w:kern w:val="0"/>
                      <w:szCs w:val="21"/>
                    </w:rPr>
                  </w:pPr>
                  <w:r>
                    <w:rPr>
                      <w:rStyle w:val="31"/>
                      <w:rFonts w:hint="eastAsia" w:ascii="Times New Roman" w:hAnsi="Times New Roman"/>
                      <w:color w:val="auto"/>
                      <w:kern w:val="0"/>
                      <w:szCs w:val="21"/>
                    </w:rPr>
                    <w:t>7</w:t>
                  </w:r>
                </w:p>
              </w:tc>
              <w:tc>
                <w:tcPr>
                  <w:tcW w:w="1636"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总磷</w:t>
                  </w:r>
                </w:p>
              </w:tc>
              <w:tc>
                <w:tcPr>
                  <w:tcW w:w="1069" w:type="dxa"/>
                  <w:noWrap w:val="0"/>
                  <w:vAlign w:val="center"/>
                </w:tcPr>
                <w:p>
                  <w:pPr>
                    <w:adjustRightInd w:val="0"/>
                    <w:jc w:val="center"/>
                    <w:textAlignment w:val="baseline"/>
                    <w:rPr>
                      <w:rStyle w:val="31"/>
                      <w:rFonts w:ascii="Times New Roman" w:hAnsi="Times New Roman"/>
                      <w:color w:val="auto"/>
                      <w:kern w:val="0"/>
                      <w:szCs w:val="21"/>
                    </w:rPr>
                  </w:pPr>
                  <w:r>
                    <w:rPr>
                      <w:rStyle w:val="31"/>
                      <w:rFonts w:hint="eastAsia" w:ascii="Times New Roman" w:hAnsi="Times New Roman"/>
                      <w:color w:val="auto"/>
                      <w:kern w:val="0"/>
                      <w:szCs w:val="21"/>
                    </w:rPr>
                    <w:t>m</w:t>
                  </w:r>
                  <w:r>
                    <w:rPr>
                      <w:rStyle w:val="31"/>
                      <w:rFonts w:ascii="Times New Roman" w:hAnsi="Times New Roman"/>
                      <w:color w:val="auto"/>
                      <w:kern w:val="0"/>
                      <w:szCs w:val="21"/>
                    </w:rPr>
                    <w:t>g/L</w:t>
                  </w:r>
                </w:p>
              </w:tc>
              <w:tc>
                <w:tcPr>
                  <w:tcW w:w="2082"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≤0.2</w:t>
                  </w:r>
                </w:p>
              </w:tc>
              <w:tc>
                <w:tcPr>
                  <w:tcW w:w="2727" w:type="dxa"/>
                  <w:vMerge w:val="continue"/>
                  <w:noWrap w:val="0"/>
                  <w:vAlign w:val="center"/>
                </w:tcPr>
                <w:p>
                  <w:pPr>
                    <w:jc w:val="center"/>
                    <w:rPr>
                      <w:rFonts w:hint="eastAsia" w:ascii="Times New Roman" w:hAnsi="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17" w:type="dxa"/>
                  <w:noWrap w:val="0"/>
                  <w:vAlign w:val="center"/>
                </w:tcPr>
                <w:p>
                  <w:pPr>
                    <w:adjustRightInd w:val="0"/>
                    <w:jc w:val="center"/>
                    <w:textAlignment w:val="baseline"/>
                    <w:rPr>
                      <w:rStyle w:val="31"/>
                      <w:rFonts w:hint="eastAsia" w:ascii="Times New Roman" w:hAnsi="Times New Roman"/>
                      <w:color w:val="auto"/>
                      <w:kern w:val="0"/>
                      <w:szCs w:val="21"/>
                    </w:rPr>
                  </w:pPr>
                  <w:r>
                    <w:rPr>
                      <w:rStyle w:val="31"/>
                      <w:rFonts w:hint="eastAsia" w:ascii="Times New Roman" w:hAnsi="Times New Roman"/>
                      <w:color w:val="auto"/>
                      <w:kern w:val="0"/>
                      <w:szCs w:val="21"/>
                    </w:rPr>
                    <w:t>8</w:t>
                  </w:r>
                </w:p>
              </w:tc>
              <w:tc>
                <w:tcPr>
                  <w:tcW w:w="1636"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石油类</w:t>
                  </w:r>
                </w:p>
              </w:tc>
              <w:tc>
                <w:tcPr>
                  <w:tcW w:w="1069" w:type="dxa"/>
                  <w:noWrap w:val="0"/>
                  <w:vAlign w:val="center"/>
                </w:tcPr>
                <w:p>
                  <w:pPr>
                    <w:adjustRightInd w:val="0"/>
                    <w:jc w:val="center"/>
                    <w:textAlignment w:val="baseline"/>
                    <w:rPr>
                      <w:rStyle w:val="31"/>
                      <w:rFonts w:ascii="Times New Roman" w:hAnsi="Times New Roman"/>
                      <w:color w:val="auto"/>
                      <w:kern w:val="0"/>
                      <w:szCs w:val="21"/>
                    </w:rPr>
                  </w:pPr>
                  <w:r>
                    <w:rPr>
                      <w:rStyle w:val="31"/>
                      <w:rFonts w:ascii="Times New Roman" w:hAnsi="Times New Roman"/>
                      <w:color w:val="auto"/>
                      <w:kern w:val="0"/>
                      <w:szCs w:val="21"/>
                    </w:rPr>
                    <w:t>m</w:t>
                  </w:r>
                  <w:r>
                    <w:rPr>
                      <w:rStyle w:val="31"/>
                      <w:rFonts w:hint="eastAsia" w:ascii="Times New Roman" w:hAnsi="Times New Roman"/>
                      <w:color w:val="auto"/>
                      <w:kern w:val="0"/>
                      <w:szCs w:val="21"/>
                    </w:rPr>
                    <w:t>g</w:t>
                  </w:r>
                  <w:r>
                    <w:rPr>
                      <w:rStyle w:val="31"/>
                      <w:rFonts w:ascii="Times New Roman" w:hAnsi="Times New Roman"/>
                      <w:color w:val="auto"/>
                      <w:kern w:val="0"/>
                      <w:szCs w:val="21"/>
                    </w:rPr>
                    <w:t>/L</w:t>
                  </w:r>
                </w:p>
              </w:tc>
              <w:tc>
                <w:tcPr>
                  <w:tcW w:w="2082"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≤0.05</w:t>
                  </w:r>
                </w:p>
              </w:tc>
              <w:tc>
                <w:tcPr>
                  <w:tcW w:w="2727" w:type="dxa"/>
                  <w:vMerge w:val="continue"/>
                  <w:noWrap w:val="0"/>
                  <w:vAlign w:val="center"/>
                </w:tcPr>
                <w:p>
                  <w:pPr>
                    <w:jc w:val="center"/>
                    <w:rPr>
                      <w:rFonts w:hint="eastAsia" w:ascii="Times New Roman" w:hAnsi="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17" w:type="dxa"/>
                  <w:noWrap w:val="0"/>
                  <w:vAlign w:val="center"/>
                </w:tcPr>
                <w:p>
                  <w:pPr>
                    <w:adjustRightInd w:val="0"/>
                    <w:jc w:val="center"/>
                    <w:textAlignment w:val="baseline"/>
                    <w:rPr>
                      <w:rStyle w:val="31"/>
                      <w:rFonts w:hint="eastAsia" w:ascii="Times New Roman" w:hAnsi="Times New Roman"/>
                      <w:color w:val="auto"/>
                      <w:kern w:val="0"/>
                      <w:szCs w:val="21"/>
                    </w:rPr>
                  </w:pPr>
                  <w:r>
                    <w:rPr>
                      <w:rStyle w:val="31"/>
                      <w:rFonts w:hint="eastAsia" w:ascii="Times New Roman" w:hAnsi="Times New Roman"/>
                      <w:color w:val="auto"/>
                      <w:kern w:val="0"/>
                      <w:szCs w:val="21"/>
                    </w:rPr>
                    <w:t>9</w:t>
                  </w:r>
                </w:p>
              </w:tc>
              <w:tc>
                <w:tcPr>
                  <w:tcW w:w="1636"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粪大肠菌群</w:t>
                  </w:r>
                </w:p>
              </w:tc>
              <w:tc>
                <w:tcPr>
                  <w:tcW w:w="1069" w:type="dxa"/>
                  <w:noWrap w:val="0"/>
                  <w:vAlign w:val="center"/>
                </w:tcPr>
                <w:p>
                  <w:pPr>
                    <w:jc w:val="center"/>
                    <w:rPr>
                      <w:rFonts w:ascii="Times New Roman" w:hAnsi="Times New Roman"/>
                      <w:color w:val="auto"/>
                      <w:szCs w:val="21"/>
                    </w:rPr>
                  </w:pPr>
                  <w:r>
                    <w:rPr>
                      <w:rStyle w:val="31"/>
                      <w:rFonts w:hint="eastAsia" w:ascii="Times New Roman" w:hAnsi="Times New Roman"/>
                      <w:color w:val="auto"/>
                      <w:kern w:val="0"/>
                      <w:szCs w:val="21"/>
                    </w:rPr>
                    <w:t>个</w:t>
                  </w:r>
                  <w:r>
                    <w:rPr>
                      <w:rStyle w:val="31"/>
                      <w:rFonts w:ascii="Times New Roman" w:hAnsi="Times New Roman"/>
                      <w:color w:val="auto"/>
                      <w:kern w:val="0"/>
                      <w:szCs w:val="21"/>
                    </w:rPr>
                    <w:t>/L</w:t>
                  </w:r>
                </w:p>
              </w:tc>
              <w:tc>
                <w:tcPr>
                  <w:tcW w:w="2082"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≤1000</w:t>
                  </w:r>
                  <w:r>
                    <w:rPr>
                      <w:rFonts w:ascii="Times New Roman" w:hAnsi="Times New Roman"/>
                      <w:bCs/>
                      <w:color w:val="auto"/>
                      <w:szCs w:val="21"/>
                    </w:rPr>
                    <w:t>0</w:t>
                  </w:r>
                </w:p>
              </w:tc>
              <w:tc>
                <w:tcPr>
                  <w:tcW w:w="2727" w:type="dxa"/>
                  <w:vMerge w:val="continue"/>
                  <w:noWrap w:val="0"/>
                  <w:vAlign w:val="center"/>
                </w:tcPr>
                <w:p>
                  <w:pPr>
                    <w:jc w:val="center"/>
                    <w:rPr>
                      <w:rFonts w:hint="eastAsia" w:ascii="Times New Roman" w:hAnsi="Times New Roman"/>
                      <w:bCs/>
                      <w:color w:val="auto"/>
                      <w:szCs w:val="21"/>
                    </w:rPr>
                  </w:pPr>
                </w:p>
              </w:tc>
            </w:tr>
          </w:tbl>
          <w:p>
            <w:pPr>
              <w:spacing w:line="360" w:lineRule="auto"/>
              <w:jc w:val="left"/>
              <w:rPr>
                <w:rFonts w:hint="eastAsia" w:ascii="Times New Roman" w:hAnsi="Times New Roman"/>
                <w:bCs/>
                <w:color w:val="auto"/>
                <w:sz w:val="18"/>
                <w:szCs w:val="18"/>
              </w:rPr>
            </w:pPr>
          </w:p>
          <w:p>
            <w:pPr>
              <w:spacing w:line="360" w:lineRule="auto"/>
              <w:rPr>
                <w:rFonts w:hint="eastAsia" w:ascii="Times New Roman" w:hAnsi="Times New Roman"/>
                <w:b/>
                <w:color w:val="auto"/>
                <w:sz w:val="24"/>
              </w:rPr>
            </w:pPr>
            <w:r>
              <w:rPr>
                <w:rFonts w:hint="eastAsia" w:ascii="Times New Roman" w:hAnsi="Times New Roman"/>
                <w:b/>
                <w:color w:val="auto"/>
                <w:sz w:val="24"/>
              </w:rPr>
              <w:t>4.3 声环境质量标准</w:t>
            </w:r>
          </w:p>
          <w:p>
            <w:pPr>
              <w:spacing w:line="360" w:lineRule="auto"/>
              <w:ind w:firstLine="480" w:firstLineChars="200"/>
              <w:rPr>
                <w:rFonts w:ascii="Times New Roman" w:hAnsi="Times New Roman"/>
                <w:b/>
                <w:color w:val="auto"/>
                <w:szCs w:val="21"/>
              </w:rPr>
            </w:pPr>
            <w:r>
              <w:rPr>
                <w:rFonts w:hint="eastAsia" w:ascii="Times New Roman" w:hAnsi="Times New Roman"/>
                <w:color w:val="auto"/>
                <w:sz w:val="24"/>
              </w:rPr>
              <w:t>项目所在区域的声环境质量执行《声环境质量标准》（GB3096-2008）中2类标准。</w:t>
            </w:r>
            <w:r>
              <w:rPr>
                <w:rFonts w:ascii="Times New Roman" w:hAnsi="Times New Roman"/>
                <w:color w:val="auto"/>
                <w:sz w:val="24"/>
              </w:rPr>
              <w:t>具体标准值见表</w:t>
            </w:r>
            <w:r>
              <w:rPr>
                <w:rFonts w:hint="eastAsia" w:ascii="Times New Roman" w:hAnsi="Times New Roman"/>
                <w:color w:val="auto"/>
                <w:sz w:val="24"/>
              </w:rPr>
              <w:t>4-3</w:t>
            </w:r>
            <w:r>
              <w:rPr>
                <w:rFonts w:ascii="Times New Roman" w:hAnsi="Times New Roman"/>
                <w:color w:val="auto"/>
                <w:sz w:val="24"/>
              </w:rPr>
              <w:t>。</w:t>
            </w:r>
          </w:p>
          <w:p>
            <w:pPr>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4-3：</w:t>
            </w:r>
            <w:r>
              <w:rPr>
                <w:rFonts w:ascii="Times New Roman" w:hAnsi="Times New Roman"/>
                <w:b/>
                <w:color w:val="auto"/>
                <w:szCs w:val="21"/>
              </w:rPr>
              <w:t>声环境质量标准限值  单位：dB（A）</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1182"/>
              <w:gridCol w:w="1134"/>
              <w:gridCol w:w="3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4" w:type="dxa"/>
                  <w:vMerge w:val="restart"/>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声环境功能区类别</w:t>
                  </w:r>
                </w:p>
              </w:tc>
              <w:tc>
                <w:tcPr>
                  <w:tcW w:w="2316" w:type="dxa"/>
                  <w:gridSpan w:val="2"/>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标准限值</w:t>
                  </w:r>
                </w:p>
              </w:tc>
              <w:tc>
                <w:tcPr>
                  <w:tcW w:w="3827" w:type="dxa"/>
                  <w:vMerge w:val="restart"/>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4" w:type="dxa"/>
                  <w:vMerge w:val="continue"/>
                  <w:noWrap w:val="0"/>
                  <w:vAlign w:val="center"/>
                </w:tcPr>
                <w:p>
                  <w:pPr>
                    <w:jc w:val="center"/>
                    <w:rPr>
                      <w:rFonts w:hint="eastAsia" w:ascii="Times New Roman" w:hAnsi="Times New Roman"/>
                      <w:color w:val="auto"/>
                      <w:szCs w:val="21"/>
                    </w:rPr>
                  </w:pPr>
                </w:p>
              </w:tc>
              <w:tc>
                <w:tcPr>
                  <w:tcW w:w="1182" w:type="dxa"/>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昼间</w:t>
                  </w:r>
                </w:p>
              </w:tc>
              <w:tc>
                <w:tcPr>
                  <w:tcW w:w="1134" w:type="dxa"/>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夜间</w:t>
                  </w:r>
                </w:p>
              </w:tc>
              <w:tc>
                <w:tcPr>
                  <w:tcW w:w="3827" w:type="dxa"/>
                  <w:vMerge w:val="continue"/>
                  <w:noWrap w:val="0"/>
                  <w:vAlign w:val="center"/>
                </w:tcPr>
                <w:p>
                  <w:pPr>
                    <w:jc w:val="center"/>
                    <w:rPr>
                      <w:rFonts w:hint="eastAsia" w:ascii="Times New Roman" w:hAnsi="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4" w:type="dxa"/>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2类</w:t>
                  </w:r>
                </w:p>
              </w:tc>
              <w:tc>
                <w:tcPr>
                  <w:tcW w:w="1182" w:type="dxa"/>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60</w:t>
                  </w:r>
                </w:p>
              </w:tc>
              <w:tc>
                <w:tcPr>
                  <w:tcW w:w="1134" w:type="dxa"/>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50</w:t>
                  </w:r>
                </w:p>
              </w:tc>
              <w:tc>
                <w:tcPr>
                  <w:tcW w:w="3827" w:type="dxa"/>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《声环境质量标准》（GB3096-2008）</w:t>
                  </w:r>
                </w:p>
              </w:tc>
            </w:tr>
          </w:tbl>
          <w:p>
            <w:pPr>
              <w:spacing w:line="360" w:lineRule="auto"/>
              <w:rPr>
                <w:rFonts w:hint="eastAsia" w:ascii="Times New Roman" w:hAnsi="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6" w:hRule="atLeast"/>
        </w:trPr>
        <w:tc>
          <w:tcPr>
            <w:tcW w:w="568" w:type="dxa"/>
            <w:noWrap w:val="0"/>
            <w:vAlign w:val="center"/>
          </w:tcPr>
          <w:p>
            <w:pPr>
              <w:spacing w:line="360" w:lineRule="auto"/>
              <w:rPr>
                <w:rFonts w:hint="eastAsia" w:ascii="宋体" w:hAnsi="宋体"/>
                <w:b/>
                <w:color w:val="auto"/>
                <w:sz w:val="24"/>
                <w:szCs w:val="24"/>
              </w:rPr>
            </w:pPr>
          </w:p>
          <w:p>
            <w:pPr>
              <w:spacing w:line="360" w:lineRule="auto"/>
              <w:jc w:val="center"/>
              <w:rPr>
                <w:rFonts w:hint="eastAsia" w:ascii="宋体" w:hAnsi="宋体"/>
                <w:b/>
                <w:color w:val="auto"/>
                <w:sz w:val="24"/>
                <w:szCs w:val="24"/>
              </w:rPr>
            </w:pPr>
            <w:r>
              <w:rPr>
                <w:rFonts w:hint="eastAsia" w:ascii="宋体" w:hAnsi="宋体"/>
                <w:b/>
                <w:color w:val="auto"/>
                <w:sz w:val="24"/>
                <w:szCs w:val="24"/>
              </w:rPr>
              <w:t>污染物排放标准</w:t>
            </w:r>
          </w:p>
          <w:p>
            <w:pPr>
              <w:spacing w:line="360" w:lineRule="auto"/>
              <w:rPr>
                <w:rFonts w:hint="eastAsia" w:ascii="宋体" w:hAnsi="宋体"/>
                <w:b/>
                <w:color w:val="auto"/>
                <w:sz w:val="24"/>
                <w:szCs w:val="24"/>
              </w:rPr>
            </w:pPr>
          </w:p>
        </w:tc>
        <w:tc>
          <w:tcPr>
            <w:tcW w:w="8647" w:type="dxa"/>
            <w:noWrap w:val="0"/>
            <w:vAlign w:val="center"/>
          </w:tcPr>
          <w:p>
            <w:pPr>
              <w:spacing w:line="360" w:lineRule="auto"/>
              <w:rPr>
                <w:rFonts w:hint="eastAsia" w:ascii="Times New Roman" w:hAnsi="Times New Roman"/>
                <w:b/>
                <w:color w:val="auto"/>
                <w:sz w:val="24"/>
              </w:rPr>
            </w:pPr>
            <w:r>
              <w:rPr>
                <w:rFonts w:ascii="Times New Roman" w:hAnsi="Times New Roman"/>
                <w:b/>
                <w:color w:val="auto"/>
                <w:sz w:val="24"/>
              </w:rPr>
              <w:t>4.6</w:t>
            </w:r>
            <w:r>
              <w:rPr>
                <w:rFonts w:hint="eastAsia" w:ascii="Times New Roman" w:hAnsi="Times New Roman"/>
                <w:b/>
                <w:color w:val="auto"/>
                <w:sz w:val="24"/>
              </w:rPr>
              <w:t xml:space="preserve"> 废水排放标准</w:t>
            </w:r>
          </w:p>
          <w:p>
            <w:pPr>
              <w:spacing w:line="360" w:lineRule="auto"/>
              <w:ind w:firstLine="360" w:firstLineChars="150"/>
              <w:rPr>
                <w:rFonts w:ascii="Times New Roman" w:hAnsi="Times New Roman"/>
                <w:color w:val="auto"/>
                <w:sz w:val="24"/>
              </w:rPr>
            </w:pPr>
            <w:r>
              <w:rPr>
                <w:rFonts w:hint="eastAsia"/>
                <w:color w:val="auto"/>
                <w:sz w:val="24"/>
                <w:szCs w:val="24"/>
                <w:lang w:eastAsia="zh-CN"/>
              </w:rPr>
              <w:t>本项目生产废水（水雾</w:t>
            </w:r>
            <w:r>
              <w:rPr>
                <w:rFonts w:hint="eastAsia"/>
                <w:color w:val="auto"/>
                <w:sz w:val="24"/>
                <w:szCs w:val="24"/>
                <w:lang w:val="en-US" w:eastAsia="zh-CN"/>
              </w:rPr>
              <w:t>除尘废水、冷却水</w:t>
            </w:r>
            <w:r>
              <w:rPr>
                <w:rFonts w:hint="eastAsia"/>
                <w:color w:val="auto"/>
                <w:sz w:val="24"/>
                <w:szCs w:val="24"/>
                <w:lang w:eastAsia="zh-CN"/>
              </w:rPr>
              <w:t>）经</w:t>
            </w:r>
            <w:r>
              <w:rPr>
                <w:rFonts w:hint="eastAsia"/>
                <w:color w:val="auto"/>
                <w:sz w:val="24"/>
                <w:szCs w:val="24"/>
                <w:lang w:val="en-US" w:eastAsia="zh-CN"/>
              </w:rPr>
              <w:t>循环水</w:t>
            </w:r>
            <w:r>
              <w:rPr>
                <w:rFonts w:hint="eastAsia"/>
                <w:color w:val="auto"/>
                <w:sz w:val="24"/>
                <w:szCs w:val="24"/>
                <w:lang w:eastAsia="zh-CN"/>
              </w:rPr>
              <w:t>池沉淀后循环使用不外排</w:t>
            </w:r>
            <w:r>
              <w:rPr>
                <w:rFonts w:hint="eastAsia" w:ascii="Times New Roman" w:hAnsi="Times New Roman"/>
                <w:color w:val="auto"/>
                <w:sz w:val="24"/>
              </w:rPr>
              <w:t>。</w:t>
            </w:r>
          </w:p>
          <w:p>
            <w:pPr>
              <w:spacing w:line="360" w:lineRule="auto"/>
              <w:rPr>
                <w:color w:val="auto"/>
                <w:sz w:val="24"/>
                <w:szCs w:val="24"/>
              </w:rPr>
            </w:pPr>
            <w:r>
              <w:rPr>
                <w:rFonts w:ascii="Times New Roman" w:hAnsi="Times New Roman"/>
                <w:b/>
                <w:color w:val="auto"/>
                <w:sz w:val="24"/>
              </w:rPr>
              <w:t>4.7</w:t>
            </w:r>
            <w:r>
              <w:rPr>
                <w:rFonts w:hint="eastAsia" w:ascii="Times New Roman" w:hAnsi="Times New Roman"/>
                <w:b/>
                <w:color w:val="auto"/>
                <w:sz w:val="24"/>
              </w:rPr>
              <w:t xml:space="preserve"> 废气排放标准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本项目粉尘、SO</w:t>
            </w:r>
            <w:r>
              <w:rPr>
                <w:rFonts w:hint="eastAsia" w:ascii="Times New Roman" w:hAnsi="Times New Roman" w:cs="Times New Roman"/>
                <w:color w:val="auto"/>
                <w:sz w:val="24"/>
                <w:szCs w:val="24"/>
                <w:vertAlign w:val="subscript"/>
                <w:lang w:eastAsia="zh-CN"/>
              </w:rPr>
              <w:t>2</w:t>
            </w:r>
            <w:r>
              <w:rPr>
                <w:rFonts w:hint="eastAsia" w:ascii="Times New Roman" w:hAnsi="Times New Roman" w:cs="Times New Roman"/>
                <w:color w:val="auto"/>
                <w:sz w:val="24"/>
                <w:szCs w:val="24"/>
                <w:lang w:eastAsia="zh-CN"/>
              </w:rPr>
              <w:t>、氮氧化物执行《大气污染物综合排放标准》（GB16297-1996）二级标准和无组织排放监控浓度限值，烟尘废气执行《工业窑炉大气污染物排放标准》（GB9078-1996）二级标准限制：</w:t>
            </w:r>
            <w:r>
              <w:rPr>
                <w:rFonts w:hint="eastAsia" w:ascii="Times New Roman" w:hAnsi="Times New Roman" w:cs="Times New Roman"/>
                <w:color w:val="auto"/>
                <w:sz w:val="24"/>
                <w:szCs w:val="24"/>
                <w:lang w:val="zh-CN" w:eastAsia="zh-CN"/>
              </w:rPr>
              <w:t>烟尘排放浓度限值为200 mg/m</w:t>
            </w:r>
            <w:r>
              <w:rPr>
                <w:rFonts w:hint="eastAsia" w:ascii="Times New Roman" w:hAnsi="Times New Roman" w:cs="Times New Roman"/>
                <w:color w:val="auto"/>
                <w:sz w:val="24"/>
                <w:szCs w:val="24"/>
                <w:vertAlign w:val="superscript"/>
                <w:lang w:val="zh-CN" w:eastAsia="zh-CN"/>
              </w:rPr>
              <w:t>3</w:t>
            </w:r>
            <w:r>
              <w:rPr>
                <w:rFonts w:hint="eastAsia" w:ascii="Times New Roman" w:hAnsi="Times New Roman" w:cs="Times New Roman"/>
                <w:color w:val="auto"/>
                <w:sz w:val="24"/>
                <w:szCs w:val="24"/>
                <w:lang w:val="zh-CN" w:eastAsia="zh-CN"/>
              </w:rPr>
              <w:t>；烟气黑度（林格曼级）1</w:t>
            </w:r>
            <w:r>
              <w:rPr>
                <w:rFonts w:hint="eastAsia" w:ascii="Times New Roman" w:hAnsi="Times New Roman" w:cs="Times New Roman"/>
                <w:color w:val="auto"/>
                <w:sz w:val="24"/>
                <w:szCs w:val="24"/>
                <w:lang w:eastAsia="zh-CN"/>
              </w:rPr>
              <w:t>。《大气污染物综合排放标准》（GB16297-1996）二级标准排放标准值具体指标如下表4-4所示，《工业窑炉大气污染物排放标准》（GB9078-1996）见下表4-5。</w:t>
            </w:r>
          </w:p>
          <w:p>
            <w:pPr>
              <w:pStyle w:val="43"/>
              <w:shd w:val="clear" w:color="auto" w:fill="FFFFFF" w:themeFill="background1"/>
              <w:rPr>
                <w:b w:val="0"/>
                <w:color w:val="auto"/>
                <w:sz w:val="21"/>
              </w:rPr>
            </w:pPr>
            <w:r>
              <w:rPr>
                <w:rFonts w:hAnsiTheme="minorEastAsia" w:eastAsiaTheme="minorEastAsia"/>
                <w:color w:val="auto"/>
                <w:sz w:val="21"/>
                <w:szCs w:val="21"/>
              </w:rPr>
              <w:t>表4-</w:t>
            </w:r>
            <w:r>
              <w:rPr>
                <w:rFonts w:hint="eastAsia" w:hAnsiTheme="minorEastAsia" w:eastAsiaTheme="minorEastAsia"/>
                <w:color w:val="auto"/>
                <w:sz w:val="21"/>
                <w:szCs w:val="21"/>
              </w:rPr>
              <w:t>4：</w:t>
            </w:r>
            <w:r>
              <w:rPr>
                <w:rFonts w:hAnsiTheme="minorEastAsia" w:eastAsiaTheme="minorEastAsia"/>
                <w:color w:val="auto"/>
                <w:sz w:val="21"/>
                <w:szCs w:val="21"/>
              </w:rPr>
              <w:t>《大气污染物综合排放标准》（GB16297-1996）</w:t>
            </w:r>
          </w:p>
          <w:tbl>
            <w:tblPr>
              <w:tblStyle w:val="22"/>
              <w:tblW w:w="84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87"/>
              <w:gridCol w:w="2884"/>
              <w:gridCol w:w="1655"/>
              <w:gridCol w:w="23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587" w:type="dxa"/>
                  <w:vMerge w:val="restart"/>
                  <w:tcMar>
                    <w:left w:w="28" w:type="dxa"/>
                    <w:right w:w="28" w:type="dxa"/>
                  </w:tcMar>
                  <w:vAlign w:val="center"/>
                </w:tcPr>
                <w:p>
                  <w:pPr>
                    <w:pStyle w:val="42"/>
                    <w:rPr>
                      <w:color w:val="auto"/>
                    </w:rPr>
                  </w:pPr>
                  <w:r>
                    <w:rPr>
                      <w:color w:val="auto"/>
                    </w:rPr>
                    <w:t>污染物</w:t>
                  </w:r>
                </w:p>
              </w:tc>
              <w:tc>
                <w:tcPr>
                  <w:tcW w:w="2884" w:type="dxa"/>
                  <w:tcMar>
                    <w:left w:w="28" w:type="dxa"/>
                    <w:right w:w="28" w:type="dxa"/>
                  </w:tcMar>
                  <w:vAlign w:val="center"/>
                </w:tcPr>
                <w:p>
                  <w:pPr>
                    <w:pStyle w:val="42"/>
                    <w:rPr>
                      <w:color w:val="auto"/>
                    </w:rPr>
                  </w:pPr>
                  <w:r>
                    <w:rPr>
                      <w:color w:val="auto"/>
                    </w:rPr>
                    <w:t>最高允许排放速率，kg/h</w:t>
                  </w:r>
                </w:p>
              </w:tc>
              <w:tc>
                <w:tcPr>
                  <w:tcW w:w="1655" w:type="dxa"/>
                  <w:vMerge w:val="restart"/>
                  <w:tcMar>
                    <w:left w:w="28" w:type="dxa"/>
                    <w:right w:w="28" w:type="dxa"/>
                  </w:tcMar>
                  <w:vAlign w:val="center"/>
                </w:tcPr>
                <w:p>
                  <w:pPr>
                    <w:pStyle w:val="42"/>
                    <w:rPr>
                      <w:color w:val="auto"/>
                    </w:rPr>
                  </w:pPr>
                  <w:r>
                    <w:rPr>
                      <w:color w:val="auto"/>
                    </w:rPr>
                    <w:t>最高允许排放浓度mg/m</w:t>
                  </w:r>
                  <w:r>
                    <w:rPr>
                      <w:color w:val="auto"/>
                      <w:vertAlign w:val="superscript"/>
                    </w:rPr>
                    <w:t>3</w:t>
                  </w:r>
                </w:p>
              </w:tc>
              <w:tc>
                <w:tcPr>
                  <w:tcW w:w="2372" w:type="dxa"/>
                  <w:vMerge w:val="restart"/>
                  <w:tcMar>
                    <w:left w:w="28" w:type="dxa"/>
                    <w:right w:w="28" w:type="dxa"/>
                  </w:tcMar>
                  <w:vAlign w:val="center"/>
                </w:tcPr>
                <w:p>
                  <w:pPr>
                    <w:pStyle w:val="42"/>
                    <w:rPr>
                      <w:color w:val="auto"/>
                    </w:rPr>
                  </w:pPr>
                  <w:r>
                    <w:rPr>
                      <w:color w:val="auto"/>
                    </w:rPr>
                    <w:t>无组织排放监控浓度限值mg/m</w:t>
                  </w:r>
                  <w:r>
                    <w:rPr>
                      <w:color w:val="auto"/>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587" w:type="dxa"/>
                  <w:vMerge w:val="continue"/>
                  <w:tcMar>
                    <w:left w:w="28" w:type="dxa"/>
                    <w:right w:w="28" w:type="dxa"/>
                  </w:tcMar>
                  <w:vAlign w:val="center"/>
                </w:tcPr>
                <w:p>
                  <w:pPr>
                    <w:pStyle w:val="42"/>
                    <w:rPr>
                      <w:color w:val="auto"/>
                    </w:rPr>
                  </w:pPr>
                </w:p>
              </w:tc>
              <w:tc>
                <w:tcPr>
                  <w:tcW w:w="2884" w:type="dxa"/>
                  <w:tcMar>
                    <w:left w:w="28" w:type="dxa"/>
                    <w:right w:w="28" w:type="dxa"/>
                  </w:tcMar>
                  <w:vAlign w:val="center"/>
                </w:tcPr>
                <w:p>
                  <w:pPr>
                    <w:pStyle w:val="42"/>
                    <w:rPr>
                      <w:color w:val="auto"/>
                    </w:rPr>
                  </w:pPr>
                  <w:r>
                    <w:rPr>
                      <w:color w:val="auto"/>
                    </w:rPr>
                    <w:t>H=</w:t>
                  </w:r>
                  <w:r>
                    <w:rPr>
                      <w:rFonts w:hint="eastAsia"/>
                      <w:color w:val="auto"/>
                    </w:rPr>
                    <w:t>15</w:t>
                  </w:r>
                  <w:r>
                    <w:rPr>
                      <w:color w:val="auto"/>
                    </w:rPr>
                    <w:t>m</w:t>
                  </w:r>
                </w:p>
              </w:tc>
              <w:tc>
                <w:tcPr>
                  <w:tcW w:w="1655" w:type="dxa"/>
                  <w:vMerge w:val="continue"/>
                  <w:tcMar>
                    <w:left w:w="28" w:type="dxa"/>
                    <w:right w:w="28" w:type="dxa"/>
                  </w:tcMar>
                  <w:vAlign w:val="center"/>
                </w:tcPr>
                <w:p>
                  <w:pPr>
                    <w:pStyle w:val="42"/>
                    <w:rPr>
                      <w:color w:val="auto"/>
                    </w:rPr>
                  </w:pPr>
                </w:p>
              </w:tc>
              <w:tc>
                <w:tcPr>
                  <w:tcW w:w="2372" w:type="dxa"/>
                  <w:vMerge w:val="continue"/>
                  <w:tcMar>
                    <w:left w:w="28" w:type="dxa"/>
                    <w:right w:w="28" w:type="dxa"/>
                  </w:tcMar>
                  <w:vAlign w:val="center"/>
                </w:tcPr>
                <w:p>
                  <w:pPr>
                    <w:pStyle w:val="42"/>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587" w:type="dxa"/>
                  <w:tcMar>
                    <w:left w:w="28" w:type="dxa"/>
                    <w:right w:w="28" w:type="dxa"/>
                  </w:tcMar>
                  <w:vAlign w:val="center"/>
                </w:tcPr>
                <w:p>
                  <w:pPr>
                    <w:pStyle w:val="42"/>
                    <w:rPr>
                      <w:color w:val="auto"/>
                    </w:rPr>
                  </w:pPr>
                  <w:r>
                    <w:rPr>
                      <w:color w:val="auto"/>
                    </w:rPr>
                    <w:t>二氧化硫</w:t>
                  </w:r>
                </w:p>
              </w:tc>
              <w:tc>
                <w:tcPr>
                  <w:tcW w:w="2884" w:type="dxa"/>
                  <w:tcMar>
                    <w:left w:w="28" w:type="dxa"/>
                    <w:right w:w="28" w:type="dxa"/>
                  </w:tcMar>
                  <w:vAlign w:val="center"/>
                </w:tcPr>
                <w:p>
                  <w:pPr>
                    <w:pStyle w:val="42"/>
                    <w:rPr>
                      <w:color w:val="auto"/>
                    </w:rPr>
                  </w:pPr>
                  <w:r>
                    <w:rPr>
                      <w:rFonts w:hint="eastAsia"/>
                      <w:color w:val="auto"/>
                    </w:rPr>
                    <w:t>2.6</w:t>
                  </w:r>
                </w:p>
              </w:tc>
              <w:tc>
                <w:tcPr>
                  <w:tcW w:w="1655" w:type="dxa"/>
                  <w:tcMar>
                    <w:left w:w="28" w:type="dxa"/>
                    <w:right w:w="28" w:type="dxa"/>
                  </w:tcMar>
                  <w:vAlign w:val="center"/>
                </w:tcPr>
                <w:p>
                  <w:pPr>
                    <w:pStyle w:val="42"/>
                    <w:rPr>
                      <w:color w:val="auto"/>
                    </w:rPr>
                  </w:pPr>
                  <w:r>
                    <w:rPr>
                      <w:color w:val="auto"/>
                    </w:rPr>
                    <w:t>550</w:t>
                  </w:r>
                </w:p>
              </w:tc>
              <w:tc>
                <w:tcPr>
                  <w:tcW w:w="2372" w:type="dxa"/>
                  <w:tcMar>
                    <w:left w:w="28" w:type="dxa"/>
                    <w:right w:w="28" w:type="dxa"/>
                  </w:tcMar>
                  <w:vAlign w:val="center"/>
                </w:tcPr>
                <w:p>
                  <w:pPr>
                    <w:pStyle w:val="42"/>
                    <w:rPr>
                      <w:color w:val="auto"/>
                    </w:rPr>
                  </w:pPr>
                  <w:r>
                    <w:rPr>
                      <w:color w:val="auto"/>
                    </w:rPr>
                    <w:t>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587" w:type="dxa"/>
                  <w:tcMar>
                    <w:left w:w="28" w:type="dxa"/>
                    <w:right w:w="28" w:type="dxa"/>
                  </w:tcMar>
                  <w:vAlign w:val="center"/>
                </w:tcPr>
                <w:p>
                  <w:pPr>
                    <w:pStyle w:val="42"/>
                    <w:rPr>
                      <w:color w:val="auto"/>
                    </w:rPr>
                  </w:pPr>
                  <w:r>
                    <w:rPr>
                      <w:color w:val="auto"/>
                    </w:rPr>
                    <w:t>氮氧化物</w:t>
                  </w:r>
                </w:p>
              </w:tc>
              <w:tc>
                <w:tcPr>
                  <w:tcW w:w="2884" w:type="dxa"/>
                  <w:tcMar>
                    <w:left w:w="28" w:type="dxa"/>
                    <w:right w:w="28" w:type="dxa"/>
                  </w:tcMar>
                  <w:vAlign w:val="center"/>
                </w:tcPr>
                <w:p>
                  <w:pPr>
                    <w:pStyle w:val="42"/>
                    <w:rPr>
                      <w:color w:val="auto"/>
                    </w:rPr>
                  </w:pPr>
                  <w:r>
                    <w:rPr>
                      <w:rFonts w:hint="eastAsia"/>
                      <w:color w:val="auto"/>
                    </w:rPr>
                    <w:t>0.77</w:t>
                  </w:r>
                </w:p>
              </w:tc>
              <w:tc>
                <w:tcPr>
                  <w:tcW w:w="1655" w:type="dxa"/>
                  <w:tcMar>
                    <w:left w:w="28" w:type="dxa"/>
                    <w:right w:w="28" w:type="dxa"/>
                  </w:tcMar>
                  <w:vAlign w:val="center"/>
                </w:tcPr>
                <w:p>
                  <w:pPr>
                    <w:pStyle w:val="42"/>
                    <w:rPr>
                      <w:color w:val="auto"/>
                    </w:rPr>
                  </w:pPr>
                  <w:r>
                    <w:rPr>
                      <w:color w:val="auto"/>
                    </w:rPr>
                    <w:t>240</w:t>
                  </w:r>
                </w:p>
              </w:tc>
              <w:tc>
                <w:tcPr>
                  <w:tcW w:w="2372" w:type="dxa"/>
                  <w:tcMar>
                    <w:left w:w="28" w:type="dxa"/>
                    <w:right w:w="28" w:type="dxa"/>
                  </w:tcMar>
                  <w:vAlign w:val="center"/>
                </w:tcPr>
                <w:p>
                  <w:pPr>
                    <w:pStyle w:val="42"/>
                    <w:rPr>
                      <w:color w:val="auto"/>
                    </w:rPr>
                  </w:pPr>
                  <w:r>
                    <w:rPr>
                      <w:color w:val="auto"/>
                    </w:rP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9" w:hRule="atLeast"/>
                <w:jc w:val="center"/>
              </w:trPr>
              <w:tc>
                <w:tcPr>
                  <w:tcW w:w="1587" w:type="dxa"/>
                  <w:tcMar>
                    <w:left w:w="28" w:type="dxa"/>
                    <w:right w:w="28" w:type="dxa"/>
                  </w:tcMar>
                  <w:vAlign w:val="center"/>
                </w:tcPr>
                <w:p>
                  <w:pPr>
                    <w:pStyle w:val="42"/>
                    <w:rPr>
                      <w:color w:val="auto"/>
                    </w:rPr>
                  </w:pPr>
                  <w:r>
                    <w:rPr>
                      <w:color w:val="auto"/>
                    </w:rPr>
                    <w:t>颗粒物</w:t>
                  </w:r>
                </w:p>
              </w:tc>
              <w:tc>
                <w:tcPr>
                  <w:tcW w:w="2884" w:type="dxa"/>
                  <w:tcMar>
                    <w:left w:w="28" w:type="dxa"/>
                    <w:right w:w="28" w:type="dxa"/>
                  </w:tcMar>
                  <w:vAlign w:val="center"/>
                </w:tcPr>
                <w:p>
                  <w:pPr>
                    <w:pStyle w:val="42"/>
                    <w:rPr>
                      <w:strike/>
                      <w:color w:val="auto"/>
                    </w:rPr>
                  </w:pPr>
                  <w:r>
                    <w:rPr>
                      <w:rFonts w:hint="eastAsia"/>
                      <w:color w:val="auto"/>
                    </w:rPr>
                    <w:t>3.5</w:t>
                  </w:r>
                </w:p>
              </w:tc>
              <w:tc>
                <w:tcPr>
                  <w:tcW w:w="1655" w:type="dxa"/>
                  <w:tcMar>
                    <w:left w:w="28" w:type="dxa"/>
                    <w:right w:w="28" w:type="dxa"/>
                  </w:tcMar>
                  <w:vAlign w:val="center"/>
                </w:tcPr>
                <w:p>
                  <w:pPr>
                    <w:pStyle w:val="42"/>
                    <w:rPr>
                      <w:color w:val="auto"/>
                    </w:rPr>
                  </w:pPr>
                  <w:r>
                    <w:rPr>
                      <w:color w:val="auto"/>
                    </w:rPr>
                    <w:t>120</w:t>
                  </w:r>
                </w:p>
              </w:tc>
              <w:tc>
                <w:tcPr>
                  <w:tcW w:w="2372" w:type="dxa"/>
                  <w:tcMar>
                    <w:left w:w="28" w:type="dxa"/>
                    <w:right w:w="28" w:type="dxa"/>
                  </w:tcMar>
                  <w:vAlign w:val="center"/>
                </w:tcPr>
                <w:p>
                  <w:pPr>
                    <w:pStyle w:val="42"/>
                    <w:rPr>
                      <w:color w:val="auto"/>
                    </w:rPr>
                  </w:pPr>
                  <w:r>
                    <w:rPr>
                      <w:color w:val="auto"/>
                    </w:rPr>
                    <w:t>1.0</w:t>
                  </w:r>
                </w:p>
              </w:tc>
            </w:tr>
          </w:tbl>
          <w:p>
            <w:pPr>
              <w:pStyle w:val="43"/>
              <w:rPr>
                <w:rFonts w:hAnsiTheme="minorEastAsia" w:eastAsiaTheme="minorEastAsia"/>
                <w:color w:val="auto"/>
                <w:sz w:val="21"/>
                <w:szCs w:val="21"/>
              </w:rPr>
            </w:pPr>
            <w:r>
              <w:rPr>
                <w:rFonts w:hAnsiTheme="minorEastAsia" w:eastAsiaTheme="minorEastAsia"/>
                <w:color w:val="auto"/>
                <w:sz w:val="21"/>
                <w:szCs w:val="21"/>
              </w:rPr>
              <w:t>表</w:t>
            </w:r>
            <w:r>
              <w:rPr>
                <w:rFonts w:hint="eastAsia" w:hAnsiTheme="minorEastAsia" w:eastAsiaTheme="minorEastAsia"/>
                <w:color w:val="auto"/>
                <w:sz w:val="21"/>
                <w:szCs w:val="21"/>
              </w:rPr>
              <w:t>4-5</w:t>
            </w:r>
            <w:r>
              <w:rPr>
                <w:rFonts w:hAnsiTheme="minorEastAsia" w:eastAsiaTheme="minorEastAsia"/>
                <w:color w:val="auto"/>
                <w:sz w:val="21"/>
                <w:szCs w:val="21"/>
              </w:rPr>
              <w:t>工业炉窑大气污染物排放标准</w:t>
            </w:r>
          </w:p>
          <w:tbl>
            <w:tblPr>
              <w:tblStyle w:val="22"/>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789"/>
              <w:gridCol w:w="1539"/>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1786" w:type="dxa"/>
                  <w:vMerge w:val="restart"/>
                  <w:vAlign w:val="center"/>
                </w:tcPr>
                <w:p>
                  <w:pPr>
                    <w:pStyle w:val="42"/>
                    <w:rPr>
                      <w:color w:val="auto"/>
                      <w:kern w:val="0"/>
                    </w:rPr>
                  </w:pPr>
                  <w:r>
                    <w:rPr>
                      <w:rFonts w:hint="eastAsia"/>
                      <w:color w:val="auto"/>
                      <w:kern w:val="0"/>
                    </w:rPr>
                    <w:t>炉窑类别</w:t>
                  </w:r>
                </w:p>
              </w:tc>
              <w:tc>
                <w:tcPr>
                  <w:tcW w:w="4328" w:type="dxa"/>
                  <w:gridSpan w:val="2"/>
                  <w:vAlign w:val="center"/>
                </w:tcPr>
                <w:p>
                  <w:pPr>
                    <w:pStyle w:val="42"/>
                    <w:rPr>
                      <w:color w:val="auto"/>
                      <w:kern w:val="0"/>
                    </w:rPr>
                  </w:pPr>
                  <w:r>
                    <w:rPr>
                      <w:rFonts w:hint="eastAsia"/>
                      <w:color w:val="auto"/>
                      <w:kern w:val="0"/>
                    </w:rPr>
                    <w:t>排放限值</w:t>
                  </w:r>
                </w:p>
              </w:tc>
              <w:tc>
                <w:tcPr>
                  <w:tcW w:w="2325" w:type="dxa"/>
                  <w:vMerge w:val="restart"/>
                  <w:vAlign w:val="center"/>
                </w:tcPr>
                <w:p>
                  <w:pPr>
                    <w:pStyle w:val="42"/>
                    <w:rPr>
                      <w:color w:val="auto"/>
                      <w:kern w:val="0"/>
                    </w:rPr>
                  </w:pPr>
                  <w:r>
                    <w:rPr>
                      <w:color w:val="auto"/>
                      <w:kern w:val="0"/>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1786" w:type="dxa"/>
                  <w:vMerge w:val="continue"/>
                  <w:vAlign w:val="center"/>
                </w:tcPr>
                <w:p>
                  <w:pPr>
                    <w:pStyle w:val="42"/>
                    <w:rPr>
                      <w:color w:val="auto"/>
                      <w:kern w:val="0"/>
                    </w:rPr>
                  </w:pPr>
                </w:p>
              </w:tc>
              <w:tc>
                <w:tcPr>
                  <w:tcW w:w="2789" w:type="dxa"/>
                  <w:vAlign w:val="center"/>
                </w:tcPr>
                <w:p>
                  <w:pPr>
                    <w:pStyle w:val="42"/>
                    <w:rPr>
                      <w:color w:val="auto"/>
                      <w:kern w:val="0"/>
                    </w:rPr>
                  </w:pPr>
                  <w:r>
                    <w:rPr>
                      <w:rFonts w:hint="eastAsia"/>
                      <w:color w:val="auto"/>
                      <w:kern w:val="0"/>
                    </w:rPr>
                    <w:t>烟（粉）尘浓度</w:t>
                  </w:r>
                  <w:r>
                    <w:rPr>
                      <w:color w:val="auto"/>
                      <w:kern w:val="0"/>
                    </w:rPr>
                    <w:t>mg/</w:t>
                  </w:r>
                  <w:r>
                    <w:rPr>
                      <w:rFonts w:hint="eastAsia"/>
                      <w:color w:val="auto"/>
                      <w:kern w:val="0"/>
                    </w:rPr>
                    <w:t>m</w:t>
                  </w:r>
                  <w:r>
                    <w:rPr>
                      <w:rFonts w:hint="eastAsia" w:ascii="宋体" w:hAnsi="宋体" w:cs="宋体"/>
                      <w:color w:val="auto"/>
                      <w:kern w:val="0"/>
                    </w:rPr>
                    <w:t>³</w:t>
                  </w:r>
                </w:p>
              </w:tc>
              <w:tc>
                <w:tcPr>
                  <w:tcW w:w="1539" w:type="dxa"/>
                  <w:vAlign w:val="center"/>
                </w:tcPr>
                <w:p>
                  <w:pPr>
                    <w:pStyle w:val="42"/>
                    <w:rPr>
                      <w:color w:val="auto"/>
                      <w:kern w:val="0"/>
                    </w:rPr>
                  </w:pPr>
                  <w:r>
                    <w:rPr>
                      <w:rFonts w:hint="eastAsia"/>
                      <w:color w:val="auto"/>
                      <w:kern w:val="0"/>
                    </w:rPr>
                    <w:t>烟气黑度</w:t>
                  </w:r>
                </w:p>
              </w:tc>
              <w:tc>
                <w:tcPr>
                  <w:tcW w:w="2325" w:type="dxa"/>
                  <w:vMerge w:val="continue"/>
                  <w:vAlign w:val="center"/>
                </w:tcPr>
                <w:p>
                  <w:pPr>
                    <w:pStyle w:val="42"/>
                    <w:rPr>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1786" w:type="dxa"/>
                  <w:vAlign w:val="center"/>
                </w:tcPr>
                <w:p>
                  <w:pPr>
                    <w:pStyle w:val="42"/>
                    <w:rPr>
                      <w:color w:val="auto"/>
                      <w:kern w:val="0"/>
                    </w:rPr>
                  </w:pPr>
                  <w:r>
                    <w:rPr>
                      <w:rFonts w:hint="eastAsia"/>
                      <w:color w:val="auto"/>
                      <w:kern w:val="0"/>
                    </w:rPr>
                    <w:t>干燥炉、窑</w:t>
                  </w:r>
                </w:p>
              </w:tc>
              <w:tc>
                <w:tcPr>
                  <w:tcW w:w="2789" w:type="dxa"/>
                  <w:vAlign w:val="center"/>
                </w:tcPr>
                <w:p>
                  <w:pPr>
                    <w:pStyle w:val="42"/>
                    <w:rPr>
                      <w:color w:val="auto"/>
                      <w:kern w:val="0"/>
                    </w:rPr>
                  </w:pPr>
                  <w:r>
                    <w:rPr>
                      <w:rFonts w:hint="eastAsia"/>
                      <w:color w:val="auto"/>
                      <w:kern w:val="0"/>
                    </w:rPr>
                    <w:t>200</w:t>
                  </w:r>
                </w:p>
              </w:tc>
              <w:tc>
                <w:tcPr>
                  <w:tcW w:w="1539" w:type="dxa"/>
                  <w:vAlign w:val="center"/>
                </w:tcPr>
                <w:p>
                  <w:pPr>
                    <w:pStyle w:val="42"/>
                    <w:jc w:val="both"/>
                    <w:rPr>
                      <w:color w:val="auto"/>
                      <w:kern w:val="0"/>
                    </w:rPr>
                  </w:pPr>
                  <w:r>
                    <w:rPr>
                      <w:rFonts w:hint="eastAsia"/>
                      <w:color w:val="auto"/>
                      <w:kern w:val="0"/>
                    </w:rPr>
                    <w:t>1（林格曼级）</w:t>
                  </w:r>
                </w:p>
              </w:tc>
              <w:tc>
                <w:tcPr>
                  <w:tcW w:w="2325" w:type="dxa"/>
                  <w:vAlign w:val="center"/>
                </w:tcPr>
                <w:p>
                  <w:pPr>
                    <w:pStyle w:val="42"/>
                    <w:rPr>
                      <w:color w:val="auto"/>
                      <w:kern w:val="0"/>
                    </w:rPr>
                  </w:pPr>
                  <w:r>
                    <w:rPr>
                      <w:color w:val="auto"/>
                    </w:rPr>
                    <w:t>《工业炉窑大气污染物排放标准》</w:t>
                  </w:r>
                  <w:r>
                    <w:rPr>
                      <w:rFonts w:hint="eastAsia"/>
                      <w:color w:val="auto"/>
                    </w:rPr>
                    <w:t>二级</w:t>
                  </w:r>
                </w:p>
              </w:tc>
            </w:tr>
          </w:tbl>
          <w:p>
            <w:pPr>
              <w:rPr>
                <w:rFonts w:ascii="Times New Roman" w:hAnsi="Times New Roman"/>
                <w:color w:val="auto"/>
                <w:sz w:val="24"/>
              </w:rPr>
            </w:pPr>
          </w:p>
          <w:p>
            <w:pPr>
              <w:spacing w:line="360" w:lineRule="auto"/>
              <w:rPr>
                <w:rFonts w:hint="eastAsia" w:ascii="Times New Roman" w:hAnsi="Times New Roman"/>
                <w:b/>
                <w:color w:val="auto"/>
                <w:sz w:val="24"/>
              </w:rPr>
            </w:pPr>
            <w:r>
              <w:rPr>
                <w:rFonts w:ascii="Times New Roman" w:hAnsi="Times New Roman"/>
                <w:b/>
                <w:color w:val="auto"/>
                <w:sz w:val="24"/>
              </w:rPr>
              <w:t>4.8</w:t>
            </w:r>
            <w:r>
              <w:rPr>
                <w:rFonts w:hint="eastAsia" w:ascii="Times New Roman" w:hAnsi="Times New Roman"/>
                <w:b/>
                <w:color w:val="auto"/>
                <w:sz w:val="24"/>
              </w:rPr>
              <w:t xml:space="preserve"> 噪声排放标准</w:t>
            </w:r>
          </w:p>
          <w:p>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项目施工期噪声排放执行《建筑施工场界环境噪声排放标准》（</w:t>
            </w:r>
            <w:r>
              <w:rPr>
                <w:rFonts w:ascii="Times New Roman" w:hAnsi="Times New Roman"/>
                <w:color w:val="auto"/>
                <w:sz w:val="24"/>
              </w:rPr>
              <w:t>GB12523-2011</w:t>
            </w:r>
            <w:r>
              <w:rPr>
                <w:rFonts w:hint="eastAsia" w:ascii="Times New Roman" w:hAnsi="Times New Roman"/>
                <w:color w:val="auto"/>
                <w:sz w:val="24"/>
              </w:rPr>
              <w:t>）中的排放限值，具体标准限值如表</w:t>
            </w:r>
            <w:r>
              <w:rPr>
                <w:rFonts w:ascii="Times New Roman" w:hAnsi="Times New Roman"/>
                <w:color w:val="auto"/>
                <w:sz w:val="24"/>
              </w:rPr>
              <w:t>4-</w:t>
            </w:r>
            <w:r>
              <w:rPr>
                <w:rFonts w:hint="eastAsia"/>
                <w:color w:val="auto"/>
                <w:sz w:val="24"/>
                <w:lang w:val="en-US" w:eastAsia="zh-CN"/>
              </w:rPr>
              <w:t>6</w:t>
            </w:r>
            <w:r>
              <w:rPr>
                <w:rFonts w:hint="eastAsia" w:ascii="Times New Roman" w:hAnsi="Times New Roman"/>
                <w:color w:val="auto"/>
                <w:sz w:val="24"/>
              </w:rPr>
              <w:t>所示；营运期执行《工业企业厂界环境噪声排放标准》（GB12348-2008）中的2类排放限值。具体标准限值如表</w:t>
            </w:r>
            <w:r>
              <w:rPr>
                <w:rFonts w:ascii="Times New Roman" w:hAnsi="Times New Roman"/>
                <w:color w:val="auto"/>
                <w:sz w:val="24"/>
              </w:rPr>
              <w:t>4-</w:t>
            </w:r>
            <w:r>
              <w:rPr>
                <w:rFonts w:hint="eastAsia"/>
                <w:color w:val="auto"/>
                <w:sz w:val="24"/>
                <w:lang w:val="en-US" w:eastAsia="zh-CN"/>
              </w:rPr>
              <w:t>7</w:t>
            </w:r>
            <w:r>
              <w:rPr>
                <w:rFonts w:hint="eastAsia" w:ascii="Times New Roman" w:hAnsi="Times New Roman"/>
                <w:color w:val="auto"/>
                <w:sz w:val="24"/>
              </w:rPr>
              <w:t>所示。</w:t>
            </w:r>
          </w:p>
          <w:p>
            <w:pPr>
              <w:adjustRightInd w:val="0"/>
              <w:snapToGrid w:val="0"/>
              <w:jc w:val="center"/>
              <w:rPr>
                <w:rFonts w:ascii="Times New Roman" w:hAnsi="Times New Roman"/>
                <w:b/>
                <w:color w:val="auto"/>
                <w:szCs w:val="21"/>
              </w:rPr>
            </w:pPr>
            <w:r>
              <w:rPr>
                <w:rFonts w:ascii="Times New Roman" w:hAnsi="Times New Roman"/>
                <w:b/>
                <w:color w:val="auto"/>
                <w:szCs w:val="21"/>
              </w:rPr>
              <w:t>表4-</w:t>
            </w:r>
            <w:r>
              <w:rPr>
                <w:rFonts w:hint="eastAsia"/>
                <w:b/>
                <w:color w:val="auto"/>
                <w:szCs w:val="21"/>
                <w:lang w:val="en-US" w:eastAsia="zh-CN"/>
              </w:rPr>
              <w:t>6</w:t>
            </w:r>
            <w:r>
              <w:rPr>
                <w:rFonts w:hint="eastAsia" w:ascii="Times New Roman" w:hAnsi="Times New Roman"/>
                <w:b/>
                <w:color w:val="auto"/>
                <w:szCs w:val="21"/>
              </w:rPr>
              <w:t>：</w:t>
            </w:r>
            <w:r>
              <w:rPr>
                <w:rFonts w:ascii="Times New Roman" w:hAnsi="Times New Roman"/>
                <w:b/>
                <w:color w:val="auto"/>
                <w:szCs w:val="21"/>
              </w:rPr>
              <w:t>建筑施工场界环境噪声排放限值  单位：dB（A）</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2396"/>
              <w:gridCol w:w="3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07" w:type="dxa"/>
                  <w:gridSpan w:val="2"/>
                  <w:noWrap w:val="0"/>
                  <w:vAlign w:val="center"/>
                </w:tcPr>
                <w:p>
                  <w:pPr>
                    <w:adjustRightInd w:val="0"/>
                    <w:snapToGrid w:val="0"/>
                    <w:jc w:val="center"/>
                    <w:rPr>
                      <w:rFonts w:ascii="Times New Roman" w:hAnsi="Times New Roman"/>
                      <w:color w:val="auto"/>
                    </w:rPr>
                  </w:pPr>
                  <w:r>
                    <w:rPr>
                      <w:rFonts w:hint="eastAsia" w:ascii="Times New Roman" w:hAnsi="Times New Roman"/>
                      <w:color w:val="auto"/>
                    </w:rPr>
                    <w:t>排放限值</w:t>
                  </w:r>
                </w:p>
              </w:tc>
              <w:tc>
                <w:tcPr>
                  <w:tcW w:w="3924" w:type="dxa"/>
                  <w:vMerge w:val="restart"/>
                  <w:noWrap w:val="0"/>
                  <w:vAlign w:val="center"/>
                </w:tcPr>
                <w:p>
                  <w:pPr>
                    <w:adjustRightInd w:val="0"/>
                    <w:snapToGrid w:val="0"/>
                    <w:jc w:val="center"/>
                    <w:rPr>
                      <w:rFonts w:ascii="Times New Roman" w:hAnsi="Times New Roman"/>
                      <w:color w:val="auto"/>
                    </w:rPr>
                  </w:pPr>
                  <w:r>
                    <w:rPr>
                      <w:rFonts w:hint="eastAsia" w:ascii="Times New Roman" w:hAnsi="Times New Roman"/>
                      <w:color w:va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11" w:type="dxa"/>
                  <w:noWrap w:val="0"/>
                  <w:vAlign w:val="center"/>
                </w:tcPr>
                <w:p>
                  <w:pPr>
                    <w:adjustRightInd w:val="0"/>
                    <w:snapToGrid w:val="0"/>
                    <w:jc w:val="center"/>
                    <w:rPr>
                      <w:rFonts w:hint="eastAsia" w:ascii="Times New Roman" w:hAnsi="Times New Roman"/>
                      <w:color w:val="auto"/>
                    </w:rPr>
                  </w:pPr>
                  <w:r>
                    <w:rPr>
                      <w:rFonts w:ascii="Times New Roman" w:hAnsi="Times New Roman"/>
                      <w:color w:val="auto"/>
                    </w:rPr>
                    <w:t>昼</w:t>
                  </w:r>
                  <w:r>
                    <w:rPr>
                      <w:rFonts w:hint="eastAsia" w:ascii="Times New Roman" w:hAnsi="Times New Roman"/>
                      <w:color w:val="auto"/>
                    </w:rPr>
                    <w:t>间</w:t>
                  </w:r>
                </w:p>
              </w:tc>
              <w:tc>
                <w:tcPr>
                  <w:tcW w:w="2396" w:type="dxa"/>
                  <w:noWrap w:val="0"/>
                  <w:vAlign w:val="center"/>
                </w:tcPr>
                <w:p>
                  <w:pPr>
                    <w:adjustRightInd w:val="0"/>
                    <w:snapToGrid w:val="0"/>
                    <w:jc w:val="center"/>
                    <w:rPr>
                      <w:rFonts w:ascii="Times New Roman" w:hAnsi="Times New Roman"/>
                      <w:color w:val="auto"/>
                    </w:rPr>
                  </w:pPr>
                  <w:r>
                    <w:rPr>
                      <w:rFonts w:ascii="Times New Roman" w:hAnsi="Times New Roman"/>
                      <w:color w:val="auto"/>
                    </w:rPr>
                    <w:t>夜间</w:t>
                  </w:r>
                </w:p>
              </w:tc>
              <w:tc>
                <w:tcPr>
                  <w:tcW w:w="3924" w:type="dxa"/>
                  <w:vMerge w:val="continue"/>
                  <w:noWrap w:val="0"/>
                  <w:vAlign w:val="center"/>
                </w:tcPr>
                <w:p>
                  <w:pPr>
                    <w:adjustRightInd w:val="0"/>
                    <w:snapToGrid w:val="0"/>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111" w:type="dxa"/>
                  <w:noWrap w:val="0"/>
                  <w:vAlign w:val="center"/>
                </w:tcPr>
                <w:p>
                  <w:pPr>
                    <w:adjustRightInd w:val="0"/>
                    <w:snapToGrid w:val="0"/>
                    <w:jc w:val="center"/>
                    <w:rPr>
                      <w:rFonts w:ascii="Times New Roman" w:hAnsi="Times New Roman"/>
                      <w:color w:val="auto"/>
                    </w:rPr>
                  </w:pPr>
                  <w:r>
                    <w:rPr>
                      <w:rFonts w:ascii="Times New Roman" w:hAnsi="Times New Roman"/>
                      <w:color w:val="auto"/>
                    </w:rPr>
                    <w:t>70</w:t>
                  </w:r>
                </w:p>
              </w:tc>
              <w:tc>
                <w:tcPr>
                  <w:tcW w:w="2396" w:type="dxa"/>
                  <w:noWrap w:val="0"/>
                  <w:vAlign w:val="center"/>
                </w:tcPr>
                <w:p>
                  <w:pPr>
                    <w:adjustRightInd w:val="0"/>
                    <w:snapToGrid w:val="0"/>
                    <w:jc w:val="center"/>
                    <w:rPr>
                      <w:rFonts w:ascii="Times New Roman" w:hAnsi="Times New Roman"/>
                      <w:color w:val="auto"/>
                    </w:rPr>
                  </w:pPr>
                  <w:r>
                    <w:rPr>
                      <w:rFonts w:ascii="Times New Roman" w:hAnsi="Times New Roman"/>
                      <w:color w:val="auto"/>
                    </w:rPr>
                    <w:t>55</w:t>
                  </w:r>
                </w:p>
              </w:tc>
              <w:tc>
                <w:tcPr>
                  <w:tcW w:w="3924" w:type="dxa"/>
                  <w:noWrap w:val="0"/>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《建筑施工场界环境噪声排放标准》（</w:t>
                  </w:r>
                  <w:r>
                    <w:rPr>
                      <w:rFonts w:ascii="Times New Roman" w:hAnsi="Times New Roman"/>
                      <w:color w:val="auto"/>
                      <w:szCs w:val="21"/>
                    </w:rPr>
                    <w:t>GB12523-2011</w:t>
                  </w:r>
                  <w:r>
                    <w:rPr>
                      <w:rFonts w:hint="eastAsia" w:ascii="Times New Roman" w:hAnsi="Times New Roman"/>
                      <w:color w:val="auto"/>
                      <w:szCs w:val="21"/>
                    </w:rPr>
                    <w:t>）</w:t>
                  </w:r>
                </w:p>
              </w:tc>
            </w:tr>
          </w:tbl>
          <w:p>
            <w:pPr>
              <w:jc w:val="both"/>
              <w:rPr>
                <w:rFonts w:hint="eastAsia" w:ascii="Times New Roman" w:hAnsi="Times New Roman"/>
                <w:b/>
                <w:color w:val="auto"/>
                <w:szCs w:val="21"/>
              </w:rPr>
            </w:pPr>
          </w:p>
          <w:p>
            <w:pPr>
              <w:jc w:val="center"/>
              <w:rPr>
                <w:rFonts w:hint="eastAsia" w:ascii="Times New Roman" w:hAnsi="Times New Roman"/>
                <w:b/>
                <w:color w:val="auto"/>
                <w:szCs w:val="21"/>
              </w:rPr>
            </w:pPr>
            <w:r>
              <w:rPr>
                <w:rFonts w:hint="eastAsia" w:ascii="Times New Roman" w:hAnsi="Times New Roman"/>
                <w:b/>
                <w:color w:val="auto"/>
                <w:szCs w:val="21"/>
              </w:rPr>
              <w:t>表</w:t>
            </w:r>
            <w:r>
              <w:rPr>
                <w:rFonts w:ascii="Times New Roman" w:hAnsi="Times New Roman"/>
                <w:b/>
                <w:color w:val="auto"/>
                <w:szCs w:val="21"/>
              </w:rPr>
              <w:t>4-</w:t>
            </w:r>
            <w:r>
              <w:rPr>
                <w:rFonts w:hint="eastAsia"/>
                <w:b/>
                <w:color w:val="auto"/>
                <w:szCs w:val="21"/>
                <w:lang w:val="en-US" w:eastAsia="zh-CN"/>
              </w:rPr>
              <w:t>7</w:t>
            </w:r>
            <w:r>
              <w:rPr>
                <w:rFonts w:hint="eastAsia" w:ascii="Times New Roman" w:hAnsi="Times New Roman"/>
                <w:b/>
                <w:color w:val="auto"/>
                <w:szCs w:val="21"/>
              </w:rPr>
              <w:t>：工业企业厂界环境噪声排放限值 单位：dB（A）</w:t>
            </w:r>
          </w:p>
          <w:tbl>
            <w:tblPr>
              <w:tblStyle w:val="22"/>
              <w:tblW w:w="84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770"/>
              <w:gridCol w:w="1905"/>
              <w:gridCol w:w="35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1" w:type="dxa"/>
                  <w:vMerge w:val="restart"/>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类别</w:t>
                  </w:r>
                </w:p>
              </w:tc>
              <w:tc>
                <w:tcPr>
                  <w:tcW w:w="3675" w:type="dxa"/>
                  <w:gridSpan w:val="2"/>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排放限值</w:t>
                  </w:r>
                </w:p>
              </w:tc>
              <w:tc>
                <w:tcPr>
                  <w:tcW w:w="3585" w:type="dxa"/>
                  <w:vMerge w:val="restart"/>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1" w:type="dxa"/>
                  <w:vMerge w:val="continue"/>
                  <w:noWrap w:val="0"/>
                  <w:vAlign w:val="center"/>
                </w:tcPr>
                <w:p>
                  <w:pPr>
                    <w:jc w:val="center"/>
                    <w:rPr>
                      <w:rFonts w:hint="eastAsia" w:ascii="Times New Roman" w:hAnsi="Times New Roman"/>
                      <w:b/>
                      <w:color w:val="auto"/>
                      <w:szCs w:val="21"/>
                    </w:rPr>
                  </w:pPr>
                </w:p>
              </w:tc>
              <w:tc>
                <w:tcPr>
                  <w:tcW w:w="1770"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昼间</w:t>
                  </w:r>
                </w:p>
              </w:tc>
              <w:tc>
                <w:tcPr>
                  <w:tcW w:w="1905"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夜间</w:t>
                  </w:r>
                </w:p>
              </w:tc>
              <w:tc>
                <w:tcPr>
                  <w:tcW w:w="3585" w:type="dxa"/>
                  <w:vMerge w:val="continue"/>
                  <w:noWrap w:val="0"/>
                  <w:vAlign w:val="center"/>
                </w:tcPr>
                <w:p>
                  <w:pPr>
                    <w:jc w:val="center"/>
                    <w:rPr>
                      <w:rFonts w:hint="eastAsia" w:ascii="Times New Roman" w:hAnsi="Times New Roman"/>
                      <w:b/>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1"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2类</w:t>
                  </w:r>
                </w:p>
              </w:tc>
              <w:tc>
                <w:tcPr>
                  <w:tcW w:w="1770"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6</w:t>
                  </w:r>
                  <w:r>
                    <w:rPr>
                      <w:rFonts w:ascii="Times New Roman" w:hAnsi="Times New Roman"/>
                      <w:bCs/>
                      <w:color w:val="auto"/>
                      <w:szCs w:val="21"/>
                    </w:rPr>
                    <w:t>0</w:t>
                  </w:r>
                </w:p>
              </w:tc>
              <w:tc>
                <w:tcPr>
                  <w:tcW w:w="1905" w:type="dxa"/>
                  <w:noWrap w:val="0"/>
                  <w:vAlign w:val="center"/>
                </w:tcPr>
                <w:p>
                  <w:pPr>
                    <w:jc w:val="center"/>
                    <w:rPr>
                      <w:rFonts w:hint="eastAsia" w:ascii="Times New Roman" w:hAnsi="Times New Roman"/>
                      <w:bCs/>
                      <w:color w:val="auto"/>
                      <w:szCs w:val="21"/>
                    </w:rPr>
                  </w:pPr>
                  <w:r>
                    <w:rPr>
                      <w:rFonts w:hint="eastAsia" w:ascii="Times New Roman" w:hAnsi="Times New Roman"/>
                      <w:bCs/>
                      <w:color w:val="auto"/>
                      <w:szCs w:val="21"/>
                    </w:rPr>
                    <w:t>50</w:t>
                  </w:r>
                </w:p>
              </w:tc>
              <w:tc>
                <w:tcPr>
                  <w:tcW w:w="3585" w:type="dxa"/>
                  <w:noWrap w:val="0"/>
                  <w:vAlign w:val="center"/>
                </w:tcPr>
                <w:p>
                  <w:pPr>
                    <w:jc w:val="center"/>
                    <w:rPr>
                      <w:rFonts w:hint="eastAsia" w:ascii="Times New Roman" w:hAnsi="Times New Roman"/>
                      <w:b/>
                      <w:color w:val="auto"/>
                      <w:szCs w:val="21"/>
                    </w:rPr>
                  </w:pPr>
                  <w:r>
                    <w:rPr>
                      <w:rFonts w:hint="eastAsia" w:ascii="Times New Roman" w:hAnsi="Times New Roman"/>
                      <w:color w:val="auto"/>
                      <w:szCs w:val="21"/>
                    </w:rPr>
                    <w:t>《工业企业厂界环境噪声排放标准》（GB12348-2008）</w:t>
                  </w:r>
                </w:p>
              </w:tc>
            </w:tr>
          </w:tbl>
          <w:p>
            <w:pPr>
              <w:spacing w:line="360" w:lineRule="auto"/>
              <w:rPr>
                <w:rFonts w:ascii="Times New Roman" w:hAnsi="Times New Roman"/>
                <w:b/>
                <w:color w:val="auto"/>
                <w:sz w:val="24"/>
              </w:rPr>
            </w:pPr>
            <w:r>
              <w:rPr>
                <w:rFonts w:ascii="Times New Roman" w:hAnsi="Times New Roman"/>
                <w:b/>
                <w:color w:val="auto"/>
                <w:sz w:val="24"/>
              </w:rPr>
              <w:t>4.9</w:t>
            </w:r>
            <w:r>
              <w:rPr>
                <w:rFonts w:hint="eastAsia" w:ascii="Times New Roman" w:hAnsi="Times New Roman"/>
                <w:b/>
                <w:color w:val="auto"/>
                <w:sz w:val="24"/>
              </w:rPr>
              <w:t xml:space="preserve"> 固体废物控制标准</w:t>
            </w:r>
          </w:p>
          <w:p>
            <w:pPr>
              <w:spacing w:line="360" w:lineRule="auto"/>
              <w:ind w:firstLine="480" w:firstLineChars="200"/>
              <w:rPr>
                <w:rFonts w:hint="eastAsia" w:ascii="Times New Roman" w:hAnsi="Times New Roman" w:eastAsia="宋体"/>
                <w:color w:val="auto"/>
                <w:sz w:val="24"/>
                <w:lang w:eastAsia="zh-CN"/>
              </w:rPr>
            </w:pPr>
            <w:r>
              <w:rPr>
                <w:rFonts w:hint="eastAsia"/>
                <w:color w:val="auto"/>
                <w:sz w:val="24"/>
                <w:szCs w:val="24"/>
              </w:rPr>
              <w:t>除尘收集粉尘</w:t>
            </w:r>
            <w:r>
              <w:rPr>
                <w:rFonts w:hint="eastAsia"/>
                <w:color w:val="auto"/>
                <w:sz w:val="24"/>
                <w:szCs w:val="24"/>
                <w:lang w:eastAsia="zh-CN"/>
              </w:rPr>
              <w:t>、沉淀池</w:t>
            </w:r>
            <w:r>
              <w:rPr>
                <w:rFonts w:hint="eastAsia"/>
                <w:color w:val="auto"/>
                <w:sz w:val="24"/>
                <w:szCs w:val="24"/>
                <w:lang w:val="en-US" w:eastAsia="zh-CN"/>
              </w:rPr>
              <w:t>污泥、废薪棒</w:t>
            </w:r>
            <w:r>
              <w:rPr>
                <w:rFonts w:hint="eastAsia"/>
                <w:color w:val="auto"/>
                <w:sz w:val="24"/>
                <w:szCs w:val="24"/>
                <w:lang w:eastAsia="zh-CN"/>
              </w:rPr>
              <w:t>等</w:t>
            </w:r>
            <w:r>
              <w:rPr>
                <w:rFonts w:hint="eastAsia" w:ascii="Times New Roman" w:hAnsi="Times New Roman"/>
                <w:color w:val="auto"/>
                <w:sz w:val="24"/>
              </w:rPr>
              <w:t>一般固体执行《一般工业固体废物贮存、处置场污染控制标准》（GB18599-2001）及2013年修改单</w:t>
            </w:r>
            <w:r>
              <w:rPr>
                <w:rFonts w:hint="eastAsia"/>
                <w:color w:val="auto"/>
                <w:sz w:val="24"/>
                <w:lang w:eastAsia="zh-CN"/>
              </w:rPr>
              <w:t>。</w:t>
            </w:r>
            <w:r>
              <w:rPr>
                <w:rFonts w:hint="eastAsia"/>
                <w:color w:val="auto"/>
                <w:sz w:val="24"/>
                <w:u w:val="single"/>
              </w:rPr>
              <w:t>危险固废执行《危险废物贮存污染控制标准》（GB18597-2001）及 2013 修改单中要求</w:t>
            </w:r>
            <w:r>
              <w:rPr>
                <w:color w:val="auto"/>
                <w:sz w:val="24"/>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noWrap w:val="0"/>
            <w:vAlign w:val="center"/>
          </w:tcPr>
          <w:p>
            <w:pPr>
              <w:spacing w:line="360" w:lineRule="auto"/>
              <w:jc w:val="center"/>
              <w:rPr>
                <w:rFonts w:ascii="宋体" w:hAnsi="宋体"/>
                <w:color w:val="auto"/>
                <w:sz w:val="24"/>
                <w:szCs w:val="24"/>
              </w:rPr>
            </w:pPr>
            <w:r>
              <w:rPr>
                <w:rFonts w:hint="eastAsia" w:ascii="宋体" w:hAnsi="宋体"/>
                <w:b/>
                <w:color w:val="auto"/>
                <w:sz w:val="24"/>
                <w:szCs w:val="24"/>
              </w:rPr>
              <w:t>总量控制指标</w:t>
            </w:r>
          </w:p>
        </w:tc>
        <w:tc>
          <w:tcPr>
            <w:tcW w:w="8647" w:type="dxa"/>
            <w:noWrap w:val="0"/>
            <w:vAlign w:val="top"/>
          </w:tcPr>
          <w:p>
            <w:pPr>
              <w:spacing w:line="360" w:lineRule="auto"/>
              <w:ind w:firstLine="480" w:firstLineChars="200"/>
              <w:rPr>
                <w:rFonts w:hint="eastAsia" w:ascii="Times New Roman" w:hAnsi="Times New Roman"/>
                <w:color w:val="auto"/>
                <w:sz w:val="24"/>
                <w:szCs w:val="24"/>
              </w:rPr>
            </w:pPr>
            <w:r>
              <w:rPr>
                <w:rFonts w:hint="eastAsia" w:ascii="Times New Roman" w:hAnsi="Times New Roman"/>
                <w:color w:val="auto"/>
                <w:sz w:val="24"/>
                <w:szCs w:val="24"/>
              </w:rPr>
              <w:t>按国家对污染物排放总量控制指标的要求，在核算污染物排放量的基础上提出工程污染物总量控制建议指标，是建设项目环境影响评价的任务之一，污染物总量控制建议指标应包括国家规定的指标和项目的特征污染物。并结合本项目工程特征，确定本项目的总量控制因子为：废气：SO</w:t>
            </w:r>
            <w:r>
              <w:rPr>
                <w:rFonts w:hint="eastAsia" w:ascii="Times New Roman" w:hAnsi="Times New Roman"/>
                <w:color w:val="auto"/>
                <w:sz w:val="24"/>
                <w:szCs w:val="24"/>
                <w:vertAlign w:val="subscript"/>
              </w:rPr>
              <w:t>2</w:t>
            </w:r>
            <w:r>
              <w:rPr>
                <w:rFonts w:hint="eastAsia" w:ascii="Times New Roman" w:hAnsi="Times New Roman"/>
                <w:color w:val="auto"/>
                <w:sz w:val="24"/>
                <w:szCs w:val="24"/>
              </w:rPr>
              <w:t>、NO</w:t>
            </w:r>
            <w:r>
              <w:rPr>
                <w:rFonts w:hint="eastAsia" w:ascii="Times New Roman" w:hAnsi="Times New Roman"/>
                <w:color w:val="auto"/>
                <w:sz w:val="24"/>
                <w:szCs w:val="24"/>
                <w:vertAlign w:val="subscript"/>
              </w:rPr>
              <w:t>X</w:t>
            </w:r>
            <w:r>
              <w:rPr>
                <w:rFonts w:hint="eastAsia" w:ascii="Times New Roman" w:hAnsi="Times New Roman"/>
                <w:color w:val="auto"/>
                <w:sz w:val="24"/>
                <w:szCs w:val="24"/>
              </w:rPr>
              <w:t>。</w:t>
            </w:r>
          </w:p>
          <w:p>
            <w:pPr>
              <w:tabs>
                <w:tab w:val="left" w:pos="735"/>
              </w:tabs>
              <w:spacing w:line="360" w:lineRule="auto"/>
              <w:ind w:firstLine="480" w:firstLineChars="200"/>
              <w:rPr>
                <w:color w:val="auto"/>
                <w:sz w:val="24"/>
              </w:rPr>
            </w:pPr>
            <w:r>
              <w:rPr>
                <w:color w:val="auto"/>
                <w:sz w:val="24"/>
              </w:rPr>
              <w:t>根据环境特征和本项目污染物排污情况，本</w:t>
            </w:r>
            <w:r>
              <w:rPr>
                <w:rFonts w:hint="eastAsia"/>
                <w:color w:val="auto"/>
                <w:sz w:val="24"/>
                <w:lang w:eastAsia="zh-CN"/>
              </w:rPr>
              <w:t>次改扩建</w:t>
            </w:r>
            <w:r>
              <w:rPr>
                <w:color w:val="auto"/>
                <w:sz w:val="24"/>
              </w:rPr>
              <w:t>项目废水主要为</w:t>
            </w:r>
            <w:r>
              <w:rPr>
                <w:rFonts w:hint="eastAsia"/>
                <w:color w:val="auto"/>
                <w:sz w:val="24"/>
                <w:u w:val="single"/>
                <w:lang w:eastAsia="zh-CN"/>
              </w:rPr>
              <w:t>生产废水，</w:t>
            </w:r>
            <w:r>
              <w:rPr>
                <w:rFonts w:hint="eastAsia"/>
                <w:color w:val="auto"/>
                <w:sz w:val="24"/>
                <w:lang w:eastAsia="zh-CN"/>
              </w:rPr>
              <w:t>生产废水经沉淀池沉淀后循环使用，不外排。</w:t>
            </w:r>
            <w:r>
              <w:rPr>
                <w:color w:val="auto"/>
                <w:sz w:val="24"/>
              </w:rPr>
              <w:t>废气主要为颗粒物、二氧化硫和氮氧化物，本</w:t>
            </w:r>
            <w:r>
              <w:rPr>
                <w:rFonts w:hint="eastAsia"/>
                <w:color w:val="auto"/>
                <w:sz w:val="24"/>
                <w:lang w:eastAsia="zh-CN"/>
              </w:rPr>
              <w:t>次扩建</w:t>
            </w:r>
            <w:r>
              <w:rPr>
                <w:color w:val="auto"/>
                <w:sz w:val="24"/>
              </w:rPr>
              <w:t>项目需总量排放指标为SO</w:t>
            </w:r>
            <w:r>
              <w:rPr>
                <w:color w:val="auto"/>
                <w:sz w:val="24"/>
                <w:u w:val="single"/>
                <w:vertAlign w:val="subscript"/>
              </w:rPr>
              <w:t>2</w:t>
            </w:r>
            <w:r>
              <w:rPr>
                <w:color w:val="auto"/>
                <w:sz w:val="24"/>
                <w:u w:val="single"/>
              </w:rPr>
              <w:t>：</w:t>
            </w:r>
            <w:r>
              <w:rPr>
                <w:rFonts w:hint="eastAsia"/>
                <w:color w:val="auto"/>
                <w:sz w:val="24"/>
                <w:u w:val="single"/>
                <w:lang w:val="en-US" w:eastAsia="zh-CN"/>
              </w:rPr>
              <w:t>1.24</w:t>
            </w:r>
            <w:r>
              <w:rPr>
                <w:color w:val="auto"/>
                <w:sz w:val="24"/>
                <w:u w:val="single"/>
              </w:rPr>
              <w:t>t/a，NO</w:t>
            </w:r>
            <w:r>
              <w:rPr>
                <w:color w:val="auto"/>
                <w:sz w:val="24"/>
                <w:u w:val="single"/>
                <w:vertAlign w:val="subscript"/>
              </w:rPr>
              <w:t>x</w:t>
            </w:r>
            <w:r>
              <w:rPr>
                <w:color w:val="auto"/>
                <w:sz w:val="24"/>
                <w:u w:val="single"/>
              </w:rPr>
              <w:t>：</w:t>
            </w:r>
            <w:r>
              <w:rPr>
                <w:rFonts w:hint="eastAsia"/>
                <w:color w:val="auto"/>
                <w:sz w:val="24"/>
                <w:u w:val="single"/>
                <w:lang w:val="en-US" w:eastAsia="zh-CN"/>
              </w:rPr>
              <w:t>2.04</w:t>
            </w:r>
            <w:r>
              <w:rPr>
                <w:color w:val="auto"/>
                <w:sz w:val="24"/>
                <w:u w:val="single"/>
              </w:rPr>
              <w:t>t/a。</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eastAsia="宋体"/>
                <w:color w:val="auto"/>
                <w:u w:val="none"/>
                <w:lang w:val="en-US" w:eastAsia="zh-CN"/>
              </w:rPr>
            </w:pPr>
            <w:r>
              <w:rPr>
                <w:rFonts w:hint="eastAsia"/>
                <w:color w:val="auto"/>
                <w:u w:val="none"/>
              </w:rPr>
              <w:t>2016年4月</w:t>
            </w:r>
            <w:r>
              <w:rPr>
                <w:rFonts w:hint="eastAsia"/>
                <w:color w:val="auto"/>
                <w:u w:val="none"/>
                <w:lang w:eastAsia="zh-CN"/>
              </w:rPr>
              <w:t>，</w:t>
            </w:r>
            <w:r>
              <w:rPr>
                <w:rFonts w:hint="eastAsia" w:asciiTheme="minorEastAsia" w:hAnsiTheme="minorEastAsia" w:eastAsiaTheme="minorEastAsia" w:cstheme="minorEastAsia"/>
                <w:b w:val="0"/>
                <w:bCs/>
                <w:color w:val="auto"/>
                <w:sz w:val="24"/>
                <w:szCs w:val="24"/>
                <w:u w:val="none"/>
                <w:lang w:eastAsia="zh-CN"/>
              </w:rPr>
              <w:t>怀化市洪江区欣隆竹胶板厂</w:t>
            </w:r>
            <w:r>
              <w:rPr>
                <w:rFonts w:hint="eastAsia"/>
                <w:color w:val="auto"/>
                <w:u w:val="none"/>
              </w:rPr>
              <w:t>在怀化市主要污染物排污权储备交易所办理排污权证（</w:t>
            </w:r>
            <w:r>
              <w:rPr>
                <w:rFonts w:hint="eastAsia"/>
                <w:color w:val="auto"/>
                <w:u w:val="none"/>
                <w:lang w:eastAsia="zh-CN"/>
              </w:rPr>
              <w:t>（</w:t>
            </w:r>
            <w:r>
              <w:rPr>
                <w:rFonts w:hint="eastAsia"/>
                <w:color w:val="auto"/>
                <w:u w:val="none"/>
              </w:rPr>
              <w:t>怀</w:t>
            </w:r>
            <w:r>
              <w:rPr>
                <w:rFonts w:hint="eastAsia"/>
                <w:color w:val="auto"/>
                <w:u w:val="none"/>
                <w:lang w:eastAsia="zh-CN"/>
              </w:rPr>
              <w:t>）</w:t>
            </w:r>
            <w:r>
              <w:rPr>
                <w:rFonts w:hint="eastAsia"/>
                <w:color w:val="auto"/>
                <w:u w:val="none"/>
              </w:rPr>
              <w:t>排污权证</w:t>
            </w:r>
            <w:r>
              <w:rPr>
                <w:rFonts w:hint="eastAsia"/>
                <w:color w:val="auto"/>
                <w:u w:val="none"/>
                <w:lang w:eastAsia="zh-CN"/>
              </w:rPr>
              <w:t>（</w:t>
            </w:r>
            <w:r>
              <w:rPr>
                <w:rFonts w:hint="eastAsia"/>
                <w:color w:val="auto"/>
                <w:u w:val="none"/>
              </w:rPr>
              <w:t>2016</w:t>
            </w:r>
            <w:r>
              <w:rPr>
                <w:rFonts w:hint="eastAsia"/>
                <w:color w:val="auto"/>
                <w:u w:val="none"/>
                <w:lang w:eastAsia="zh-CN"/>
              </w:rPr>
              <w:t>）</w:t>
            </w:r>
            <w:r>
              <w:rPr>
                <w:rFonts w:hint="eastAsia"/>
                <w:color w:val="auto"/>
                <w:u w:val="none"/>
              </w:rPr>
              <w:t>第</w:t>
            </w:r>
            <w:r>
              <w:rPr>
                <w:rFonts w:hint="eastAsia"/>
                <w:color w:val="auto"/>
                <w:u w:val="none"/>
                <w:lang w:val="en-US" w:eastAsia="zh-CN"/>
              </w:rPr>
              <w:t>85</w:t>
            </w:r>
            <w:r>
              <w:rPr>
                <w:rFonts w:hint="eastAsia"/>
                <w:color w:val="auto"/>
                <w:u w:val="none"/>
              </w:rPr>
              <w:t>号），详见附件。该单位初始排污权量为</w:t>
            </w:r>
            <w:r>
              <w:rPr>
                <w:rFonts w:hint="eastAsia"/>
                <w:color w:val="auto"/>
                <w:u w:val="none"/>
                <w:lang w:eastAsia="zh-CN"/>
              </w:rPr>
              <w:t>二氧化硫：</w:t>
            </w:r>
            <w:r>
              <w:rPr>
                <w:rFonts w:hint="eastAsia"/>
                <w:color w:val="auto"/>
                <w:u w:val="none"/>
                <w:lang w:val="en-US" w:eastAsia="zh-CN"/>
              </w:rPr>
              <w:t>2.7</w:t>
            </w:r>
            <w:r>
              <w:rPr>
                <w:rFonts w:hint="eastAsia"/>
                <w:color w:val="auto"/>
                <w:u w:val="none"/>
              </w:rPr>
              <w:t>t</w:t>
            </w:r>
            <w:r>
              <w:rPr>
                <w:rFonts w:hint="eastAsia"/>
                <w:color w:val="auto"/>
                <w:u w:val="none"/>
                <w:lang w:val="en-US" w:eastAsia="zh-CN"/>
              </w:rPr>
              <w:t>。</w:t>
            </w:r>
          </w:p>
          <w:p>
            <w:pPr>
              <w:spacing w:line="360" w:lineRule="auto"/>
              <w:ind w:firstLine="480" w:firstLineChars="200"/>
              <w:rPr>
                <w:b/>
                <w:color w:val="auto"/>
                <w:spacing w:val="4"/>
                <w:szCs w:val="21"/>
                <w:u w:val="none"/>
              </w:rPr>
            </w:pPr>
            <w:r>
              <w:rPr>
                <w:rFonts w:hint="eastAsia"/>
                <w:color w:val="auto"/>
                <w:kern w:val="0"/>
                <w:sz w:val="24"/>
                <w:szCs w:val="24"/>
                <w:u w:val="none"/>
              </w:rPr>
              <w:t>扩建项目实施后，经核算全厂NOx实际总排放量</w:t>
            </w:r>
            <w:r>
              <w:rPr>
                <w:rFonts w:hint="eastAsia"/>
                <w:color w:val="auto"/>
                <w:kern w:val="0"/>
                <w:sz w:val="24"/>
                <w:szCs w:val="24"/>
                <w:u w:val="single"/>
                <w:lang w:val="en-US" w:eastAsia="zh-CN"/>
              </w:rPr>
              <w:t>2.89</w:t>
            </w:r>
            <w:r>
              <w:rPr>
                <w:rFonts w:hint="eastAsia"/>
                <w:color w:val="auto"/>
                <w:kern w:val="0"/>
                <w:sz w:val="24"/>
                <w:szCs w:val="24"/>
                <w:u w:val="none"/>
              </w:rPr>
              <w:t>t/a，全厂SO</w:t>
            </w:r>
            <w:r>
              <w:rPr>
                <w:rFonts w:hint="eastAsia"/>
                <w:color w:val="auto"/>
                <w:kern w:val="0"/>
                <w:sz w:val="24"/>
                <w:szCs w:val="24"/>
                <w:u w:val="none"/>
                <w:vertAlign w:val="subscript"/>
              </w:rPr>
              <w:t>2</w:t>
            </w:r>
            <w:r>
              <w:rPr>
                <w:rFonts w:hint="eastAsia"/>
                <w:color w:val="auto"/>
                <w:kern w:val="0"/>
                <w:sz w:val="24"/>
                <w:szCs w:val="24"/>
                <w:u w:val="none"/>
              </w:rPr>
              <w:t>实际总排放量</w:t>
            </w:r>
            <w:r>
              <w:rPr>
                <w:rFonts w:hint="eastAsia"/>
                <w:color w:val="auto"/>
                <w:kern w:val="0"/>
                <w:sz w:val="24"/>
                <w:szCs w:val="24"/>
                <w:u w:val="single"/>
                <w:lang w:val="en-US" w:eastAsia="zh-CN"/>
              </w:rPr>
              <w:t>1.66</w:t>
            </w:r>
            <w:r>
              <w:rPr>
                <w:rFonts w:hint="eastAsia"/>
                <w:color w:val="auto"/>
                <w:kern w:val="0"/>
                <w:sz w:val="24"/>
                <w:szCs w:val="24"/>
                <w:u w:val="none"/>
              </w:rPr>
              <w:t>t/a。</w:t>
            </w:r>
            <w:r>
              <w:rPr>
                <w:rFonts w:hint="eastAsia"/>
                <w:color w:val="auto"/>
                <w:sz w:val="24"/>
                <w:szCs w:val="24"/>
                <w:u w:val="none"/>
              </w:rPr>
              <w:t>氮氧化物超出总量控制指标要求，</w:t>
            </w:r>
            <w:r>
              <w:rPr>
                <w:rFonts w:hint="eastAsia"/>
                <w:color w:val="auto"/>
                <w:sz w:val="24"/>
                <w:szCs w:val="20"/>
                <w:u w:val="none"/>
              </w:rPr>
              <w:t>企业</w:t>
            </w:r>
            <w:r>
              <w:rPr>
                <w:rFonts w:hint="eastAsia"/>
                <w:color w:val="auto"/>
                <w:sz w:val="24"/>
                <w:szCs w:val="20"/>
                <w:u w:val="none"/>
                <w:lang w:eastAsia="zh-CN"/>
              </w:rPr>
              <w:t>需</w:t>
            </w:r>
            <w:r>
              <w:rPr>
                <w:rFonts w:hint="eastAsia"/>
                <w:color w:val="auto"/>
                <w:sz w:val="24"/>
                <w:szCs w:val="20"/>
                <w:u w:val="none"/>
              </w:rPr>
              <w:t>重新购买污染物交易权</w:t>
            </w:r>
            <w:r>
              <w:rPr>
                <w:rFonts w:hint="eastAsia"/>
                <w:color w:val="auto"/>
                <w:kern w:val="0"/>
                <w:sz w:val="24"/>
                <w:szCs w:val="24"/>
                <w:u w:val="none"/>
              </w:rPr>
              <w:t>。</w:t>
            </w:r>
          </w:p>
          <w:p>
            <w:pPr>
              <w:ind w:firstLine="438" w:firstLineChars="200"/>
              <w:jc w:val="center"/>
              <w:rPr>
                <w:b/>
                <w:color w:val="auto"/>
                <w:spacing w:val="4"/>
                <w:szCs w:val="21"/>
                <w:u w:val="none"/>
              </w:rPr>
            </w:pPr>
            <w:r>
              <w:rPr>
                <w:b/>
                <w:color w:val="auto"/>
                <w:spacing w:val="4"/>
                <w:szCs w:val="21"/>
                <w:u w:val="none"/>
              </w:rPr>
              <w:t>表</w:t>
            </w:r>
            <w:r>
              <w:rPr>
                <w:rFonts w:hint="eastAsia"/>
                <w:b/>
                <w:color w:val="auto"/>
                <w:spacing w:val="4"/>
                <w:szCs w:val="21"/>
                <w:u w:val="none"/>
                <w:lang w:val="en-US" w:eastAsia="zh-CN"/>
              </w:rPr>
              <w:t>4-8</w:t>
            </w:r>
            <w:r>
              <w:rPr>
                <w:b/>
                <w:color w:val="auto"/>
                <w:spacing w:val="4"/>
                <w:szCs w:val="21"/>
                <w:u w:val="none"/>
              </w:rPr>
              <w:t xml:space="preserve">  总量控制指标</w:t>
            </w:r>
            <w:r>
              <w:rPr>
                <w:rFonts w:hint="eastAsia"/>
                <w:b/>
                <w:color w:val="auto"/>
                <w:spacing w:val="4"/>
                <w:szCs w:val="21"/>
                <w:u w:val="none"/>
                <w:lang w:eastAsia="zh-CN"/>
              </w:rPr>
              <w:t>情况</w:t>
            </w:r>
            <w:r>
              <w:rPr>
                <w:b/>
                <w:color w:val="auto"/>
                <w:spacing w:val="4"/>
                <w:szCs w:val="21"/>
                <w:u w:val="none"/>
              </w:rPr>
              <w:t xml:space="preserve">  单位：t/a</w:t>
            </w:r>
          </w:p>
          <w:tbl>
            <w:tblPr>
              <w:tblStyle w:val="22"/>
              <w:tblW w:w="502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12"/>
              <w:gridCol w:w="2857"/>
              <w:gridCol w:w="249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1839" w:type="pct"/>
                  <w:vMerge w:val="restart"/>
                  <w:noWrap w:val="0"/>
                  <w:vAlign w:val="center"/>
                </w:tcPr>
                <w:p>
                  <w:pPr>
                    <w:jc w:val="center"/>
                    <w:rPr>
                      <w:rFonts w:hint="eastAsia" w:eastAsia="宋体"/>
                      <w:color w:val="auto"/>
                      <w:szCs w:val="21"/>
                      <w:u w:val="none"/>
                      <w:lang w:eastAsia="zh-CN"/>
                    </w:rPr>
                  </w:pPr>
                  <w:r>
                    <w:rPr>
                      <w:rFonts w:hint="eastAsia"/>
                      <w:color w:val="auto"/>
                      <w:szCs w:val="21"/>
                      <w:u w:val="none"/>
                      <w:lang w:eastAsia="zh-CN"/>
                    </w:rPr>
                    <w:t>类别</w:t>
                  </w:r>
                </w:p>
              </w:tc>
              <w:tc>
                <w:tcPr>
                  <w:tcW w:w="3160" w:type="pct"/>
                  <w:gridSpan w:val="2"/>
                  <w:noWrap w:val="0"/>
                  <w:vAlign w:val="center"/>
                </w:tcPr>
                <w:p>
                  <w:pPr>
                    <w:autoSpaceDE w:val="0"/>
                    <w:autoSpaceDN w:val="0"/>
                    <w:adjustRightInd w:val="0"/>
                    <w:jc w:val="center"/>
                    <w:rPr>
                      <w:color w:val="auto"/>
                      <w:szCs w:val="21"/>
                      <w:u w:val="none"/>
                    </w:rPr>
                  </w:pPr>
                  <w:r>
                    <w:rPr>
                      <w:rFonts w:hint="eastAsia"/>
                      <w:b/>
                      <w:color w:val="auto"/>
                      <w:u w:val="none"/>
                    </w:rPr>
                    <w:t>气型污染物（t/a）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1839" w:type="pct"/>
                  <w:vMerge w:val="continue"/>
                  <w:noWrap w:val="0"/>
                  <w:vAlign w:val="center"/>
                </w:tcPr>
                <w:p>
                  <w:pPr>
                    <w:jc w:val="center"/>
                    <w:rPr>
                      <w:rFonts w:hint="eastAsia"/>
                      <w:color w:val="auto"/>
                      <w:szCs w:val="21"/>
                      <w:u w:val="none"/>
                      <w:lang w:eastAsia="zh-CN"/>
                    </w:rPr>
                  </w:pPr>
                </w:p>
              </w:tc>
              <w:tc>
                <w:tcPr>
                  <w:tcW w:w="1688" w:type="pct"/>
                  <w:noWrap w:val="0"/>
                  <w:vAlign w:val="center"/>
                </w:tcPr>
                <w:p>
                  <w:pPr>
                    <w:autoSpaceDE w:val="0"/>
                    <w:autoSpaceDN w:val="0"/>
                    <w:adjustRightInd w:val="0"/>
                    <w:jc w:val="center"/>
                    <w:rPr>
                      <w:color w:val="auto"/>
                      <w:szCs w:val="21"/>
                      <w:u w:val="none"/>
                    </w:rPr>
                  </w:pPr>
                  <w:r>
                    <w:rPr>
                      <w:b/>
                      <w:color w:val="auto"/>
                      <w:kern w:val="0"/>
                      <w:u w:val="none"/>
                    </w:rPr>
                    <w:t>SO</w:t>
                  </w:r>
                  <w:r>
                    <w:rPr>
                      <w:b/>
                      <w:color w:val="auto"/>
                      <w:kern w:val="0"/>
                      <w:u w:val="none"/>
                      <w:vertAlign w:val="subscript"/>
                    </w:rPr>
                    <w:t>2</w:t>
                  </w:r>
                </w:p>
              </w:tc>
              <w:tc>
                <w:tcPr>
                  <w:tcW w:w="1471" w:type="pct"/>
                  <w:noWrap w:val="0"/>
                  <w:vAlign w:val="center"/>
                </w:tcPr>
                <w:p>
                  <w:pPr>
                    <w:autoSpaceDE w:val="0"/>
                    <w:autoSpaceDN w:val="0"/>
                    <w:adjustRightInd w:val="0"/>
                    <w:jc w:val="center"/>
                    <w:rPr>
                      <w:color w:val="auto"/>
                      <w:szCs w:val="21"/>
                      <w:u w:val="none"/>
                    </w:rPr>
                  </w:pPr>
                  <w:r>
                    <w:rPr>
                      <w:b/>
                      <w:color w:val="auto"/>
                      <w:kern w:val="0"/>
                      <w:u w:val="none"/>
                    </w:rPr>
                    <w:t>NOx</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839" w:type="pct"/>
                  <w:noWrap w:val="0"/>
                  <w:vAlign w:val="center"/>
                </w:tcPr>
                <w:p>
                  <w:pPr>
                    <w:jc w:val="center"/>
                    <w:rPr>
                      <w:rFonts w:hint="eastAsia" w:eastAsia="宋体"/>
                      <w:color w:val="auto"/>
                      <w:szCs w:val="21"/>
                      <w:u w:val="none"/>
                      <w:lang w:eastAsia="zh-CN"/>
                    </w:rPr>
                  </w:pPr>
                  <w:r>
                    <w:rPr>
                      <w:rFonts w:hint="eastAsia"/>
                      <w:color w:val="auto"/>
                      <w:szCs w:val="21"/>
                      <w:u w:val="none"/>
                      <w:lang w:eastAsia="zh-CN"/>
                    </w:rPr>
                    <w:t>已建项目排放量</w:t>
                  </w:r>
                </w:p>
              </w:tc>
              <w:tc>
                <w:tcPr>
                  <w:tcW w:w="1688" w:type="pct"/>
                  <w:noWrap w:val="0"/>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0.42</w:t>
                  </w:r>
                </w:p>
              </w:tc>
              <w:tc>
                <w:tcPr>
                  <w:tcW w:w="1471" w:type="pct"/>
                  <w:noWrap w:val="0"/>
                  <w:vAlign w:val="center"/>
                </w:tcPr>
                <w:p>
                  <w:pPr>
                    <w:pStyle w:val="60"/>
                    <w:numPr>
                      <w:ilvl w:val="0"/>
                      <w:numId w:val="0"/>
                    </w:numPr>
                    <w:rPr>
                      <w:rFonts w:hint="default" w:ascii="Times New Roman"/>
                      <w:b w:val="0"/>
                      <w:bCs/>
                      <w:color w:val="auto"/>
                      <w:sz w:val="21"/>
                      <w:szCs w:val="21"/>
                      <w:u w:val="single"/>
                      <w:lang w:val="en-US" w:eastAsia="zh-CN"/>
                    </w:rPr>
                  </w:pPr>
                  <w:r>
                    <w:rPr>
                      <w:rFonts w:hint="eastAsia" w:ascii="Times New Roman"/>
                      <w:b w:val="0"/>
                      <w:bCs/>
                      <w:color w:val="auto"/>
                      <w:sz w:val="21"/>
                      <w:szCs w:val="21"/>
                      <w:u w:val="singl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1839" w:type="pct"/>
                  <w:noWrap w:val="0"/>
                  <w:vAlign w:val="center"/>
                </w:tcPr>
                <w:p>
                  <w:pPr>
                    <w:jc w:val="center"/>
                    <w:rPr>
                      <w:rFonts w:hint="eastAsia" w:eastAsia="宋体"/>
                      <w:color w:val="auto"/>
                      <w:szCs w:val="21"/>
                      <w:u w:val="none"/>
                      <w:lang w:eastAsia="zh-CN"/>
                    </w:rPr>
                  </w:pPr>
                  <w:r>
                    <w:rPr>
                      <w:rFonts w:hint="eastAsia"/>
                      <w:color w:val="auto"/>
                      <w:szCs w:val="21"/>
                      <w:u w:val="none"/>
                      <w:lang w:eastAsia="zh-CN"/>
                    </w:rPr>
                    <w:t>本次扩建项目排放量</w:t>
                  </w:r>
                </w:p>
              </w:tc>
              <w:tc>
                <w:tcPr>
                  <w:tcW w:w="1688" w:type="pct"/>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1.24</w:t>
                  </w:r>
                </w:p>
              </w:tc>
              <w:tc>
                <w:tcPr>
                  <w:tcW w:w="1471" w:type="pct"/>
                  <w:noWrap w:val="0"/>
                  <w:vAlign w:val="center"/>
                </w:tcPr>
                <w:p>
                  <w:pPr>
                    <w:pStyle w:val="60"/>
                    <w:numPr>
                      <w:ilvl w:val="0"/>
                      <w:numId w:val="0"/>
                    </w:numPr>
                    <w:ind w:left="0" w:leftChars="0" w:firstLine="0" w:firstLineChars="0"/>
                    <w:rPr>
                      <w:rFonts w:hint="default" w:ascii="Times New Roman" w:hAnsi="Times New Roman" w:eastAsia="宋体" w:cs="Times New Roman"/>
                      <w:b w:val="0"/>
                      <w:bCs/>
                      <w:color w:val="auto"/>
                      <w:kern w:val="2"/>
                      <w:sz w:val="21"/>
                      <w:szCs w:val="21"/>
                      <w:u w:val="single"/>
                      <w:lang w:val="en-US" w:eastAsia="zh-CN" w:bidi="ar-SA"/>
                    </w:rPr>
                  </w:pPr>
                  <w:r>
                    <w:rPr>
                      <w:rFonts w:hint="eastAsia" w:ascii="Times New Roman" w:cs="Times New Roman"/>
                      <w:b w:val="0"/>
                      <w:bCs/>
                      <w:color w:val="auto"/>
                      <w:kern w:val="2"/>
                      <w:sz w:val="21"/>
                      <w:szCs w:val="21"/>
                      <w:u w:val="single"/>
                      <w:lang w:val="en-US" w:eastAsia="zh-CN" w:bidi="ar-SA"/>
                    </w:rPr>
                    <w:t>2.04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839" w:type="pct"/>
                  <w:noWrap w:val="0"/>
                  <w:vAlign w:val="center"/>
                </w:tcPr>
                <w:p>
                  <w:pPr>
                    <w:jc w:val="center"/>
                    <w:rPr>
                      <w:rFonts w:hint="eastAsia"/>
                      <w:color w:val="auto"/>
                      <w:szCs w:val="21"/>
                      <w:u w:val="none"/>
                      <w:lang w:eastAsia="zh-CN"/>
                    </w:rPr>
                  </w:pPr>
                  <w:r>
                    <w:rPr>
                      <w:rFonts w:hint="eastAsia"/>
                      <w:color w:val="auto"/>
                      <w:szCs w:val="21"/>
                      <w:u w:val="none"/>
                      <w:lang w:eastAsia="zh-CN"/>
                    </w:rPr>
                    <w:t>扩建完成后总排放量</w:t>
                  </w:r>
                </w:p>
              </w:tc>
              <w:tc>
                <w:tcPr>
                  <w:tcW w:w="1688" w:type="pct"/>
                  <w:noWrap w:val="0"/>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1.66</w:t>
                  </w:r>
                </w:p>
              </w:tc>
              <w:tc>
                <w:tcPr>
                  <w:tcW w:w="1471" w:type="pct"/>
                  <w:noWrap w:val="0"/>
                  <w:vAlign w:val="center"/>
                </w:tcPr>
                <w:p>
                  <w:pPr>
                    <w:pStyle w:val="60"/>
                    <w:numPr>
                      <w:ilvl w:val="0"/>
                      <w:numId w:val="0"/>
                    </w:numPr>
                    <w:rPr>
                      <w:rFonts w:hint="default" w:ascii="Times New Roman" w:eastAsia="宋体"/>
                      <w:b w:val="0"/>
                      <w:bCs/>
                      <w:color w:val="auto"/>
                      <w:sz w:val="21"/>
                      <w:szCs w:val="21"/>
                      <w:u w:val="single"/>
                      <w:lang w:val="en-US" w:eastAsia="zh-CN"/>
                    </w:rPr>
                  </w:pPr>
                  <w:r>
                    <w:rPr>
                      <w:rFonts w:hint="eastAsia" w:ascii="Times New Roman"/>
                      <w:b w:val="0"/>
                      <w:bCs/>
                      <w:color w:val="auto"/>
                      <w:sz w:val="21"/>
                      <w:szCs w:val="21"/>
                      <w:u w:val="single"/>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839" w:type="pct"/>
                  <w:noWrap w:val="0"/>
                  <w:vAlign w:val="center"/>
                </w:tcPr>
                <w:p>
                  <w:pPr>
                    <w:autoSpaceDE w:val="0"/>
                    <w:autoSpaceDN w:val="0"/>
                    <w:adjustRightInd w:val="0"/>
                    <w:jc w:val="center"/>
                    <w:rPr>
                      <w:color w:val="auto"/>
                      <w:u w:val="none"/>
                    </w:rPr>
                  </w:pPr>
                  <w:r>
                    <w:rPr>
                      <w:rFonts w:hint="eastAsia"/>
                      <w:color w:val="auto"/>
                      <w:u w:val="none"/>
                      <w:lang w:eastAsia="zh-CN"/>
                    </w:rPr>
                    <w:t>现有初始分配总量</w:t>
                  </w:r>
                </w:p>
              </w:tc>
              <w:tc>
                <w:tcPr>
                  <w:tcW w:w="1688" w:type="pct"/>
                  <w:noWrap w:val="0"/>
                  <w:vAlign w:val="center"/>
                </w:tcPr>
                <w:p>
                  <w:pPr>
                    <w:autoSpaceDE w:val="0"/>
                    <w:autoSpaceDN w:val="0"/>
                    <w:adjustRightInd w:val="0"/>
                    <w:jc w:val="center"/>
                    <w:rPr>
                      <w:rFonts w:hint="eastAsia" w:ascii="Times New Roman" w:hAnsi="Times New Roman" w:eastAsia="宋体" w:cs="Times New Roman"/>
                      <w:color w:val="auto"/>
                      <w:kern w:val="2"/>
                      <w:sz w:val="21"/>
                      <w:szCs w:val="22"/>
                      <w:u w:val="single"/>
                      <w:lang w:val="en-US" w:eastAsia="zh-CN" w:bidi="ar-SA"/>
                    </w:rPr>
                  </w:pPr>
                  <w:r>
                    <w:rPr>
                      <w:rFonts w:hint="eastAsia"/>
                      <w:color w:val="auto"/>
                      <w:u w:val="single"/>
                      <w:lang w:val="en-US" w:eastAsia="zh-CN"/>
                    </w:rPr>
                    <w:t>2.7</w:t>
                  </w:r>
                </w:p>
              </w:tc>
              <w:tc>
                <w:tcPr>
                  <w:tcW w:w="1471" w:type="pct"/>
                  <w:noWrap w:val="0"/>
                  <w:vAlign w:val="center"/>
                </w:tcPr>
                <w:p>
                  <w:pPr>
                    <w:autoSpaceDE w:val="0"/>
                    <w:autoSpaceDN w:val="0"/>
                    <w:adjustRightInd w:val="0"/>
                    <w:jc w:val="center"/>
                    <w:rPr>
                      <w:rFonts w:hint="default" w:ascii="Times New Roman" w:hAnsi="Times New Roman" w:eastAsia="宋体" w:cs="Times New Roman"/>
                      <w:color w:val="auto"/>
                      <w:kern w:val="2"/>
                      <w:sz w:val="21"/>
                      <w:szCs w:val="22"/>
                      <w:u w:val="single"/>
                      <w:lang w:val="en-US" w:eastAsia="zh-CN" w:bidi="ar-SA"/>
                    </w:rPr>
                  </w:pPr>
                  <w:r>
                    <w:rPr>
                      <w:rFonts w:hint="eastAsia"/>
                      <w:color w:val="auto"/>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839" w:type="pct"/>
                  <w:noWrap w:val="0"/>
                  <w:vAlign w:val="center"/>
                </w:tcPr>
                <w:p>
                  <w:pPr>
                    <w:autoSpaceDE w:val="0"/>
                    <w:autoSpaceDN w:val="0"/>
                    <w:adjustRightInd w:val="0"/>
                    <w:jc w:val="center"/>
                    <w:rPr>
                      <w:rFonts w:hint="eastAsia"/>
                      <w:color w:val="auto"/>
                      <w:u w:val="none"/>
                      <w:lang w:eastAsia="zh-CN"/>
                    </w:rPr>
                  </w:pPr>
                  <w:r>
                    <w:rPr>
                      <w:rFonts w:hint="eastAsia"/>
                      <w:color w:val="auto"/>
                      <w:u w:val="none"/>
                      <w:lang w:eastAsia="zh-CN"/>
                    </w:rPr>
                    <w:t>本次环评需交易总量</w:t>
                  </w:r>
                </w:p>
              </w:tc>
              <w:tc>
                <w:tcPr>
                  <w:tcW w:w="1688" w:type="pct"/>
                  <w:noWrap w:val="0"/>
                  <w:vAlign w:val="center"/>
                </w:tcPr>
                <w:p>
                  <w:pPr>
                    <w:autoSpaceDE w:val="0"/>
                    <w:autoSpaceDN w:val="0"/>
                    <w:adjustRightInd w:val="0"/>
                    <w:jc w:val="center"/>
                    <w:rPr>
                      <w:rFonts w:hint="default"/>
                      <w:color w:val="auto"/>
                      <w:u w:val="single"/>
                      <w:lang w:val="en-US" w:eastAsia="zh-CN"/>
                    </w:rPr>
                  </w:pPr>
                  <w:r>
                    <w:rPr>
                      <w:rFonts w:hint="eastAsia"/>
                      <w:color w:val="auto"/>
                      <w:u w:val="single"/>
                      <w:lang w:val="en-US" w:eastAsia="zh-CN"/>
                    </w:rPr>
                    <w:t>0</w:t>
                  </w:r>
                </w:p>
              </w:tc>
              <w:tc>
                <w:tcPr>
                  <w:tcW w:w="1471" w:type="pct"/>
                  <w:noWrap w:val="0"/>
                  <w:vAlign w:val="center"/>
                </w:tcPr>
                <w:p>
                  <w:pPr>
                    <w:autoSpaceDE w:val="0"/>
                    <w:autoSpaceDN w:val="0"/>
                    <w:adjustRightInd w:val="0"/>
                    <w:jc w:val="center"/>
                    <w:rPr>
                      <w:rFonts w:hint="default"/>
                      <w:color w:val="auto"/>
                      <w:u w:val="single"/>
                      <w:lang w:val="en-US" w:eastAsia="zh-CN"/>
                    </w:rPr>
                  </w:pPr>
                  <w:r>
                    <w:rPr>
                      <w:rFonts w:hint="eastAsia"/>
                      <w:i w:val="0"/>
                      <w:iCs w:val="0"/>
                      <w:color w:val="auto"/>
                      <w:u w:val="single"/>
                      <w:lang w:val="en-US" w:eastAsia="zh-CN"/>
                    </w:rPr>
                    <w:t>2.89</w:t>
                  </w:r>
                </w:p>
              </w:tc>
            </w:tr>
          </w:tbl>
          <w:p>
            <w:pPr>
              <w:spacing w:line="360" w:lineRule="auto"/>
              <w:ind w:firstLine="480" w:firstLineChars="200"/>
              <w:rPr>
                <w:rFonts w:hint="eastAsia" w:ascii="Times New Roman" w:hAnsi="Times New Roman"/>
                <w:color w:val="auto"/>
                <w:sz w:val="24"/>
                <w:szCs w:val="24"/>
              </w:rPr>
            </w:pPr>
          </w:p>
          <w:p>
            <w:pPr>
              <w:spacing w:line="360" w:lineRule="auto"/>
              <w:ind w:firstLine="480" w:firstLineChars="200"/>
              <w:rPr>
                <w:rFonts w:hint="eastAsia" w:ascii="Times New Roman" w:hAnsi="Times New Roman"/>
                <w:color w:val="auto"/>
                <w:sz w:val="24"/>
                <w:szCs w:val="24"/>
              </w:rPr>
            </w:pPr>
          </w:p>
          <w:p>
            <w:pPr>
              <w:spacing w:line="360" w:lineRule="auto"/>
              <w:ind w:firstLine="480" w:firstLineChars="200"/>
              <w:rPr>
                <w:rFonts w:hint="eastAsia" w:ascii="Times New Roman" w:hAnsi="Times New Roman"/>
                <w:color w:val="auto"/>
                <w:sz w:val="24"/>
                <w:szCs w:val="24"/>
              </w:rPr>
            </w:pPr>
          </w:p>
          <w:p>
            <w:pPr>
              <w:spacing w:line="360" w:lineRule="auto"/>
              <w:ind w:firstLine="480" w:firstLineChars="200"/>
              <w:rPr>
                <w:rFonts w:hint="eastAsia" w:ascii="Times New Roman" w:hAnsi="Times New Roman"/>
                <w:color w:val="auto"/>
                <w:sz w:val="24"/>
                <w:szCs w:val="24"/>
              </w:rPr>
            </w:pPr>
          </w:p>
        </w:tc>
      </w:tr>
    </w:tbl>
    <w:p>
      <w:pPr>
        <w:pStyle w:val="2"/>
        <w:rPr>
          <w:color w:val="auto"/>
          <w:sz w:val="24"/>
          <w:szCs w:val="24"/>
        </w:rPr>
      </w:pPr>
      <w:r>
        <w:rPr>
          <w:bCs w:val="0"/>
          <w:color w:val="auto"/>
          <w:kern w:val="0"/>
          <w:sz w:val="28"/>
          <w:szCs w:val="28"/>
        </w:rPr>
        <w:br w:type="page"/>
      </w:r>
    </w:p>
    <w:p>
      <w:pPr>
        <w:pStyle w:val="3"/>
        <w:keepNext w:val="0"/>
        <w:keepLines w:val="0"/>
        <w:suppressAutoHyphens/>
        <w:topLinePunct/>
        <w:spacing w:before="0" w:after="0" w:line="240" w:lineRule="auto"/>
        <w:rPr>
          <w:rFonts w:hint="eastAsia"/>
          <w:bCs w:val="0"/>
          <w:color w:val="auto"/>
          <w:kern w:val="0"/>
          <w:sz w:val="28"/>
          <w:szCs w:val="28"/>
        </w:rPr>
      </w:pPr>
      <w:bookmarkStart w:id="7" w:name="_Toc29307430"/>
      <w:bookmarkStart w:id="8" w:name="_Toc29308630"/>
      <w:r>
        <w:rPr>
          <w:rFonts w:hint="eastAsia"/>
          <w:bCs w:val="0"/>
          <w:color w:val="auto"/>
          <w:kern w:val="0"/>
          <w:sz w:val="28"/>
          <w:szCs w:val="28"/>
        </w:rPr>
        <w:t>五、建设项目工程分析</w:t>
      </w:r>
      <w:bookmarkEnd w:id="7"/>
      <w:bookmarkEnd w:id="8"/>
    </w:p>
    <w:tbl>
      <w:tblPr>
        <w:tblStyle w:val="22"/>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5" w:type="dxa"/>
            <w:noWrap w:val="0"/>
            <w:vAlign w:val="top"/>
          </w:tcPr>
          <w:p>
            <w:pPr>
              <w:spacing w:line="360" w:lineRule="auto"/>
              <w:jc w:val="left"/>
              <w:rPr>
                <w:rFonts w:hint="eastAsia"/>
                <w:b/>
                <w:bCs/>
                <w:color w:val="auto"/>
                <w:sz w:val="28"/>
                <w:szCs w:val="32"/>
              </w:rPr>
            </w:pPr>
            <w:r>
              <w:rPr>
                <w:rFonts w:hint="eastAsia"/>
                <w:b/>
                <w:bCs/>
                <w:color w:val="auto"/>
                <w:sz w:val="28"/>
                <w:szCs w:val="32"/>
                <w:lang w:val="en-US" w:eastAsia="zh-CN"/>
              </w:rPr>
              <w:t>一、</w:t>
            </w:r>
            <w:r>
              <w:rPr>
                <w:rFonts w:hint="eastAsia"/>
                <w:b/>
                <w:bCs/>
                <w:color w:val="auto"/>
                <w:sz w:val="28"/>
                <w:szCs w:val="32"/>
              </w:rPr>
              <w:t>项目工艺流程及产污节点</w:t>
            </w:r>
          </w:p>
          <w:p>
            <w:pPr>
              <w:spacing w:line="360" w:lineRule="auto"/>
              <w:jc w:val="left"/>
              <w:rPr>
                <w:b/>
                <w:color w:val="auto"/>
                <w:spacing w:val="-2"/>
                <w:sz w:val="24"/>
                <w:u w:val="single"/>
              </w:rPr>
            </w:pPr>
            <w:r>
              <w:rPr>
                <w:rFonts w:hint="eastAsia"/>
                <w:color w:val="auto"/>
                <w:sz w:val="24"/>
                <w:szCs w:val="28"/>
                <w:u w:val="single"/>
                <w:lang w:val="en-US" w:eastAsia="zh-CN"/>
              </w:rPr>
              <w:t>1、</w:t>
            </w:r>
            <w:r>
              <w:rPr>
                <w:b/>
                <w:color w:val="auto"/>
                <w:spacing w:val="-2"/>
                <w:sz w:val="24"/>
                <w:u w:val="single"/>
              </w:rPr>
              <w:t>施工期工艺流程简述</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color w:val="auto"/>
                <w:spacing w:val="-2"/>
                <w:sz w:val="24"/>
                <w:u w:val="single"/>
              </w:rPr>
            </w:pPr>
            <w:r>
              <w:rPr>
                <w:color w:val="auto"/>
                <w:spacing w:val="-2"/>
                <w:sz w:val="24"/>
                <w:u w:val="single"/>
              </w:rPr>
              <w:t>本项目</w:t>
            </w:r>
            <w:r>
              <w:rPr>
                <w:color w:val="auto"/>
                <w:sz w:val="24"/>
                <w:u w:val="single"/>
              </w:rPr>
              <w:t>用地为</w:t>
            </w:r>
            <w:r>
              <w:rPr>
                <w:rFonts w:hint="eastAsia"/>
                <w:color w:val="auto"/>
                <w:sz w:val="24"/>
                <w:u w:val="single"/>
              </w:rPr>
              <w:t>怀化市洪江区欣隆竹胶板厂</w:t>
            </w:r>
            <w:r>
              <w:rPr>
                <w:rFonts w:hint="eastAsia"/>
                <w:color w:val="auto"/>
                <w:sz w:val="24"/>
                <w:u w:val="single"/>
                <w:lang w:eastAsia="zh-CN"/>
              </w:rPr>
              <w:t>内闲置场地</w:t>
            </w:r>
            <w:r>
              <w:rPr>
                <w:color w:val="auto"/>
                <w:sz w:val="24"/>
                <w:u w:val="single"/>
              </w:rPr>
              <w:t>，</w:t>
            </w:r>
            <w:r>
              <w:rPr>
                <w:rFonts w:hint="eastAsia" w:asciiTheme="minorEastAsia" w:hAnsiTheme="minorEastAsia" w:eastAsiaTheme="minorEastAsia" w:cstheme="minorEastAsia"/>
                <w:color w:val="auto"/>
                <w:sz w:val="24"/>
                <w:u w:val="single"/>
                <w:lang w:val="en-US" w:eastAsia="zh-CN"/>
              </w:rPr>
              <w:t>施工期</w:t>
            </w:r>
            <w:r>
              <w:rPr>
                <w:rFonts w:hint="eastAsia" w:asciiTheme="minorEastAsia" w:hAnsiTheme="minorEastAsia" w:eastAsiaTheme="minorEastAsia" w:cstheme="minorEastAsia"/>
                <w:color w:val="auto"/>
                <w:sz w:val="24"/>
                <w:u w:val="single"/>
              </w:rPr>
              <w:t>所进行的</w:t>
            </w:r>
            <w:r>
              <w:rPr>
                <w:rFonts w:hint="eastAsia" w:asciiTheme="minorEastAsia" w:hAnsiTheme="minorEastAsia" w:eastAsiaTheme="minorEastAsia" w:cstheme="minorEastAsia"/>
                <w:color w:val="auto"/>
                <w:sz w:val="24"/>
                <w:u w:val="single"/>
                <w:lang w:eastAsia="zh-CN"/>
              </w:rPr>
              <w:t>拆除原有破旧厂房、</w:t>
            </w:r>
            <w:r>
              <w:rPr>
                <w:rFonts w:hint="eastAsia" w:asciiTheme="minorEastAsia" w:hAnsiTheme="minorEastAsia" w:eastAsiaTheme="minorEastAsia" w:cstheme="minorEastAsia"/>
                <w:color w:val="auto"/>
                <w:sz w:val="24"/>
                <w:u w:val="single"/>
              </w:rPr>
              <w:t>土石方、</w:t>
            </w:r>
            <w:r>
              <w:rPr>
                <w:rFonts w:hint="eastAsia" w:asciiTheme="minorEastAsia" w:hAnsiTheme="minorEastAsia" w:eastAsiaTheme="minorEastAsia" w:cstheme="minorEastAsia"/>
                <w:color w:val="auto"/>
                <w:sz w:val="24"/>
                <w:u w:val="single"/>
                <w:lang w:eastAsia="zh-CN"/>
              </w:rPr>
              <w:t>新搭建钢结构厂房及办公楼、</w:t>
            </w:r>
            <w:r>
              <w:rPr>
                <w:rFonts w:hint="eastAsia" w:asciiTheme="minorEastAsia" w:hAnsiTheme="minorEastAsia" w:eastAsiaTheme="minorEastAsia" w:cstheme="minorEastAsia"/>
                <w:color w:val="auto"/>
                <w:sz w:val="24"/>
                <w:u w:val="single"/>
              </w:rPr>
              <w:t>建筑材料运输、设备</w:t>
            </w:r>
            <w:r>
              <w:rPr>
                <w:rFonts w:hint="eastAsia" w:asciiTheme="minorEastAsia" w:hAnsiTheme="minorEastAsia" w:eastAsiaTheme="minorEastAsia" w:cstheme="minorEastAsia"/>
                <w:color w:val="auto"/>
                <w:sz w:val="24"/>
                <w:u w:val="single"/>
                <w:lang w:val="en-US" w:eastAsia="zh-CN"/>
              </w:rPr>
              <w:t>安装调试</w:t>
            </w:r>
            <w:r>
              <w:rPr>
                <w:rFonts w:hint="eastAsia" w:asciiTheme="minorEastAsia" w:hAnsiTheme="minorEastAsia" w:eastAsiaTheme="minorEastAsia" w:cstheme="minorEastAsia"/>
                <w:color w:val="auto"/>
                <w:sz w:val="24"/>
                <w:u w:val="single"/>
              </w:rPr>
              <w:t>等施工行为，在一定时段内都将会对周围环境造成一定的影响。待施工期结束后将一并消失</w:t>
            </w:r>
            <w:r>
              <w:rPr>
                <w:color w:val="auto"/>
                <w:spacing w:val="-2"/>
                <w:sz w:val="24"/>
                <w:u w:val="single"/>
              </w:rPr>
              <w:t>。主要产污如下：</w:t>
            </w:r>
          </w:p>
          <w:p>
            <w:pPr>
              <w:keepNext w:val="0"/>
              <w:keepLines w:val="0"/>
              <w:pageBreakBefore w:val="0"/>
              <w:widowControl w:val="0"/>
              <w:numPr>
                <w:ilvl w:val="0"/>
                <w:numId w:val="0"/>
              </w:numPr>
              <w:kinsoku/>
              <w:wordWrap/>
              <w:overflowPunct/>
              <w:topLinePunct w:val="0"/>
              <w:bidi w:val="0"/>
              <w:spacing w:line="360" w:lineRule="auto"/>
              <w:ind w:firstLine="472" w:firstLineChars="200"/>
              <w:jc w:val="left"/>
              <w:textAlignment w:val="auto"/>
              <w:rPr>
                <w:rFonts w:hint="eastAsia"/>
                <w:color w:val="auto"/>
                <w:spacing w:val="-2"/>
                <w:sz w:val="24"/>
                <w:u w:val="single"/>
                <w:lang w:val="en-US" w:eastAsia="zh-CN"/>
              </w:rPr>
            </w:pPr>
            <w:r>
              <w:rPr>
                <w:rFonts w:hint="eastAsia"/>
                <w:color w:val="auto"/>
                <w:spacing w:val="-2"/>
                <w:sz w:val="24"/>
                <w:u w:val="single"/>
                <w:lang w:eastAsia="zh-CN"/>
              </w:rPr>
              <w:t>（</w:t>
            </w:r>
            <w:r>
              <w:rPr>
                <w:rFonts w:hint="eastAsia"/>
                <w:color w:val="auto"/>
                <w:spacing w:val="-2"/>
                <w:sz w:val="24"/>
                <w:u w:val="single"/>
                <w:lang w:val="en-US" w:eastAsia="zh-CN"/>
              </w:rPr>
              <w:t>1</w:t>
            </w:r>
            <w:r>
              <w:rPr>
                <w:rFonts w:hint="eastAsia"/>
                <w:color w:val="auto"/>
                <w:spacing w:val="-2"/>
                <w:sz w:val="24"/>
                <w:u w:val="single"/>
                <w:lang w:eastAsia="zh-CN"/>
              </w:rPr>
              <w:t>）</w:t>
            </w:r>
            <w:r>
              <w:rPr>
                <w:color w:val="auto"/>
                <w:spacing w:val="-2"/>
                <w:sz w:val="24"/>
                <w:u w:val="single"/>
              </w:rPr>
              <w:t>废气</w:t>
            </w:r>
            <w:r>
              <w:rPr>
                <w:rFonts w:hint="eastAsia"/>
                <w:color w:val="auto"/>
                <w:spacing w:val="-2"/>
                <w:sz w:val="24"/>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72" w:firstLineChars="200"/>
              <w:jc w:val="left"/>
              <w:textAlignment w:val="auto"/>
              <w:rPr>
                <w:color w:val="auto"/>
                <w:spacing w:val="-2"/>
                <w:sz w:val="24"/>
                <w:u w:val="single"/>
              </w:rPr>
            </w:pPr>
            <w:r>
              <w:rPr>
                <w:color w:val="auto"/>
                <w:spacing w:val="-2"/>
                <w:sz w:val="24"/>
                <w:u w:val="single"/>
              </w:rPr>
              <w:t>施工期主要大气污染物为</w:t>
            </w:r>
            <w:r>
              <w:rPr>
                <w:rFonts w:hint="eastAsia"/>
                <w:color w:val="auto"/>
                <w:spacing w:val="-2"/>
                <w:sz w:val="24"/>
                <w:u w:val="single"/>
                <w:lang w:eastAsia="zh-CN"/>
              </w:rPr>
              <w:t>施工扬尘、</w:t>
            </w:r>
            <w:r>
              <w:rPr>
                <w:color w:val="auto"/>
                <w:spacing w:val="-2"/>
                <w:sz w:val="24"/>
                <w:u w:val="single"/>
              </w:rPr>
              <w:t>运输扬尘、汽车尾气</w:t>
            </w:r>
            <w:r>
              <w:rPr>
                <w:rFonts w:hint="eastAsia"/>
                <w:color w:val="auto"/>
                <w:spacing w:val="-2"/>
                <w:sz w:val="24"/>
                <w:u w:val="single"/>
                <w:lang w:eastAsia="zh-CN"/>
              </w:rPr>
              <w:t>等</w:t>
            </w:r>
            <w:r>
              <w:rPr>
                <w:color w:val="auto"/>
                <w:spacing w:val="-2"/>
                <w:sz w:val="24"/>
                <w:u w:val="single"/>
              </w:rPr>
              <w:t>。因项目工期短，工程量极少，各大气污染排放量</w:t>
            </w:r>
            <w:r>
              <w:rPr>
                <w:rFonts w:hint="eastAsia"/>
                <w:color w:val="auto"/>
                <w:spacing w:val="-2"/>
                <w:sz w:val="24"/>
                <w:u w:val="single"/>
                <w:lang w:eastAsia="zh-CN"/>
              </w:rPr>
              <w:t>较</w:t>
            </w:r>
            <w:r>
              <w:rPr>
                <w:color w:val="auto"/>
                <w:spacing w:val="-2"/>
                <w:sz w:val="24"/>
                <w:u w:val="single"/>
              </w:rPr>
              <w:t>少。</w:t>
            </w:r>
          </w:p>
          <w:p>
            <w:pPr>
              <w:keepNext w:val="0"/>
              <w:keepLines w:val="0"/>
              <w:pageBreakBefore w:val="0"/>
              <w:widowControl w:val="0"/>
              <w:kinsoku/>
              <w:wordWrap/>
              <w:overflowPunct/>
              <w:topLinePunct w:val="0"/>
              <w:bidi w:val="0"/>
              <w:spacing w:line="360" w:lineRule="auto"/>
              <w:ind w:firstLine="472" w:firstLineChars="200"/>
              <w:jc w:val="left"/>
              <w:textAlignment w:val="auto"/>
              <w:rPr>
                <w:color w:val="auto"/>
                <w:spacing w:val="-2"/>
                <w:sz w:val="24"/>
                <w:u w:val="single"/>
              </w:rPr>
            </w:pPr>
            <w:r>
              <w:rPr>
                <w:rFonts w:hint="eastAsia"/>
                <w:color w:val="auto"/>
                <w:spacing w:val="-2"/>
                <w:sz w:val="24"/>
                <w:u w:val="single"/>
                <w:lang w:eastAsia="zh-CN"/>
              </w:rPr>
              <w:t>（</w:t>
            </w:r>
            <w:r>
              <w:rPr>
                <w:rFonts w:hint="eastAsia"/>
                <w:color w:val="auto"/>
                <w:spacing w:val="-2"/>
                <w:sz w:val="24"/>
                <w:u w:val="single"/>
                <w:lang w:val="en-US" w:eastAsia="zh-CN"/>
              </w:rPr>
              <w:t>2</w:t>
            </w:r>
            <w:r>
              <w:rPr>
                <w:rFonts w:hint="eastAsia"/>
                <w:color w:val="auto"/>
                <w:spacing w:val="-2"/>
                <w:sz w:val="24"/>
                <w:u w:val="single"/>
                <w:lang w:eastAsia="zh-CN"/>
              </w:rPr>
              <w:t>）</w:t>
            </w:r>
            <w:r>
              <w:rPr>
                <w:color w:val="auto"/>
                <w:spacing w:val="-2"/>
                <w:sz w:val="24"/>
                <w:u w:val="single"/>
              </w:rPr>
              <w:t>噪声</w:t>
            </w:r>
          </w:p>
          <w:p>
            <w:pPr>
              <w:keepNext w:val="0"/>
              <w:keepLines w:val="0"/>
              <w:pageBreakBefore w:val="0"/>
              <w:widowControl w:val="0"/>
              <w:kinsoku/>
              <w:wordWrap/>
              <w:overflowPunct/>
              <w:topLinePunct w:val="0"/>
              <w:bidi w:val="0"/>
              <w:spacing w:line="360" w:lineRule="auto"/>
              <w:ind w:firstLine="472" w:firstLineChars="200"/>
              <w:jc w:val="left"/>
              <w:textAlignment w:val="auto"/>
              <w:rPr>
                <w:color w:val="auto"/>
                <w:spacing w:val="-2"/>
                <w:sz w:val="24"/>
                <w:u w:val="single"/>
              </w:rPr>
            </w:pPr>
            <w:r>
              <w:rPr>
                <w:color w:val="auto"/>
                <w:spacing w:val="-2"/>
                <w:sz w:val="24"/>
                <w:u w:val="single"/>
              </w:rPr>
              <w:t>施工期噪声为运输车辆以及安装、调试设备的噪声。这些机械设备的噪声值一般在75~80dB(A)。</w:t>
            </w:r>
          </w:p>
          <w:p>
            <w:pPr>
              <w:keepNext w:val="0"/>
              <w:keepLines w:val="0"/>
              <w:pageBreakBefore w:val="0"/>
              <w:widowControl w:val="0"/>
              <w:kinsoku/>
              <w:wordWrap/>
              <w:overflowPunct/>
              <w:topLinePunct w:val="0"/>
              <w:bidi w:val="0"/>
              <w:spacing w:line="360" w:lineRule="auto"/>
              <w:ind w:firstLine="472" w:firstLineChars="200"/>
              <w:jc w:val="left"/>
              <w:textAlignment w:val="auto"/>
              <w:rPr>
                <w:color w:val="auto"/>
                <w:spacing w:val="-2"/>
                <w:sz w:val="24"/>
                <w:u w:val="single"/>
              </w:rPr>
            </w:pPr>
            <w:r>
              <w:rPr>
                <w:rFonts w:hint="eastAsia"/>
                <w:color w:val="auto"/>
                <w:spacing w:val="-2"/>
                <w:sz w:val="24"/>
                <w:u w:val="single"/>
                <w:lang w:eastAsia="zh-CN"/>
              </w:rPr>
              <w:t>（</w:t>
            </w:r>
            <w:r>
              <w:rPr>
                <w:rFonts w:hint="eastAsia"/>
                <w:color w:val="auto"/>
                <w:spacing w:val="-2"/>
                <w:sz w:val="24"/>
                <w:u w:val="single"/>
                <w:lang w:val="en-US" w:eastAsia="zh-CN"/>
              </w:rPr>
              <w:t>3</w:t>
            </w:r>
            <w:r>
              <w:rPr>
                <w:rFonts w:hint="eastAsia"/>
                <w:color w:val="auto"/>
                <w:spacing w:val="-2"/>
                <w:sz w:val="24"/>
                <w:u w:val="single"/>
                <w:lang w:eastAsia="zh-CN"/>
              </w:rPr>
              <w:t>）</w:t>
            </w:r>
            <w:r>
              <w:rPr>
                <w:color w:val="auto"/>
                <w:spacing w:val="-2"/>
                <w:sz w:val="24"/>
                <w:u w:val="single"/>
              </w:rPr>
              <w:t>废水</w:t>
            </w:r>
          </w:p>
          <w:p>
            <w:pPr>
              <w:pStyle w:val="7"/>
              <w:keepNext w:val="0"/>
              <w:keepLines w:val="0"/>
              <w:pageBreakBefore w:val="0"/>
              <w:widowControl w:val="0"/>
              <w:kinsoku/>
              <w:wordWrap/>
              <w:overflowPunct/>
              <w:topLinePunct w:val="0"/>
              <w:bidi w:val="0"/>
              <w:adjustRightInd w:val="0"/>
              <w:snapToGrid w:val="0"/>
              <w:spacing w:after="0" w:line="360" w:lineRule="auto"/>
              <w:ind w:firstLine="480" w:firstLineChars="200"/>
              <w:textAlignment w:val="auto"/>
              <w:rPr>
                <w:bCs/>
                <w:color w:val="auto"/>
                <w:sz w:val="24"/>
                <w:szCs w:val="28"/>
                <w:u w:val="single"/>
              </w:rPr>
            </w:pPr>
            <w:r>
              <w:rPr>
                <w:bCs/>
                <w:color w:val="auto"/>
                <w:sz w:val="24"/>
                <w:szCs w:val="28"/>
                <w:u w:val="single"/>
              </w:rPr>
              <w:t>通过现场调查得知，</w:t>
            </w:r>
            <w:r>
              <w:rPr>
                <w:rFonts w:hint="eastAsia"/>
                <w:bCs/>
                <w:color w:val="auto"/>
                <w:sz w:val="24"/>
                <w:szCs w:val="28"/>
                <w:u w:val="single"/>
                <w:lang w:eastAsia="zh-CN"/>
              </w:rPr>
              <w:t>施工期废水主要有施工废水及</w:t>
            </w:r>
            <w:r>
              <w:rPr>
                <w:bCs/>
                <w:color w:val="auto"/>
                <w:sz w:val="24"/>
                <w:szCs w:val="28"/>
                <w:u w:val="single"/>
              </w:rPr>
              <w:t>施工人员产生生活污水。</w:t>
            </w:r>
          </w:p>
          <w:p>
            <w:pPr>
              <w:keepNext w:val="0"/>
              <w:keepLines w:val="0"/>
              <w:pageBreakBefore w:val="0"/>
              <w:widowControl w:val="0"/>
              <w:kinsoku/>
              <w:wordWrap/>
              <w:overflowPunct/>
              <w:topLinePunct w:val="0"/>
              <w:bidi w:val="0"/>
              <w:spacing w:line="360" w:lineRule="auto"/>
              <w:ind w:firstLine="472" w:firstLineChars="200"/>
              <w:jc w:val="left"/>
              <w:textAlignment w:val="auto"/>
              <w:rPr>
                <w:color w:val="auto"/>
                <w:spacing w:val="-2"/>
                <w:sz w:val="24"/>
                <w:u w:val="single"/>
              </w:rPr>
            </w:pPr>
            <w:r>
              <w:rPr>
                <w:rFonts w:hint="eastAsia"/>
                <w:color w:val="auto"/>
                <w:spacing w:val="-2"/>
                <w:sz w:val="24"/>
                <w:u w:val="single"/>
                <w:lang w:eastAsia="zh-CN"/>
              </w:rPr>
              <w:t>（</w:t>
            </w:r>
            <w:r>
              <w:rPr>
                <w:rFonts w:hint="eastAsia"/>
                <w:color w:val="auto"/>
                <w:spacing w:val="-2"/>
                <w:sz w:val="24"/>
                <w:u w:val="single"/>
                <w:lang w:val="en-US" w:eastAsia="zh-CN"/>
              </w:rPr>
              <w:t>4</w:t>
            </w:r>
            <w:r>
              <w:rPr>
                <w:rFonts w:hint="eastAsia"/>
                <w:color w:val="auto"/>
                <w:spacing w:val="-2"/>
                <w:sz w:val="24"/>
                <w:u w:val="single"/>
                <w:lang w:eastAsia="zh-CN"/>
              </w:rPr>
              <w:t>）</w:t>
            </w:r>
            <w:r>
              <w:rPr>
                <w:color w:val="auto"/>
                <w:spacing w:val="-2"/>
                <w:sz w:val="24"/>
                <w:u w:val="single"/>
              </w:rPr>
              <w:t>固废</w:t>
            </w:r>
          </w:p>
          <w:p>
            <w:pPr>
              <w:pStyle w:val="2"/>
              <w:keepNext w:val="0"/>
              <w:keepLines w:val="0"/>
              <w:pageBreakBefore w:val="0"/>
              <w:widowControl w:val="0"/>
              <w:kinsoku/>
              <w:wordWrap/>
              <w:overflowPunct/>
              <w:topLinePunct w:val="0"/>
              <w:bidi w:val="0"/>
              <w:spacing w:line="360" w:lineRule="auto"/>
              <w:ind w:firstLine="472" w:firstLineChars="200"/>
              <w:textAlignment w:val="auto"/>
              <w:rPr>
                <w:rFonts w:hint="default"/>
                <w:color w:val="auto"/>
                <w:lang w:val="en-US" w:eastAsia="zh-CN"/>
              </w:rPr>
            </w:pPr>
            <w:r>
              <w:rPr>
                <w:color w:val="auto"/>
                <w:spacing w:val="-2"/>
                <w:sz w:val="24"/>
                <w:u w:val="single"/>
              </w:rPr>
              <w:t>施工期主要固废为一般固废，包括建筑垃圾、一般装修垃圾</w:t>
            </w:r>
            <w:r>
              <w:rPr>
                <w:rFonts w:hint="eastAsia"/>
                <w:color w:val="auto"/>
                <w:spacing w:val="-2"/>
                <w:sz w:val="24"/>
                <w:u w:val="single"/>
                <w:lang w:eastAsia="zh-CN"/>
              </w:rPr>
              <w:t>等</w:t>
            </w:r>
            <w:r>
              <w:rPr>
                <w:color w:val="auto"/>
                <w:spacing w:val="-2"/>
                <w:sz w:val="24"/>
                <w:u w:val="single"/>
              </w:rPr>
              <w:t>。因项目装修工程量</w:t>
            </w:r>
            <w:r>
              <w:rPr>
                <w:rFonts w:hint="eastAsia"/>
                <w:color w:val="auto"/>
                <w:spacing w:val="-2"/>
                <w:sz w:val="24"/>
                <w:u w:val="single"/>
                <w:lang w:eastAsia="zh-CN"/>
              </w:rPr>
              <w:t>较</w:t>
            </w:r>
            <w:r>
              <w:rPr>
                <w:color w:val="auto"/>
                <w:spacing w:val="-2"/>
                <w:sz w:val="24"/>
                <w:u w:val="single"/>
              </w:rPr>
              <w:t>少，固废产生量较少。</w:t>
            </w:r>
          </w:p>
          <w:p>
            <w:pPr>
              <w:spacing w:line="360" w:lineRule="auto"/>
              <w:rPr>
                <w:rFonts w:hint="eastAsia"/>
                <w:b/>
                <w:bCs/>
                <w:color w:val="auto"/>
                <w:sz w:val="24"/>
                <w:szCs w:val="28"/>
              </w:rPr>
            </w:pPr>
            <w:r>
              <w:rPr>
                <w:rFonts w:hint="eastAsia"/>
                <w:b/>
                <w:bCs/>
                <w:color w:val="auto"/>
                <w:sz w:val="24"/>
                <w:szCs w:val="28"/>
                <w:lang w:val="en-US" w:eastAsia="zh-CN"/>
              </w:rPr>
              <w:t>2、</w:t>
            </w:r>
            <w:r>
              <w:rPr>
                <w:rFonts w:hint="eastAsia"/>
                <w:b/>
                <w:bCs/>
                <w:color w:val="auto"/>
                <w:sz w:val="24"/>
                <w:szCs w:val="28"/>
              </w:rPr>
              <w:t>营运期工艺流程及产污节点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rPr>
            </w:pPr>
            <w:r>
              <w:rPr>
                <w:rFonts w:hint="eastAsia"/>
                <w:color w:val="auto"/>
                <w:sz w:val="24"/>
                <w:szCs w:val="28"/>
                <w:lang w:eastAsia="zh-CN"/>
              </w:rPr>
              <w:t>本</w:t>
            </w:r>
            <w:r>
              <w:rPr>
                <w:rFonts w:hint="eastAsia"/>
                <w:color w:val="auto"/>
                <w:sz w:val="24"/>
                <w:szCs w:val="28"/>
              </w:rPr>
              <w:t>项目</w:t>
            </w:r>
            <w:r>
              <w:rPr>
                <w:rFonts w:hint="eastAsia"/>
                <w:color w:val="auto"/>
                <w:sz w:val="24"/>
                <w:szCs w:val="28"/>
                <w:lang w:val="en-US" w:eastAsia="zh-CN"/>
              </w:rPr>
              <w:t>运营期</w:t>
            </w:r>
            <w:r>
              <w:rPr>
                <w:rFonts w:hint="eastAsia"/>
                <w:color w:val="auto"/>
                <w:sz w:val="24"/>
                <w:szCs w:val="28"/>
              </w:rPr>
              <w:t>主要以</w:t>
            </w:r>
            <w:r>
              <w:rPr>
                <w:rFonts w:hint="eastAsia"/>
                <w:color w:val="auto"/>
                <w:sz w:val="24"/>
                <w:szCs w:val="28"/>
                <w:lang w:val="en-US" w:eastAsia="zh-CN"/>
              </w:rPr>
              <w:t>周边</w:t>
            </w:r>
            <w:r>
              <w:rPr>
                <w:rFonts w:hint="eastAsia"/>
                <w:color w:val="auto"/>
                <w:sz w:val="24"/>
                <w:szCs w:val="28"/>
              </w:rPr>
              <w:t>竹木</w:t>
            </w:r>
            <w:r>
              <w:rPr>
                <w:rFonts w:hint="eastAsia"/>
                <w:color w:val="auto"/>
                <w:sz w:val="24"/>
                <w:szCs w:val="28"/>
                <w:lang w:eastAsia="zh-CN"/>
              </w:rPr>
              <w:t>生产</w:t>
            </w:r>
            <w:r>
              <w:rPr>
                <w:rFonts w:hint="eastAsia"/>
                <w:color w:val="auto"/>
                <w:sz w:val="24"/>
                <w:szCs w:val="28"/>
                <w:lang w:val="en-US" w:eastAsia="zh-CN"/>
              </w:rPr>
              <w:t>企业</w:t>
            </w:r>
            <w:r>
              <w:rPr>
                <w:rFonts w:hint="eastAsia"/>
                <w:color w:val="auto"/>
                <w:sz w:val="24"/>
                <w:szCs w:val="28"/>
              </w:rPr>
              <w:t>产生</w:t>
            </w:r>
            <w:r>
              <w:rPr>
                <w:rFonts w:hint="eastAsia"/>
                <w:color w:val="auto"/>
                <w:sz w:val="24"/>
                <w:szCs w:val="28"/>
                <w:lang w:val="en-US" w:eastAsia="zh-CN"/>
              </w:rPr>
              <w:t>的</w:t>
            </w:r>
            <w:r>
              <w:rPr>
                <w:rFonts w:hint="eastAsia"/>
                <w:color w:val="auto"/>
                <w:sz w:val="24"/>
                <w:szCs w:val="28"/>
              </w:rPr>
              <w:t>废弃竹屑、木屑</w:t>
            </w:r>
            <w:r>
              <w:rPr>
                <w:rFonts w:hint="eastAsia"/>
                <w:color w:val="auto"/>
                <w:sz w:val="24"/>
                <w:szCs w:val="28"/>
                <w:lang w:eastAsia="zh-CN"/>
              </w:rPr>
              <w:t>及其他边角料等</w:t>
            </w:r>
            <w:r>
              <w:rPr>
                <w:rFonts w:hint="eastAsia"/>
                <w:color w:val="auto"/>
                <w:sz w:val="24"/>
                <w:szCs w:val="28"/>
              </w:rPr>
              <w:t>为原料，通过烘干</w:t>
            </w:r>
            <w:r>
              <w:rPr>
                <w:rFonts w:hint="eastAsia"/>
                <w:color w:val="auto"/>
                <w:sz w:val="24"/>
                <w:szCs w:val="28"/>
                <w:lang w:eastAsia="zh-CN"/>
              </w:rPr>
              <w:t>、粉碎</w:t>
            </w:r>
            <w:r>
              <w:rPr>
                <w:rFonts w:hint="eastAsia"/>
                <w:color w:val="auto"/>
                <w:sz w:val="24"/>
                <w:szCs w:val="28"/>
              </w:rPr>
              <w:t>、制棒、炭化等工序生产机制环保炭，其工艺流程及产污环节示意图如下：</w:t>
            </w:r>
          </w:p>
          <w:p>
            <w:pPr>
              <w:spacing w:line="360" w:lineRule="auto"/>
              <w:jc w:val="center"/>
              <w:rPr>
                <w:rFonts w:hint="eastAsia"/>
                <w:color w:val="auto"/>
              </w:rPr>
            </w:pPr>
            <w:r>
              <w:rPr>
                <w:rFonts w:hint="eastAsia"/>
                <w:color w:val="auto"/>
              </w:rPr>
              <w:object>
                <v:shape id="_x0000_i1025" o:spt="75" type="#_x0000_t75" style="height:487.95pt;width:391.1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pPr>
              <w:ind w:firstLine="480"/>
              <w:jc w:val="center"/>
              <w:rPr>
                <w:rFonts w:hint="eastAsia"/>
                <w:color w:val="auto"/>
                <w:sz w:val="24"/>
                <w:szCs w:val="28"/>
              </w:rPr>
            </w:pPr>
            <w:r>
              <w:rPr>
                <w:rFonts w:hint="eastAsia"/>
                <w:b/>
                <w:bCs/>
                <w:color w:val="auto"/>
              </w:rPr>
              <w:t>图</w:t>
            </w:r>
            <w:r>
              <w:rPr>
                <w:rFonts w:hint="eastAsia"/>
                <w:b/>
                <w:bCs/>
                <w:color w:val="auto"/>
                <w:lang w:val="en-US" w:eastAsia="zh-CN"/>
              </w:rPr>
              <w:t>5-1</w:t>
            </w:r>
            <w:r>
              <w:rPr>
                <w:b/>
                <w:bCs/>
                <w:color w:val="auto"/>
              </w:rPr>
              <w:t xml:space="preserve"> 生产工艺流程及产污节点</w:t>
            </w:r>
          </w:p>
          <w:p>
            <w:pPr>
              <w:pStyle w:val="2"/>
              <w:keepNext w:val="0"/>
              <w:keepLines w:val="0"/>
              <w:numPr>
                <w:ilvl w:val="0"/>
                <w:numId w:val="0"/>
              </w:numPr>
              <w:suppressLineNumbers w:val="0"/>
              <w:spacing w:before="0" w:beforeAutospacing="0" w:after="0" w:afterAutospacing="0" w:line="360" w:lineRule="auto"/>
              <w:ind w:left="0" w:leftChars="0" w:right="0"/>
              <w:rPr>
                <w:rFonts w:hint="default" w:eastAsia="宋体"/>
                <w:b/>
                <w:bCs/>
                <w:color w:val="auto"/>
                <w:lang w:val="en-US" w:eastAsia="zh-CN"/>
              </w:rPr>
            </w:pPr>
            <w:r>
              <w:rPr>
                <w:rFonts w:hint="eastAsia"/>
                <w:b/>
                <w:bCs/>
                <w:color w:val="auto"/>
                <w:lang w:val="en-US" w:eastAsia="zh-CN"/>
              </w:rPr>
              <w:t xml:space="preserve">2. 1 </w:t>
            </w:r>
            <w:r>
              <w:rPr>
                <w:rFonts w:hint="eastAsia" w:asciiTheme="minorEastAsia" w:hAnsiTheme="minorEastAsia" w:eastAsiaTheme="minorEastAsia" w:cstheme="minorEastAsia"/>
                <w:b/>
                <w:bCs/>
                <w:color w:val="auto"/>
                <w:sz w:val="24"/>
                <w:szCs w:val="24"/>
                <w:lang w:val="en-US" w:eastAsia="zh-CN"/>
              </w:rPr>
              <w:t>运营期</w:t>
            </w:r>
            <w:r>
              <w:rPr>
                <w:rFonts w:hint="default" w:ascii="Times New Roman" w:hAnsi="Times New Roman"/>
                <w:b/>
                <w:bCs/>
                <w:color w:val="auto"/>
                <w:sz w:val="24"/>
                <w:szCs w:val="20"/>
              </w:rPr>
              <w:t>工艺流程</w:t>
            </w:r>
            <w:r>
              <w:rPr>
                <w:rFonts w:hint="eastAsia"/>
                <w:b/>
                <w:bCs/>
                <w:color w:val="auto"/>
                <w:sz w:val="24"/>
                <w:szCs w:val="20"/>
                <w:lang w:val="en-US" w:eastAsia="zh-CN"/>
              </w:rPr>
              <w:t>主要包括以下工艺过程：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（1）原料卸载</w:t>
            </w:r>
          </w:p>
          <w:p>
            <w:pPr>
              <w:pStyle w:val="5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采购于竹材加工厂加工锯末及下脚料，由运输车辆袋装运至厂区，运输车加盖苫布，卸载到原料库。在此过程中，会产生少量粉尘。</w:t>
            </w:r>
          </w:p>
          <w:p>
            <w:pPr>
              <w:pStyle w:val="52"/>
              <w:keepNext w:val="0"/>
              <w:keepLines w:val="0"/>
              <w:numPr>
                <w:ilvl w:val="0"/>
                <w:numId w:val="0"/>
              </w:numPr>
              <w:suppressLineNumbers w:val="0"/>
              <w:spacing w:before="0" w:beforeAutospacing="0" w:after="0" w:afterAutospacing="0" w:line="360" w:lineRule="auto"/>
              <w:ind w:leftChars="0" w:right="0" w:rightChars="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2</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烘干：</w:t>
            </w:r>
          </w:p>
          <w:p>
            <w:pPr>
              <w:pStyle w:val="52"/>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利用</w:t>
            </w:r>
            <w:r>
              <w:rPr>
                <w:rFonts w:hint="eastAsia" w:asciiTheme="minorEastAsia" w:hAnsiTheme="minorEastAsia" w:eastAsiaTheme="minorEastAsia" w:cstheme="minorEastAsia"/>
                <w:color w:val="auto"/>
                <w:sz w:val="24"/>
                <w:szCs w:val="24"/>
                <w:lang w:eastAsia="zh-CN"/>
              </w:rPr>
              <w:t>烘干炉</w:t>
            </w:r>
            <w:r>
              <w:rPr>
                <w:rFonts w:hint="eastAsia" w:asciiTheme="minorEastAsia" w:hAnsiTheme="minorEastAsia" w:eastAsiaTheme="minorEastAsia" w:cstheme="minorEastAsia"/>
                <w:color w:val="auto"/>
                <w:sz w:val="24"/>
                <w:szCs w:val="24"/>
              </w:rPr>
              <w:t>将</w:t>
            </w:r>
            <w:r>
              <w:rPr>
                <w:rFonts w:hint="eastAsia" w:asciiTheme="minorEastAsia" w:hAnsiTheme="minorEastAsia" w:eastAsiaTheme="minorEastAsia" w:cstheme="minorEastAsia"/>
                <w:color w:val="auto"/>
                <w:sz w:val="24"/>
                <w:szCs w:val="24"/>
                <w:lang w:eastAsia="zh-CN"/>
              </w:rPr>
              <w:t>上述</w:t>
            </w:r>
            <w:r>
              <w:rPr>
                <w:rFonts w:hint="eastAsia" w:asciiTheme="minorEastAsia" w:hAnsiTheme="minorEastAsia" w:eastAsiaTheme="minorEastAsia" w:cstheme="minorEastAsia"/>
                <w:color w:val="auto"/>
                <w:sz w:val="24"/>
                <w:szCs w:val="24"/>
              </w:rPr>
              <w:t>原料</w:t>
            </w:r>
            <w:r>
              <w:rPr>
                <w:rFonts w:hint="eastAsia" w:asciiTheme="minorEastAsia" w:hAnsiTheme="minorEastAsia" w:eastAsiaTheme="minorEastAsia" w:cstheme="minorEastAsia"/>
                <w:color w:val="auto"/>
                <w:sz w:val="24"/>
                <w:szCs w:val="24"/>
                <w:lang w:val="en-US" w:eastAsia="zh-CN"/>
              </w:rPr>
              <w:t>在</w:t>
            </w:r>
            <w:r>
              <w:rPr>
                <w:rFonts w:hint="eastAsia" w:asciiTheme="minorEastAsia" w:hAnsiTheme="minorEastAsia" w:eastAsiaTheme="minorEastAsia" w:cstheme="minorEastAsia"/>
                <w:color w:val="auto"/>
                <w:kern w:val="0"/>
                <w:sz w:val="24"/>
                <w:szCs w:val="24"/>
              </w:rPr>
              <w:t>烘干机</w:t>
            </w:r>
            <w:r>
              <w:rPr>
                <w:rFonts w:hint="eastAsia" w:asciiTheme="minorEastAsia" w:hAnsiTheme="minorEastAsia" w:eastAsiaTheme="minorEastAsia" w:cstheme="minorEastAsia"/>
                <w:color w:val="auto"/>
                <w:kern w:val="0"/>
                <w:sz w:val="24"/>
                <w:szCs w:val="24"/>
                <w:lang w:val="en-US" w:eastAsia="zh-CN"/>
              </w:rPr>
              <w:t>内</w:t>
            </w:r>
            <w:r>
              <w:rPr>
                <w:rFonts w:hint="eastAsia" w:asciiTheme="minorEastAsia" w:hAnsiTheme="minorEastAsia" w:eastAsiaTheme="minorEastAsia" w:cstheme="minorEastAsia"/>
                <w:color w:val="auto"/>
                <w:sz w:val="24"/>
                <w:szCs w:val="24"/>
              </w:rPr>
              <w:t>加热、烘干（运行温度为1</w:t>
            </w: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0</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rPr>
              <w:t>0℃）</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kern w:val="0"/>
                <w:sz w:val="24"/>
                <w:szCs w:val="24"/>
              </w:rPr>
              <w:t>项目采用的烘干机为滚筒式烘干机，</w:t>
            </w:r>
            <w:r>
              <w:rPr>
                <w:rFonts w:hint="eastAsia" w:asciiTheme="minorEastAsia" w:hAnsiTheme="minorEastAsia" w:eastAsiaTheme="minorEastAsia" w:cstheme="minorEastAsia"/>
                <w:color w:val="auto"/>
                <w:sz w:val="24"/>
                <w:szCs w:val="24"/>
                <w:lang w:eastAsia="zh-CN"/>
              </w:rPr>
              <w:t>烘干炉燃料</w:t>
            </w:r>
            <w:r>
              <w:rPr>
                <w:rFonts w:hint="eastAsia" w:asciiTheme="minorEastAsia" w:hAnsiTheme="minorEastAsia" w:eastAsiaTheme="minorEastAsia" w:cstheme="minorEastAsia"/>
                <w:color w:val="auto"/>
                <w:sz w:val="24"/>
                <w:szCs w:val="24"/>
                <w:lang w:val="en-US" w:eastAsia="zh-CN"/>
              </w:rPr>
              <w:t>以综合利用</w:t>
            </w:r>
            <w:r>
              <w:rPr>
                <w:rFonts w:hint="eastAsia" w:asciiTheme="minorEastAsia" w:hAnsiTheme="minorEastAsia" w:eastAsiaTheme="minorEastAsia" w:cstheme="minorEastAsia"/>
                <w:color w:val="auto"/>
                <w:sz w:val="24"/>
                <w:szCs w:val="24"/>
                <w:lang w:eastAsia="zh-CN"/>
              </w:rPr>
              <w:t>炭化</w:t>
            </w:r>
            <w:r>
              <w:rPr>
                <w:rFonts w:hint="eastAsia" w:asciiTheme="minorEastAsia" w:hAnsiTheme="minorEastAsia" w:eastAsiaTheme="minorEastAsia" w:cstheme="minorEastAsia"/>
                <w:color w:val="auto"/>
                <w:sz w:val="24"/>
                <w:szCs w:val="24"/>
                <w:lang w:val="en-US" w:eastAsia="zh-CN"/>
              </w:rPr>
              <w:t>炉内炭化过程产生的</w:t>
            </w:r>
            <w:r>
              <w:rPr>
                <w:rFonts w:hint="eastAsia" w:asciiTheme="minorEastAsia" w:hAnsiTheme="minorEastAsia" w:eastAsiaTheme="minorEastAsia" w:cstheme="minorEastAsia"/>
                <w:color w:val="auto"/>
                <w:sz w:val="24"/>
                <w:szCs w:val="24"/>
                <w:lang w:eastAsia="zh-CN"/>
              </w:rPr>
              <w:t>的可燃气体</w:t>
            </w:r>
            <w:r>
              <w:rPr>
                <w:rFonts w:hint="eastAsia" w:asciiTheme="minorEastAsia" w:hAnsiTheme="minorEastAsia" w:eastAsiaTheme="minorEastAsia" w:cstheme="minorEastAsia"/>
                <w:color w:val="auto"/>
                <w:sz w:val="24"/>
                <w:szCs w:val="24"/>
                <w:lang w:val="en-US" w:eastAsia="zh-CN"/>
              </w:rPr>
              <w:t>为主，不足部分由生物质燃料做补充</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在引风机的负压引风下，</w:t>
            </w:r>
            <w:r>
              <w:rPr>
                <w:rFonts w:hint="eastAsia" w:asciiTheme="minorEastAsia" w:hAnsiTheme="minorEastAsia" w:eastAsiaTheme="minorEastAsia" w:cstheme="minorEastAsia"/>
                <w:color w:val="auto"/>
                <w:kern w:val="0"/>
                <w:sz w:val="24"/>
                <w:szCs w:val="24"/>
              </w:rPr>
              <w:t>燃烧烟气引入到烘干机内与物料直接接触，对物料进行烘干</w:t>
            </w:r>
            <w:r>
              <w:rPr>
                <w:rFonts w:hint="eastAsia" w:asciiTheme="minorEastAsia" w:hAnsiTheme="minorEastAsia" w:eastAsiaTheme="minorEastAsia" w:cstheme="minorEastAsia"/>
                <w:color w:val="auto"/>
                <w:kern w:val="0"/>
                <w:sz w:val="24"/>
                <w:szCs w:val="24"/>
                <w:lang w:eastAsia="zh-CN"/>
              </w:rPr>
              <w:t>，烘干</w:t>
            </w:r>
            <w:r>
              <w:rPr>
                <w:rFonts w:hint="eastAsia" w:asciiTheme="minorEastAsia" w:hAnsiTheme="minorEastAsia" w:eastAsiaTheme="minorEastAsia" w:cstheme="minorEastAsia"/>
                <w:color w:val="auto"/>
                <w:kern w:val="0"/>
                <w:sz w:val="24"/>
                <w:szCs w:val="24"/>
              </w:rPr>
              <w:t>废气</w:t>
            </w:r>
            <w:r>
              <w:rPr>
                <w:rFonts w:hint="eastAsia" w:asciiTheme="minorEastAsia" w:hAnsiTheme="minorEastAsia" w:eastAsiaTheme="minorEastAsia" w:cstheme="minorEastAsia"/>
                <w:color w:val="auto"/>
                <w:kern w:val="0"/>
                <w:sz w:val="24"/>
                <w:szCs w:val="24"/>
                <w:lang w:eastAsia="zh-CN"/>
              </w:rPr>
              <w:t>与物料经</w:t>
            </w:r>
            <w:r>
              <w:rPr>
                <w:rFonts w:hint="eastAsia" w:asciiTheme="minorEastAsia" w:hAnsiTheme="minorEastAsia" w:eastAsiaTheme="minorEastAsia" w:cstheme="minorEastAsia"/>
                <w:color w:val="auto"/>
                <w:kern w:val="0"/>
                <w:sz w:val="24"/>
                <w:szCs w:val="24"/>
                <w:u w:val="none"/>
              </w:rPr>
              <w:t>旋风分离器</w:t>
            </w:r>
            <w:r>
              <w:rPr>
                <w:rFonts w:hint="eastAsia" w:asciiTheme="minorEastAsia" w:hAnsiTheme="minorEastAsia" w:eastAsiaTheme="minorEastAsia" w:cstheme="minorEastAsia"/>
                <w:color w:val="auto"/>
                <w:kern w:val="0"/>
                <w:sz w:val="24"/>
                <w:szCs w:val="24"/>
                <w:u w:val="none"/>
                <w:lang w:eastAsia="zh-CN"/>
              </w:rPr>
              <w:t>进行固气分离</w:t>
            </w:r>
            <w:r>
              <w:rPr>
                <w:rFonts w:hint="eastAsia" w:asciiTheme="minorEastAsia" w:hAnsiTheme="minorEastAsia" w:eastAsiaTheme="minorEastAsia" w:cstheme="minorEastAsia"/>
                <w:color w:val="auto"/>
                <w:kern w:val="0"/>
                <w:sz w:val="24"/>
                <w:szCs w:val="24"/>
                <w:u w:val="none"/>
                <w:lang w:eastAsia="zh-CN"/>
              </w:rPr>
              <w:t>处理后，废气进入水雾除尘器（湿法除尘）</w:t>
            </w:r>
            <w:r>
              <w:rPr>
                <w:rFonts w:hint="eastAsia" w:asciiTheme="minorEastAsia" w:hAnsiTheme="minorEastAsia" w:eastAsiaTheme="minorEastAsia" w:cstheme="minorEastAsia"/>
                <w:color w:val="auto"/>
                <w:kern w:val="0"/>
                <w:sz w:val="24"/>
                <w:szCs w:val="24"/>
                <w:u w:val="none"/>
                <w:lang w:val="en-US" w:eastAsia="zh-CN"/>
              </w:rPr>
              <w:t>+静电除尘</w:t>
            </w:r>
            <w:r>
              <w:rPr>
                <w:rFonts w:hint="eastAsia" w:asciiTheme="minorEastAsia" w:hAnsiTheme="minorEastAsia" w:eastAsiaTheme="minorEastAsia" w:cstheme="minorEastAsia"/>
                <w:color w:val="auto"/>
                <w:kern w:val="0"/>
                <w:sz w:val="24"/>
                <w:szCs w:val="24"/>
                <w:u w:val="none"/>
                <w:lang w:eastAsia="zh-CN"/>
              </w:rPr>
              <w:t>后经</w:t>
            </w:r>
            <w:r>
              <w:rPr>
                <w:rFonts w:hint="eastAsia" w:asciiTheme="minorEastAsia" w:hAnsiTheme="minorEastAsia" w:eastAsiaTheme="minorEastAsia" w:cstheme="minorEastAsia"/>
                <w:color w:val="auto"/>
                <w:kern w:val="0"/>
                <w:sz w:val="24"/>
                <w:szCs w:val="24"/>
                <w:u w:val="none"/>
                <w:lang w:val="en-US" w:eastAsia="zh-CN"/>
              </w:rPr>
              <w:t>15米排气筒排放</w:t>
            </w:r>
            <w:r>
              <w:rPr>
                <w:rFonts w:hint="eastAsia" w:asciiTheme="minorEastAsia" w:hAnsiTheme="minorEastAsia" w:eastAsiaTheme="minorEastAsia" w:cstheme="minorEastAsia"/>
                <w:color w:val="auto"/>
                <w:kern w:val="0"/>
                <w:sz w:val="24"/>
                <w:szCs w:val="24"/>
              </w:rPr>
              <w:t>。</w:t>
            </w:r>
          </w:p>
          <w:p>
            <w:pPr>
              <w:pStyle w:val="10"/>
              <w:spacing w:after="0" w:line="360" w:lineRule="auto"/>
              <w:ind w:firstLine="480"/>
              <w:rPr>
                <w:rFonts w:hint="eastAsia"/>
                <w:b/>
                <w:bCs/>
                <w:color w:val="auto"/>
                <w:sz w:val="24"/>
                <w:szCs w:val="24"/>
                <w:u w:val="single"/>
              </w:rPr>
            </w:pPr>
            <w:r>
              <w:rPr>
                <w:rFonts w:hint="eastAsia"/>
                <w:b/>
                <w:bCs/>
                <w:color w:val="auto"/>
                <w:sz w:val="24"/>
                <w:szCs w:val="24"/>
                <w:u w:val="single"/>
              </w:rPr>
              <w:t>（3）一次分离</w:t>
            </w:r>
          </w:p>
          <w:p>
            <w:pPr>
              <w:pStyle w:val="10"/>
              <w:spacing w:after="0" w:line="360" w:lineRule="auto"/>
              <w:ind w:firstLine="480"/>
              <w:rPr>
                <w:rFonts w:hint="eastAsia"/>
                <w:color w:val="auto"/>
                <w:sz w:val="24"/>
                <w:szCs w:val="24"/>
                <w:u w:val="single"/>
              </w:rPr>
            </w:pPr>
            <w:r>
              <w:rPr>
                <w:rFonts w:hint="eastAsia"/>
                <w:color w:val="auto"/>
                <w:sz w:val="24"/>
                <w:szCs w:val="24"/>
                <w:u w:val="single"/>
              </w:rPr>
              <w:t>干燥后的的水汽和烟气通过风机和管道引入旋风分离器中进行一次分离。在旋风分离器中通过重力的作用，干木屑从潮湿的空气中被分离出来，分离出的干木屑通过管道送入另外一台旋风分离器中进行二次分离，废气通过管道引入水雾除尘器中处理。</w:t>
            </w:r>
          </w:p>
          <w:p>
            <w:pPr>
              <w:pStyle w:val="10"/>
              <w:spacing w:after="0" w:line="360" w:lineRule="auto"/>
              <w:ind w:firstLine="480"/>
              <w:rPr>
                <w:rFonts w:hint="eastAsia"/>
                <w:b/>
                <w:bCs/>
                <w:color w:val="auto"/>
                <w:sz w:val="24"/>
                <w:szCs w:val="24"/>
                <w:u w:val="single"/>
              </w:rPr>
            </w:pPr>
            <w:r>
              <w:rPr>
                <w:rFonts w:hint="eastAsia"/>
                <w:b/>
                <w:bCs/>
                <w:color w:val="auto"/>
                <w:sz w:val="24"/>
                <w:szCs w:val="24"/>
                <w:u w:val="single"/>
              </w:rPr>
              <w:t>（4）二次分离</w:t>
            </w:r>
          </w:p>
          <w:p>
            <w:pPr>
              <w:pStyle w:val="10"/>
              <w:spacing w:after="0" w:line="360" w:lineRule="auto"/>
              <w:ind w:firstLine="480"/>
              <w:rPr>
                <w:rFonts w:hint="eastAsia"/>
                <w:color w:val="auto"/>
                <w:sz w:val="24"/>
                <w:szCs w:val="24"/>
                <w:u w:val="single"/>
              </w:rPr>
            </w:pPr>
            <w:r>
              <w:rPr>
                <w:rFonts w:hint="eastAsia"/>
                <w:color w:val="auto"/>
                <w:sz w:val="24"/>
                <w:szCs w:val="24"/>
                <w:u w:val="single"/>
              </w:rPr>
              <w:t>一次分离后的干料引入另一台旋风分离器中进行二次分离，分离出的木屑落入料箱中，在料箱里被直接送入</w:t>
            </w:r>
            <w:r>
              <w:rPr>
                <w:rFonts w:hint="eastAsia"/>
                <w:color w:val="auto"/>
                <w:sz w:val="24"/>
                <w:szCs w:val="24"/>
                <w:u w:val="single"/>
                <w:lang w:eastAsia="zh-CN"/>
              </w:rPr>
              <w:t>粉碎机中进行粉碎</w:t>
            </w:r>
            <w:r>
              <w:rPr>
                <w:rFonts w:hint="eastAsia"/>
                <w:color w:val="auto"/>
                <w:sz w:val="24"/>
                <w:szCs w:val="24"/>
                <w:u w:val="single"/>
              </w:rPr>
              <w:t>。产生的废气通过管道引入水雾除尘器中处理。</w:t>
            </w:r>
          </w:p>
          <w:p>
            <w:pPr>
              <w:pStyle w:val="52"/>
              <w:keepNext w:val="0"/>
              <w:keepLines w:val="0"/>
              <w:numPr>
                <w:ilvl w:val="0"/>
                <w:numId w:val="0"/>
              </w:numPr>
              <w:suppressLineNumbers w:val="0"/>
              <w:spacing w:before="0" w:beforeAutospacing="0" w:after="0" w:afterAutospacing="0" w:line="360" w:lineRule="auto"/>
              <w:ind w:left="0" w:right="0" w:rightChars="0" w:firstLine="482" w:firstLineChars="200"/>
              <w:rPr>
                <w:rFonts w:hint="default" w:asciiTheme="minorEastAsia" w:hAnsiTheme="minorEastAsia" w:eastAsiaTheme="minorEastAsia" w:cstheme="minorEastAsia"/>
                <w:b/>
                <w:bCs/>
                <w:color w:val="auto"/>
                <w:kern w:val="0"/>
                <w:sz w:val="24"/>
                <w:szCs w:val="24"/>
                <w:u w:val="single"/>
                <w:lang w:val="en-US" w:eastAsia="zh-CN"/>
              </w:rPr>
            </w:pPr>
            <w:r>
              <w:rPr>
                <w:rFonts w:hint="eastAsia" w:asciiTheme="minorEastAsia" w:hAnsiTheme="minorEastAsia" w:eastAsiaTheme="minorEastAsia" w:cstheme="minorEastAsia"/>
                <w:b/>
                <w:bCs/>
                <w:color w:val="auto"/>
                <w:kern w:val="0"/>
                <w:sz w:val="24"/>
                <w:szCs w:val="24"/>
                <w:u w:val="single"/>
                <w:lang w:eastAsia="zh-CN"/>
              </w:rPr>
              <w:t>（</w:t>
            </w:r>
            <w:r>
              <w:rPr>
                <w:rFonts w:hint="eastAsia" w:asciiTheme="minorEastAsia" w:hAnsiTheme="minorEastAsia" w:eastAsiaTheme="minorEastAsia" w:cstheme="minorEastAsia"/>
                <w:b/>
                <w:bCs/>
                <w:color w:val="auto"/>
                <w:kern w:val="0"/>
                <w:sz w:val="24"/>
                <w:szCs w:val="24"/>
                <w:u w:val="single"/>
                <w:lang w:val="en-US" w:eastAsia="zh-CN"/>
              </w:rPr>
              <w:t>5</w:t>
            </w:r>
            <w:r>
              <w:rPr>
                <w:rFonts w:hint="eastAsia" w:asciiTheme="minorEastAsia" w:hAnsiTheme="minorEastAsia" w:eastAsiaTheme="minorEastAsia" w:cstheme="minorEastAsia"/>
                <w:b/>
                <w:bCs/>
                <w:color w:val="auto"/>
                <w:kern w:val="0"/>
                <w:sz w:val="24"/>
                <w:szCs w:val="24"/>
                <w:u w:val="single"/>
                <w:lang w:eastAsia="zh-CN"/>
              </w:rPr>
              <w:t>）粉碎</w:t>
            </w:r>
            <w:r>
              <w:rPr>
                <w:rFonts w:hint="eastAsia" w:asciiTheme="minorEastAsia" w:hAnsiTheme="minorEastAsia" w:eastAsiaTheme="minorEastAsia" w:cstheme="minorEastAsia"/>
                <w:b/>
                <w:bCs/>
                <w:color w:val="auto"/>
                <w:kern w:val="0"/>
                <w:sz w:val="24"/>
                <w:szCs w:val="24"/>
                <w:u w:val="single"/>
                <w:lang w:val="en-US" w:eastAsia="zh-CN"/>
              </w:rPr>
              <w:t>+三次分离</w:t>
            </w:r>
          </w:p>
          <w:p>
            <w:pPr>
              <w:pStyle w:val="52"/>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eastAsia="宋体" w:asciiTheme="minorEastAsia" w:hAnsi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u w:val="single"/>
                <w:lang w:val="en-US" w:eastAsia="zh-CN"/>
              </w:rPr>
              <w:t>烘干后的物料经二次固气分离后，将物料进行粉碎，本项目原材料粉碎设备密闭，粉碎后的物料再次进过旋风分离器进行固气分离，</w:t>
            </w:r>
            <w:r>
              <w:rPr>
                <w:rFonts w:hint="eastAsia"/>
                <w:color w:val="auto"/>
                <w:sz w:val="24"/>
                <w:szCs w:val="24"/>
                <w:u w:val="single"/>
              </w:rPr>
              <w:t>分离出的木屑落入料箱中，在料箱里被送料机直接送入制棒机中进行固化成型。</w:t>
            </w:r>
            <w:r>
              <w:rPr>
                <w:rFonts w:hint="eastAsia"/>
                <w:color w:val="auto"/>
                <w:sz w:val="24"/>
                <w:szCs w:val="24"/>
                <w:u w:val="single"/>
                <w:lang w:eastAsia="zh-CN"/>
              </w:rPr>
              <w:t>废气经管道引至</w:t>
            </w:r>
            <w:r>
              <w:rPr>
                <w:rFonts w:hint="eastAsia" w:asciiTheme="minorEastAsia" w:hAnsiTheme="minorEastAsia" w:eastAsiaTheme="minorEastAsia" w:cstheme="minorEastAsia"/>
                <w:color w:val="auto"/>
                <w:kern w:val="0"/>
                <w:sz w:val="24"/>
                <w:szCs w:val="24"/>
                <w:u w:val="single"/>
                <w:lang w:eastAsia="zh-CN"/>
              </w:rPr>
              <w:t>水雾除尘器（湿法除尘）</w:t>
            </w:r>
            <w:r>
              <w:rPr>
                <w:rFonts w:hint="eastAsia" w:asciiTheme="minorEastAsia" w:hAnsiTheme="minorEastAsia" w:eastAsiaTheme="minorEastAsia" w:cstheme="minorEastAsia"/>
                <w:color w:val="auto"/>
                <w:kern w:val="0"/>
                <w:sz w:val="24"/>
                <w:szCs w:val="24"/>
                <w:u w:val="single"/>
                <w:lang w:val="en-US" w:eastAsia="zh-CN"/>
              </w:rPr>
              <w:t>+静电除尘</w:t>
            </w:r>
            <w:r>
              <w:rPr>
                <w:rFonts w:hint="eastAsia" w:asciiTheme="minorEastAsia" w:hAnsiTheme="minorEastAsia" w:eastAsiaTheme="minorEastAsia" w:cstheme="minorEastAsia"/>
                <w:color w:val="auto"/>
                <w:kern w:val="0"/>
                <w:sz w:val="24"/>
                <w:szCs w:val="24"/>
                <w:u w:val="single"/>
                <w:lang w:eastAsia="zh-CN"/>
              </w:rPr>
              <w:t>后经</w:t>
            </w:r>
            <w:r>
              <w:rPr>
                <w:rFonts w:hint="eastAsia" w:asciiTheme="minorEastAsia" w:hAnsiTheme="minorEastAsia" w:eastAsiaTheme="minorEastAsia" w:cstheme="minorEastAsia"/>
                <w:color w:val="auto"/>
                <w:kern w:val="0"/>
                <w:sz w:val="24"/>
                <w:szCs w:val="24"/>
                <w:u w:val="single"/>
                <w:lang w:val="en-US" w:eastAsia="zh-CN"/>
              </w:rPr>
              <w:t>15米排气筒排放。</w:t>
            </w:r>
          </w:p>
          <w:p>
            <w:pPr>
              <w:keepNext w:val="0"/>
              <w:keepLines w:val="0"/>
              <w:numPr>
                <w:ilvl w:val="0"/>
                <w:numId w:val="0"/>
              </w:numPr>
              <w:suppressLineNumbers w:val="0"/>
              <w:spacing w:before="0" w:beforeAutospacing="0" w:after="0" w:afterAutospacing="0" w:line="360" w:lineRule="auto"/>
              <w:ind w:left="0" w:leftChars="0" w:right="0" w:firstLine="482"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（6）制棒：</w:t>
            </w:r>
          </w:p>
          <w:p>
            <w:pPr>
              <w:keepNext w:val="0"/>
              <w:keepLines w:val="0"/>
              <w:numPr>
                <w:ilvl w:val="0"/>
                <w:numId w:val="0"/>
              </w:numPr>
              <w:suppressLineNumbers w:val="0"/>
              <w:spacing w:before="0" w:beforeAutospacing="0" w:after="0" w:afterAutospacing="0" w:line="360" w:lineRule="auto"/>
              <w:ind w:left="0" w:leftChars="0" w:right="0"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烘干后的原料经</w:t>
            </w:r>
            <w:r>
              <w:rPr>
                <w:rFonts w:hint="eastAsia" w:asciiTheme="minorEastAsia" w:hAnsiTheme="minorEastAsia" w:eastAsiaTheme="minorEastAsia" w:cstheme="minorEastAsia"/>
                <w:b w:val="0"/>
                <w:bCs w:val="0"/>
                <w:color w:val="auto"/>
                <w:sz w:val="24"/>
                <w:szCs w:val="24"/>
                <w:lang w:val="en-US" w:eastAsia="zh-CN"/>
              </w:rPr>
              <w:t>粉碎机进一步粉碎后由风机引至旋风分离器，再经螺旋输送机输送至</w:t>
            </w:r>
            <w:r>
              <w:rPr>
                <w:rFonts w:hint="eastAsia" w:asciiTheme="minorEastAsia" w:hAnsiTheme="minorEastAsia" w:eastAsiaTheme="minorEastAsia" w:cstheme="minorEastAsia"/>
                <w:color w:val="auto"/>
                <w:sz w:val="24"/>
                <w:szCs w:val="24"/>
                <w:lang w:val="en-US" w:eastAsia="zh-CN"/>
              </w:rPr>
              <w:t>自动进料绞龙，利用自动进料绞龙将干燥、破碎后的原料送至高效制棒机，通过机械压缩的方法将压缩成高密度的棒材半成品。</w:t>
            </w:r>
            <w:r>
              <w:rPr>
                <w:rFonts w:hint="eastAsia" w:asciiTheme="minorEastAsia" w:hAnsiTheme="minorEastAsia" w:eastAsiaTheme="minorEastAsia" w:cstheme="minorEastAsia"/>
                <w:color w:val="auto"/>
                <w:kern w:val="0"/>
                <w:sz w:val="24"/>
                <w:szCs w:val="24"/>
              </w:rPr>
              <w:t>本工序是在</w:t>
            </w:r>
            <w:r>
              <w:rPr>
                <w:rFonts w:hint="eastAsia" w:asciiTheme="minorEastAsia" w:hAnsiTheme="minorEastAsia" w:eastAsiaTheme="minorEastAsia" w:cstheme="minorEastAsia"/>
                <w:color w:val="auto"/>
                <w:kern w:val="0"/>
                <w:sz w:val="24"/>
                <w:szCs w:val="24"/>
                <w:lang w:eastAsia="zh-CN"/>
              </w:rPr>
              <w:t>约</w:t>
            </w:r>
            <w:r>
              <w:rPr>
                <w:rFonts w:hint="eastAsia" w:asciiTheme="minorEastAsia" w:hAnsiTheme="minorEastAsia" w:eastAsiaTheme="minorEastAsia" w:cstheme="minorEastAsia"/>
                <w:color w:val="auto"/>
                <w:sz w:val="24"/>
                <w:szCs w:val="24"/>
                <w:u w:val="none"/>
                <w:lang w:eastAsia="zh-CN"/>
              </w:rPr>
              <w:t>140～160℃</w:t>
            </w:r>
            <w:r>
              <w:rPr>
                <w:rFonts w:hint="eastAsia" w:asciiTheme="minorEastAsia" w:hAnsiTheme="minorEastAsia" w:eastAsiaTheme="minorEastAsia" w:cstheme="minorEastAsia"/>
                <w:color w:val="auto"/>
                <w:kern w:val="0"/>
                <w:sz w:val="24"/>
                <w:szCs w:val="24"/>
              </w:rPr>
              <w:t>的高温</w:t>
            </w:r>
            <w:r>
              <w:rPr>
                <w:rFonts w:hint="eastAsia" w:asciiTheme="minorEastAsia" w:hAnsiTheme="minorEastAsia" w:eastAsiaTheme="minorEastAsia" w:cstheme="minorEastAsia"/>
                <w:color w:val="auto"/>
                <w:kern w:val="0"/>
                <w:sz w:val="24"/>
                <w:szCs w:val="24"/>
                <w:lang w:eastAsia="zh-CN"/>
              </w:rPr>
              <w:t>高压</w:t>
            </w:r>
            <w:r>
              <w:rPr>
                <w:rFonts w:hint="eastAsia" w:asciiTheme="minorEastAsia" w:hAnsiTheme="minorEastAsia" w:eastAsiaTheme="minorEastAsia" w:cstheme="minorEastAsia"/>
                <w:color w:val="auto"/>
                <w:kern w:val="0"/>
                <w:sz w:val="24"/>
                <w:szCs w:val="24"/>
              </w:rPr>
              <w:t>条件下将</w:t>
            </w:r>
            <w:r>
              <w:rPr>
                <w:rFonts w:hint="eastAsia" w:asciiTheme="minorEastAsia" w:hAnsiTheme="minorEastAsia" w:eastAsiaTheme="minorEastAsia" w:cstheme="minorEastAsia"/>
                <w:color w:val="auto"/>
                <w:kern w:val="0"/>
                <w:sz w:val="24"/>
                <w:szCs w:val="24"/>
                <w:lang w:eastAsia="zh-CN"/>
              </w:rPr>
              <w:t>干燥后的</w:t>
            </w:r>
            <w:r>
              <w:rPr>
                <w:rFonts w:hint="eastAsia" w:asciiTheme="minorEastAsia" w:hAnsiTheme="minorEastAsia" w:eastAsiaTheme="minorEastAsia" w:cstheme="minorEastAsia"/>
                <w:color w:val="auto"/>
                <w:kern w:val="0"/>
                <w:sz w:val="24"/>
                <w:szCs w:val="24"/>
              </w:rPr>
              <w:t>物料制成棒状</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sz w:val="24"/>
                <w:szCs w:val="24"/>
                <w:u w:val="none"/>
                <w:lang w:eastAsia="zh-CN"/>
              </w:rPr>
              <w:t>成型筒通过加热圈加热至 140～160℃，使原料中的木质素成分软化，再加之推进器高强度压合，最终制得高密度高硬度的</w:t>
            </w:r>
            <w:r>
              <w:rPr>
                <w:rFonts w:hint="eastAsia" w:asciiTheme="minorEastAsia" w:hAnsiTheme="minorEastAsia" w:eastAsiaTheme="minorEastAsia" w:cstheme="minorEastAsia"/>
                <w:color w:val="auto"/>
                <w:kern w:val="0"/>
                <w:sz w:val="24"/>
                <w:szCs w:val="24"/>
                <w:u w:val="none"/>
              </w:rPr>
              <w:t>带中心孔的半成品薪棒。</w:t>
            </w:r>
            <w:r>
              <w:rPr>
                <w:rFonts w:hint="eastAsia" w:asciiTheme="minorEastAsia" w:hAnsiTheme="minorEastAsia" w:eastAsiaTheme="minorEastAsia" w:cstheme="minorEastAsia"/>
                <w:color w:val="auto"/>
                <w:sz w:val="24"/>
                <w:szCs w:val="24"/>
                <w:u w:val="none"/>
              </w:rPr>
              <w:t>此</w:t>
            </w:r>
            <w:r>
              <w:rPr>
                <w:rFonts w:hint="eastAsia" w:asciiTheme="minorEastAsia" w:hAnsiTheme="minorEastAsia" w:eastAsiaTheme="minorEastAsia" w:cstheme="minorEastAsia"/>
                <w:color w:val="auto"/>
                <w:sz w:val="24"/>
                <w:szCs w:val="24"/>
                <w:u w:val="none"/>
                <w:lang w:eastAsia="zh-CN"/>
              </w:rPr>
              <w:t>过程以</w:t>
            </w:r>
            <w:r>
              <w:rPr>
                <w:rFonts w:hint="eastAsia" w:asciiTheme="minorEastAsia" w:hAnsiTheme="minorEastAsia" w:eastAsiaTheme="minorEastAsia" w:cstheme="minorEastAsia"/>
                <w:color w:val="auto"/>
                <w:sz w:val="24"/>
                <w:szCs w:val="24"/>
                <w:u w:val="none"/>
              </w:rPr>
              <w:t>物理变化</w:t>
            </w:r>
            <w:r>
              <w:rPr>
                <w:rFonts w:hint="eastAsia" w:asciiTheme="minorEastAsia" w:hAnsiTheme="minorEastAsia" w:eastAsiaTheme="minorEastAsia" w:cstheme="minorEastAsia"/>
                <w:color w:val="auto"/>
                <w:sz w:val="24"/>
                <w:szCs w:val="24"/>
                <w:u w:val="none"/>
                <w:lang w:eastAsia="zh-CN"/>
              </w:rPr>
              <w:t>为主，伴随</w:t>
            </w:r>
            <w:r>
              <w:rPr>
                <w:rFonts w:hint="eastAsia" w:asciiTheme="minorEastAsia" w:hAnsiTheme="minorEastAsia" w:eastAsiaTheme="minorEastAsia" w:cstheme="minorEastAsia"/>
                <w:color w:val="auto"/>
                <w:sz w:val="24"/>
                <w:szCs w:val="24"/>
                <w:u w:val="none"/>
              </w:rPr>
              <w:t>少量化学变化</w:t>
            </w:r>
            <w:r>
              <w:rPr>
                <w:rFonts w:hint="eastAsia" w:asciiTheme="minorEastAsia" w:hAnsiTheme="minorEastAsia" w:eastAsiaTheme="minorEastAsia" w:cstheme="minorEastAsia"/>
                <w:color w:val="auto"/>
                <w:sz w:val="24"/>
                <w:szCs w:val="24"/>
                <w:u w:val="none"/>
                <w:lang w:eastAsia="zh-CN"/>
              </w:rPr>
              <w:t>。制棒过程</w:t>
            </w:r>
            <w:r>
              <w:rPr>
                <w:rFonts w:hint="eastAsia" w:asciiTheme="minorEastAsia" w:hAnsiTheme="minorEastAsia" w:eastAsiaTheme="minorEastAsia" w:cstheme="minorEastAsia"/>
                <w:color w:val="auto"/>
                <w:sz w:val="24"/>
                <w:szCs w:val="24"/>
                <w:lang w:val="en-US" w:eastAsia="zh-CN"/>
              </w:rPr>
              <w:t>采用高效制棒机，不需加任何的粘合剂，制薪棒前原料的密度一般为130kg/m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lang w:val="en-US" w:eastAsia="zh-CN"/>
              </w:rPr>
              <w:t>左右，挤压成型后机制薪棒的密度1100-1400 kg/m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lang w:val="en-US" w:eastAsia="zh-CN"/>
              </w:rPr>
              <w:t>，体积缩小为原来的近十分之一，其机械性能大为改善。</w:t>
            </w:r>
          </w:p>
          <w:p>
            <w:pPr>
              <w:pStyle w:val="21"/>
              <w:keepNext w:val="0"/>
              <w:keepLines w:val="0"/>
              <w:numPr>
                <w:ilvl w:val="0"/>
                <w:numId w:val="0"/>
              </w:numPr>
              <w:suppressLineNumbers w:val="0"/>
              <w:spacing w:beforeAutospacing="0" w:after="0" w:afterAutospacing="0" w:line="360" w:lineRule="auto"/>
              <w:ind w:left="0" w:right="0" w:rightChars="0" w:firstLine="720" w:firstLineChars="300"/>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u w:val="none"/>
                <w:lang w:eastAsia="zh-CN"/>
              </w:rPr>
              <w:t>制棒过程</w:t>
            </w:r>
            <w:r>
              <w:rPr>
                <w:rFonts w:hint="eastAsia" w:asciiTheme="minorEastAsia" w:hAnsiTheme="minorEastAsia" w:eastAsiaTheme="minorEastAsia" w:cstheme="minorEastAsia"/>
                <w:color w:val="auto"/>
                <w:sz w:val="24"/>
                <w:szCs w:val="24"/>
                <w:lang w:val="en-US" w:eastAsia="zh-CN"/>
              </w:rPr>
              <w:t>除产生</w:t>
            </w:r>
            <w:r>
              <w:rPr>
                <w:rFonts w:hint="eastAsia" w:asciiTheme="minorEastAsia" w:hAnsiTheme="minorEastAsia" w:eastAsiaTheme="minorEastAsia" w:cstheme="minorEastAsia"/>
                <w:color w:val="auto"/>
                <w:sz w:val="24"/>
                <w:szCs w:val="24"/>
              </w:rPr>
              <w:t>机械设备噪声</w:t>
            </w:r>
            <w:r>
              <w:rPr>
                <w:rFonts w:hint="eastAsia" w:asciiTheme="minorEastAsia" w:hAnsiTheme="minorEastAsia" w:eastAsiaTheme="minorEastAsia" w:cstheme="minorEastAsia"/>
                <w:color w:val="auto"/>
                <w:sz w:val="24"/>
                <w:szCs w:val="24"/>
                <w:lang w:val="en-US" w:eastAsia="zh-CN"/>
              </w:rPr>
              <w:t>外，还</w:t>
            </w:r>
            <w:r>
              <w:rPr>
                <w:rFonts w:hint="eastAsia" w:asciiTheme="minorEastAsia" w:hAnsiTheme="minorEastAsia" w:eastAsiaTheme="minorEastAsia" w:cstheme="minorEastAsia"/>
                <w:color w:val="auto"/>
                <w:sz w:val="24"/>
                <w:szCs w:val="24"/>
                <w:lang w:eastAsia="zh-CN"/>
              </w:rPr>
              <w:t>产生少量的高温水蒸汽和高温烟气</w:t>
            </w:r>
            <w:r>
              <w:rPr>
                <w:rFonts w:hint="eastAsia" w:asciiTheme="minorEastAsia" w:hAnsiTheme="minorEastAsia" w:eastAsiaTheme="minorEastAsia" w:cstheme="minorEastAsia"/>
                <w:color w:val="auto"/>
                <w:sz w:val="24"/>
                <w:szCs w:val="24"/>
                <w:u w:val="none"/>
                <w:lang w:eastAsia="zh-CN"/>
              </w:rPr>
              <w:t>（有机废气）</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val="0"/>
                <w:bCs w:val="0"/>
                <w:color w:val="auto"/>
                <w:sz w:val="24"/>
                <w:szCs w:val="24"/>
                <w:lang w:eastAsia="zh-CN"/>
              </w:rPr>
              <w:t>将</w:t>
            </w:r>
            <w:r>
              <w:rPr>
                <w:rFonts w:hint="eastAsia" w:asciiTheme="minorEastAsia" w:hAnsiTheme="minorEastAsia" w:eastAsiaTheme="minorEastAsia" w:cstheme="minorEastAsia"/>
                <w:b w:val="0"/>
                <w:bCs w:val="0"/>
                <w:color w:val="auto"/>
                <w:sz w:val="24"/>
                <w:szCs w:val="24"/>
                <w:u w:val="none"/>
                <w:lang w:eastAsia="zh-CN"/>
              </w:rPr>
              <w:t>制棒过程产生的</w:t>
            </w:r>
            <w:r>
              <w:rPr>
                <w:rFonts w:hint="eastAsia" w:asciiTheme="minorEastAsia" w:hAnsiTheme="minorEastAsia" w:eastAsiaTheme="minorEastAsia" w:cstheme="minorEastAsia"/>
                <w:b w:val="0"/>
                <w:bCs w:val="0"/>
                <w:color w:val="auto"/>
                <w:sz w:val="24"/>
                <w:szCs w:val="24"/>
                <w:lang w:eastAsia="zh-CN"/>
              </w:rPr>
              <w:t>高温水蒸汽和高温烟气经集气罩收集后通过引风管道送入烘干机焚烧。</w:t>
            </w:r>
            <w:r>
              <w:rPr>
                <w:rFonts w:hint="eastAsia" w:asciiTheme="minorEastAsia" w:hAnsiTheme="minorEastAsia" w:eastAsiaTheme="minorEastAsia" w:cstheme="minorEastAsia"/>
                <w:b w:val="0"/>
                <w:bCs w:val="0"/>
                <w:color w:val="auto"/>
                <w:sz w:val="24"/>
                <w:szCs w:val="24"/>
                <w:lang w:val="en-US" w:eastAsia="zh-CN"/>
              </w:rPr>
              <w:t>经过</w:t>
            </w:r>
            <w:r>
              <w:rPr>
                <w:rFonts w:hint="eastAsia" w:asciiTheme="minorEastAsia" w:hAnsiTheme="minorEastAsia" w:eastAsiaTheme="minorEastAsia" w:cstheme="minorEastAsia"/>
                <w:color w:val="auto"/>
                <w:sz w:val="24"/>
                <w:szCs w:val="24"/>
                <w:lang w:val="en-US" w:eastAsia="zh-CN"/>
              </w:rPr>
              <w:t>机制薪棒工序后，机制薪棒</w:t>
            </w:r>
            <w:r>
              <w:rPr>
                <w:rFonts w:hint="eastAsia" w:asciiTheme="minorEastAsia" w:hAnsiTheme="minorEastAsia" w:eastAsiaTheme="minorEastAsia" w:cstheme="minorEastAsia"/>
                <w:color w:val="auto"/>
                <w:sz w:val="24"/>
                <w:szCs w:val="24"/>
                <w:lang w:eastAsia="zh-CN"/>
              </w:rPr>
              <w:t>的含水量降至</w:t>
            </w:r>
            <w:r>
              <w:rPr>
                <w:rFonts w:hint="eastAsia" w:asciiTheme="minorEastAsia" w:hAnsiTheme="minorEastAsia" w:eastAsiaTheme="minorEastAsia" w:cstheme="minorEastAsia"/>
                <w:color w:val="auto"/>
                <w:sz w:val="24"/>
                <w:szCs w:val="24"/>
                <w:lang w:val="en-US" w:eastAsia="zh-CN"/>
              </w:rPr>
              <w:t>5%左右。制棒工序有外形尺寸偏小的废薪棒产生，部分用作烘干炉补充燃料。</w:t>
            </w:r>
          </w:p>
          <w:p>
            <w:pPr>
              <w:pStyle w:val="21"/>
              <w:keepNext w:val="0"/>
              <w:keepLines w:val="0"/>
              <w:numPr>
                <w:ilvl w:val="0"/>
                <w:numId w:val="0"/>
              </w:numPr>
              <w:suppressLineNumbers w:val="0"/>
              <w:spacing w:beforeAutospacing="0" w:after="0" w:afterAutospacing="0" w:line="360" w:lineRule="auto"/>
              <w:ind w:left="0" w:leftChars="0" w:right="0" w:rightChars="0" w:firstLine="482" w:firstLineChars="200"/>
              <w:rPr>
                <w:rFonts w:hint="eastAsia" w:asciiTheme="minorEastAsia" w:hAnsiTheme="minorEastAsia" w:eastAsiaTheme="minorEastAsia" w:cstheme="minorEastAsia"/>
                <w:b/>
                <w:bCs/>
                <w:color w:val="auto"/>
                <w:kern w:val="0"/>
                <w:sz w:val="24"/>
                <w:szCs w:val="24"/>
                <w:lang w:val="en-US" w:eastAsia="zh-CN"/>
              </w:rPr>
            </w:pPr>
            <w:r>
              <w:rPr>
                <w:rFonts w:hint="eastAsia" w:asciiTheme="minorEastAsia" w:hAnsiTheme="minorEastAsia" w:eastAsiaTheme="minorEastAsia" w:cstheme="minorEastAsia"/>
                <w:b/>
                <w:bCs/>
                <w:color w:val="auto"/>
                <w:kern w:val="0"/>
                <w:sz w:val="24"/>
                <w:szCs w:val="24"/>
                <w:lang w:val="en-US" w:eastAsia="zh-CN"/>
              </w:rPr>
              <w:t>（7）炭化：</w:t>
            </w:r>
          </w:p>
          <w:p>
            <w:pPr>
              <w:pStyle w:val="10"/>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eastAsia" w:asciiTheme="minorEastAsia" w:hAnsiTheme="minorEastAsia" w:eastAsiaTheme="minorEastAsia" w:cstheme="minorEastAsia"/>
                <w:color w:val="auto"/>
                <w:kern w:val="0"/>
                <w:sz w:val="24"/>
                <w:szCs w:val="24"/>
                <w:lang w:val="en-US" w:eastAsia="zh-CN"/>
              </w:rPr>
              <w:t>本项目采用新型地埋式炭化窑。</w:t>
            </w:r>
            <w:r>
              <w:rPr>
                <w:rFonts w:hint="eastAsia" w:asciiTheme="minorEastAsia" w:hAnsiTheme="minorEastAsia" w:eastAsiaTheme="minorEastAsia" w:cstheme="minorEastAsia"/>
                <w:color w:val="auto"/>
                <w:kern w:val="0"/>
                <w:sz w:val="24"/>
                <w:szCs w:val="24"/>
                <w:lang w:eastAsia="zh-CN"/>
              </w:rPr>
              <w:t>将装好成型碳棒的钢制碳化笼吊入</w:t>
            </w:r>
            <w:r>
              <w:rPr>
                <w:rFonts w:hint="eastAsia" w:asciiTheme="minorEastAsia" w:hAnsiTheme="minorEastAsia" w:eastAsiaTheme="minorEastAsia" w:cstheme="minorEastAsia"/>
                <w:color w:val="auto"/>
                <w:sz w:val="24"/>
                <w:szCs w:val="24"/>
              </w:rPr>
              <w:t>炭化</w:t>
            </w:r>
            <w:r>
              <w:rPr>
                <w:rFonts w:hint="eastAsia" w:asciiTheme="minorEastAsia" w:hAnsiTheme="minorEastAsia" w:eastAsiaTheme="minorEastAsia" w:cstheme="minorEastAsia"/>
                <w:color w:val="auto"/>
                <w:kern w:val="0"/>
                <w:sz w:val="24"/>
                <w:szCs w:val="24"/>
                <w:lang w:eastAsia="zh-CN"/>
              </w:rPr>
              <w:t>炉内，成型碳棒在</w:t>
            </w:r>
            <w:r>
              <w:rPr>
                <w:rFonts w:hint="eastAsia" w:asciiTheme="minorEastAsia" w:hAnsiTheme="minorEastAsia" w:eastAsiaTheme="minorEastAsia" w:cstheme="minorEastAsia"/>
                <w:color w:val="auto"/>
                <w:sz w:val="24"/>
                <w:szCs w:val="24"/>
              </w:rPr>
              <w:t>炭化</w:t>
            </w:r>
            <w:r>
              <w:rPr>
                <w:rFonts w:hint="eastAsia" w:asciiTheme="minorEastAsia" w:hAnsiTheme="minorEastAsia" w:eastAsiaTheme="minorEastAsia" w:cstheme="minorEastAsia"/>
                <w:color w:val="auto"/>
                <w:kern w:val="0"/>
                <w:sz w:val="24"/>
                <w:szCs w:val="24"/>
                <w:lang w:eastAsia="zh-CN"/>
              </w:rPr>
              <w:t>炉内通过自身缺氧燃烧产生热量，在高温环境下进行干馏</w:t>
            </w:r>
            <w:r>
              <w:rPr>
                <w:rFonts w:hint="eastAsia" w:asciiTheme="minorEastAsia" w:hAnsiTheme="minorEastAsia" w:eastAsiaTheme="minorEastAsia" w:cstheme="minorEastAsia"/>
                <w:color w:val="auto"/>
                <w:sz w:val="24"/>
                <w:szCs w:val="24"/>
              </w:rPr>
              <w:t>炭化</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0"/>
                <w:sz w:val="24"/>
                <w:szCs w:val="24"/>
                <w:lang w:val="en-US" w:eastAsia="zh-CN"/>
              </w:rPr>
              <w:t>炭化窑除在首笼碳棒炭化需要加入木炭引火升温外，后期每次炭化均不需再引火。</w:t>
            </w:r>
            <w:r>
              <w:rPr>
                <w:rFonts w:hint="eastAsia" w:asciiTheme="minorEastAsia" w:hAnsiTheme="minorEastAsia" w:eastAsiaTheme="minorEastAsia" w:cstheme="minorEastAsia"/>
                <w:color w:val="auto"/>
                <w:kern w:val="0"/>
                <w:sz w:val="24"/>
                <w:szCs w:val="24"/>
                <w:lang w:eastAsia="zh-CN"/>
              </w:rPr>
              <w:t>干馏是一个较为复杂的过程，包括脱水、热解、脱氢、热缩合、碳化等复杂的化学反应。</w:t>
            </w:r>
            <w:r>
              <w:rPr>
                <w:rFonts w:hint="eastAsia" w:asciiTheme="minorEastAsia" w:hAnsiTheme="minorEastAsia" w:eastAsiaTheme="minorEastAsia" w:cstheme="minorEastAsia"/>
                <w:color w:val="auto"/>
                <w:kern w:val="0"/>
                <w:sz w:val="24"/>
                <w:szCs w:val="24"/>
              </w:rPr>
              <w:t>炭化过程是机制炭生产中最重要的一个过程</w:t>
            </w:r>
            <w:r>
              <w:rPr>
                <w:rFonts w:hint="eastAsia" w:ascii="Times New Roman" w:hAnsi="Times New Roman"/>
                <w:color w:val="auto"/>
                <w:kern w:val="0"/>
                <w:sz w:val="24"/>
                <w:szCs w:val="24"/>
                <w:lang w:eastAsia="zh-CN"/>
              </w:rPr>
              <w:t>。</w:t>
            </w:r>
            <w:r>
              <w:rPr>
                <w:rFonts w:hint="eastAsia" w:ascii="Times New Roman" w:hAnsi="Times New Roman"/>
                <w:color w:val="auto"/>
                <w:sz w:val="24"/>
                <w:szCs w:val="24"/>
                <w:lang w:val="en-US" w:eastAsia="zh-CN"/>
              </w:rPr>
              <w:t>本项目拟建</w:t>
            </w:r>
            <w:r>
              <w:rPr>
                <w:rFonts w:hint="eastAsia" w:ascii="Times New Roman"/>
                <w:color w:val="auto"/>
                <w:sz w:val="24"/>
                <w:szCs w:val="24"/>
                <w:lang w:val="en-US" w:eastAsia="zh-CN"/>
              </w:rPr>
              <w:t>36</w:t>
            </w:r>
            <w:r>
              <w:rPr>
                <w:rFonts w:hint="eastAsia" w:ascii="Times New Roman" w:hAnsi="Times New Roman"/>
                <w:color w:val="auto"/>
                <w:sz w:val="24"/>
                <w:szCs w:val="24"/>
                <w:lang w:val="en-US" w:eastAsia="zh-CN"/>
              </w:rPr>
              <w:t>座炭化炉，</w:t>
            </w:r>
            <w:r>
              <w:rPr>
                <w:rFonts w:hint="eastAsia" w:ascii="Times New Roman" w:hAnsi="Times New Roman"/>
                <w:color w:val="auto"/>
                <w:sz w:val="24"/>
                <w:szCs w:val="24"/>
                <w:lang w:eastAsia="zh-CN"/>
              </w:rPr>
              <w:t>点火成功后，密封点火口，</w:t>
            </w:r>
            <w:r>
              <w:rPr>
                <w:rFonts w:hint="default" w:ascii="Times New Roman" w:hAnsi="Times New Roman"/>
                <w:color w:val="auto"/>
                <w:sz w:val="24"/>
                <w:szCs w:val="24"/>
              </w:rPr>
              <w:t>利用干馏原理，</w:t>
            </w:r>
            <w:r>
              <w:rPr>
                <w:rFonts w:hint="eastAsia" w:ascii="Times New Roman" w:hAnsi="Times New Roman"/>
                <w:color w:val="auto"/>
                <w:sz w:val="24"/>
                <w:szCs w:val="24"/>
                <w:lang w:eastAsia="zh-CN"/>
              </w:rPr>
              <w:t>由木棒自身产生的热量，</w:t>
            </w:r>
            <w:r>
              <w:rPr>
                <w:rFonts w:hint="default" w:ascii="宋体" w:hAnsi="宋体" w:cs="宋体"/>
                <w:color w:val="auto"/>
                <w:kern w:val="0"/>
                <w:sz w:val="24"/>
                <w:szCs w:val="24"/>
              </w:rPr>
              <w:t>机制薪棒在</w:t>
            </w:r>
            <w:r>
              <w:rPr>
                <w:rFonts w:hint="eastAsia" w:ascii="宋体" w:hAnsi="宋体" w:cs="宋体"/>
                <w:color w:val="auto"/>
                <w:kern w:val="0"/>
                <w:sz w:val="24"/>
                <w:szCs w:val="24"/>
                <w:lang w:eastAsia="zh-CN"/>
              </w:rPr>
              <w:t>炭化炉（</w:t>
            </w:r>
            <w:r>
              <w:rPr>
                <w:rFonts w:hint="default" w:ascii="宋体" w:hAnsi="宋体" w:cs="宋体"/>
                <w:color w:val="auto"/>
                <w:kern w:val="0"/>
                <w:sz w:val="24"/>
                <w:szCs w:val="24"/>
              </w:rPr>
              <w:t>碳化装置</w:t>
            </w:r>
            <w:r>
              <w:rPr>
                <w:rFonts w:hint="eastAsia" w:ascii="宋体" w:hAnsi="宋体" w:cs="宋体"/>
                <w:color w:val="auto"/>
                <w:kern w:val="0"/>
                <w:sz w:val="24"/>
                <w:szCs w:val="24"/>
                <w:lang w:eastAsia="zh-CN"/>
              </w:rPr>
              <w:t>）</w:t>
            </w:r>
            <w:r>
              <w:rPr>
                <w:rFonts w:hint="default" w:ascii="宋体" w:hAnsi="宋体" w:cs="宋体"/>
                <w:color w:val="auto"/>
                <w:kern w:val="0"/>
                <w:sz w:val="24"/>
                <w:szCs w:val="24"/>
              </w:rPr>
              <w:t>中隔氧或少量通氧的条件下，</w:t>
            </w:r>
            <w:r>
              <w:rPr>
                <w:rFonts w:hint="default" w:ascii="Times New Roman" w:hAnsi="Times New Roman"/>
                <w:color w:val="auto"/>
                <w:sz w:val="24"/>
                <w:szCs w:val="24"/>
              </w:rPr>
              <w:t>加热</w:t>
            </w:r>
            <w:r>
              <w:rPr>
                <w:rFonts w:hint="eastAsia" w:ascii="Times New Roman" w:hAnsi="Times New Roman"/>
                <w:color w:val="auto"/>
                <w:sz w:val="24"/>
                <w:szCs w:val="24"/>
                <w:lang w:eastAsia="zh-CN"/>
              </w:rPr>
              <w:t>到</w:t>
            </w:r>
            <w:r>
              <w:rPr>
                <w:rFonts w:hint="default" w:ascii="Times New Roman" w:hAnsi="Times New Roman"/>
                <w:color w:val="auto"/>
                <w:sz w:val="24"/>
                <w:szCs w:val="24"/>
              </w:rPr>
              <w:t>（</w:t>
            </w:r>
            <w:r>
              <w:rPr>
                <w:rFonts w:hint="eastAsia" w:ascii="Times New Roman" w:hAnsi="Times New Roman"/>
                <w:color w:val="auto"/>
                <w:sz w:val="24"/>
                <w:szCs w:val="24"/>
                <w:lang w:val="en-US" w:eastAsia="zh-CN"/>
              </w:rPr>
              <w:t>3</w:t>
            </w:r>
            <w:r>
              <w:rPr>
                <w:rFonts w:hint="default" w:ascii="Times New Roman" w:hAnsi="Times New Roman"/>
                <w:color w:val="auto"/>
                <w:sz w:val="24"/>
                <w:szCs w:val="24"/>
              </w:rPr>
              <w:t>00~</w:t>
            </w:r>
            <w:r>
              <w:rPr>
                <w:rFonts w:hint="eastAsia" w:ascii="Times New Roman" w:hAnsi="Times New Roman"/>
                <w:color w:val="auto"/>
                <w:sz w:val="24"/>
                <w:szCs w:val="24"/>
                <w:lang w:val="en-US" w:eastAsia="zh-CN"/>
              </w:rPr>
              <w:t>6</w:t>
            </w:r>
            <w:r>
              <w:rPr>
                <w:rFonts w:hint="default" w:ascii="Times New Roman" w:hAnsi="Times New Roman"/>
                <w:color w:val="auto"/>
                <w:sz w:val="24"/>
                <w:szCs w:val="24"/>
              </w:rPr>
              <w:t>50℃）分解生成</w:t>
            </w:r>
            <w:r>
              <w:rPr>
                <w:rFonts w:hint="eastAsia" w:ascii="Times New Roman" w:hAnsi="Times New Roman"/>
                <w:color w:val="auto"/>
                <w:sz w:val="24"/>
                <w:szCs w:val="24"/>
                <w:lang w:eastAsia="zh-CN"/>
              </w:rPr>
              <w:t>成品</w:t>
            </w:r>
            <w:r>
              <w:rPr>
                <w:rFonts w:hint="default" w:ascii="Times New Roman" w:hAnsi="Times New Roman"/>
                <w:color w:val="auto"/>
                <w:sz w:val="24"/>
                <w:szCs w:val="24"/>
              </w:rPr>
              <w:t>木炭和可燃性气体，</w:t>
            </w:r>
            <w:r>
              <w:rPr>
                <w:rFonts w:hint="eastAsia" w:ascii="Times New Roman" w:hAnsi="Times New Roman"/>
                <w:color w:val="auto"/>
                <w:sz w:val="24"/>
                <w:szCs w:val="24"/>
              </w:rPr>
              <w:t>该过程产</w:t>
            </w:r>
            <w:r>
              <w:rPr>
                <w:rFonts w:hint="eastAsia" w:ascii="Times New Roman" w:hAnsi="Times New Roman"/>
                <w:color w:val="auto"/>
                <w:sz w:val="24"/>
                <w:szCs w:val="24"/>
                <w:lang w:eastAsia="zh-CN"/>
              </w:rPr>
              <w:t>生的可燃性</w:t>
            </w:r>
            <w:r>
              <w:rPr>
                <w:rFonts w:hint="eastAsia" w:ascii="Times New Roman" w:hAnsi="Times New Roman"/>
                <w:color w:val="auto"/>
                <w:sz w:val="24"/>
                <w:szCs w:val="24"/>
              </w:rPr>
              <w:t>干馏气体，主要为原材料中的纤维素及</w:t>
            </w:r>
            <w:r>
              <w:rPr>
                <w:rFonts w:hint="default" w:ascii="Times New Roman" w:hAnsi="Times New Roman"/>
                <w:color w:val="auto"/>
                <w:sz w:val="24"/>
                <w:szCs w:val="24"/>
              </w:rPr>
              <w:t>半纤维素高温分解生成的</w:t>
            </w:r>
            <w:r>
              <w:rPr>
                <w:rFonts w:hint="eastAsia" w:ascii="Times New Roman" w:hAnsi="Times New Roman"/>
                <w:color w:val="auto"/>
                <w:sz w:val="24"/>
                <w:szCs w:val="24"/>
                <w:lang w:eastAsia="zh-CN"/>
              </w:rPr>
              <w:t>木煤气（</w:t>
            </w:r>
            <w:r>
              <w:rPr>
                <w:rFonts w:hint="default" w:ascii="Times New Roman" w:hAnsi="Times New Roman"/>
                <w:color w:val="auto"/>
                <w:sz w:val="24"/>
                <w:szCs w:val="24"/>
              </w:rPr>
              <w:t>可燃气体</w:t>
            </w:r>
            <w:r>
              <w:rPr>
                <w:rFonts w:hint="eastAsia" w:ascii="Times New Roman" w:hAnsi="Times New Roman"/>
                <w:color w:val="auto"/>
                <w:sz w:val="24"/>
                <w:szCs w:val="24"/>
                <w:lang w:eastAsia="zh-CN"/>
              </w:rPr>
              <w:t>）</w:t>
            </w:r>
            <w:r>
              <w:rPr>
                <w:rFonts w:hint="default" w:ascii="Times New Roman" w:hAnsi="Times New Roman"/>
                <w:color w:val="auto"/>
                <w:sz w:val="24"/>
                <w:szCs w:val="24"/>
              </w:rPr>
              <w:t>，主要成分为甲烷、乙烯以及少量一氧化碳等，</w:t>
            </w:r>
            <w:r>
              <w:rPr>
                <w:rFonts w:hint="eastAsia" w:ascii="Times New Roman" w:hAnsi="Times New Roman"/>
                <w:color w:val="auto"/>
                <w:sz w:val="24"/>
                <w:szCs w:val="24"/>
                <w:lang w:eastAsia="zh-CN"/>
              </w:rPr>
              <w:t>生产时段经管道</w:t>
            </w:r>
            <w:r>
              <w:rPr>
                <w:rFonts w:hint="default" w:ascii="Times New Roman" w:hAnsi="Times New Roman"/>
                <w:color w:val="auto"/>
                <w:sz w:val="24"/>
                <w:szCs w:val="24"/>
              </w:rPr>
              <w:t>收集</w:t>
            </w:r>
            <w:r>
              <w:rPr>
                <w:rFonts w:hint="eastAsia" w:ascii="Times New Roman" w:hAnsi="Times New Roman"/>
                <w:color w:val="auto"/>
                <w:sz w:val="24"/>
                <w:szCs w:val="24"/>
                <w:lang w:eastAsia="zh-CN"/>
              </w:rPr>
              <w:t>并输送到烘干炉燃烧室焚烧</w:t>
            </w:r>
            <w:r>
              <w:rPr>
                <w:rFonts w:hint="eastAsia"/>
                <w:color w:val="auto"/>
                <w:sz w:val="24"/>
                <w:szCs w:val="24"/>
                <w:lang w:eastAsia="zh-CN"/>
              </w:rPr>
              <w:t>。</w:t>
            </w:r>
            <w:r>
              <w:rPr>
                <w:rFonts w:hint="eastAsia"/>
                <w:color w:val="auto"/>
                <w:sz w:val="24"/>
                <w:szCs w:val="24"/>
                <w:lang w:val="en-US" w:eastAsia="zh-CN"/>
              </w:rPr>
              <w:t>既消除了炭化过程有机废气的污染和处置费用，又充分利用了炭化过程有机废气燃烧的热能，降低了生产成本。</w:t>
            </w:r>
            <w:r>
              <w:rPr>
                <w:rFonts w:hint="eastAsia" w:ascii="Times New Roman" w:hAnsi="Times New Roman"/>
                <w:color w:val="auto"/>
                <w:sz w:val="24"/>
                <w:szCs w:val="24"/>
                <w:lang w:val="en-US" w:eastAsia="zh-CN"/>
              </w:rPr>
              <w:t>炭化时间为12小时，其余为装窑、保温、降温、出窑时间，每炉机制炭生产周期约为24小时左右。</w:t>
            </w:r>
            <w:r>
              <w:rPr>
                <w:rFonts w:hint="eastAsia" w:ascii="Times New Roman" w:hAnsi="Times New Roman"/>
                <w:color w:val="auto"/>
                <w:sz w:val="24"/>
                <w:szCs w:val="24"/>
                <w:lang w:eastAsia="zh-CN"/>
              </w:rPr>
              <w:t>具体炭化过程分如下三个阶段：</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textAlignment w:val="auto"/>
              <w:outlineLvl w:val="9"/>
              <w:rPr>
                <w:rFonts w:hint="eastAsia" w:ascii="Times New Roman" w:hAnsi="Times New Roman"/>
                <w:b/>
                <w:bCs/>
                <w:color w:val="auto"/>
                <w:sz w:val="24"/>
                <w:szCs w:val="24"/>
              </w:rPr>
            </w:pPr>
            <w:r>
              <w:rPr>
                <w:rFonts w:hint="eastAsia"/>
                <w:b/>
                <w:bCs/>
                <w:color w:val="auto"/>
                <w:sz w:val="24"/>
                <w:szCs w:val="24"/>
                <w:lang w:eastAsia="zh-CN"/>
              </w:rPr>
              <w:t>①</w:t>
            </w:r>
            <w:r>
              <w:rPr>
                <w:rFonts w:hint="eastAsia" w:ascii="Times New Roman" w:hAnsi="Times New Roman"/>
                <w:b/>
                <w:bCs/>
                <w:color w:val="auto"/>
                <w:sz w:val="24"/>
                <w:szCs w:val="24"/>
              </w:rPr>
              <w:t>干燥阶段</w:t>
            </w:r>
          </w:p>
          <w:p>
            <w:pPr>
              <w:pStyle w:val="21"/>
              <w:keepNext w:val="0"/>
              <w:keepLines w:val="0"/>
              <w:pageBreakBefore w:val="0"/>
              <w:widowControl w:val="0"/>
              <w:numPr>
                <w:ilvl w:val="0"/>
                <w:numId w:val="0"/>
              </w:numPr>
              <w:suppressLineNumbers w:val="0"/>
              <w:kinsoku/>
              <w:wordWrap/>
              <w:overflowPunct/>
              <w:topLinePunct w:val="0"/>
              <w:bidi w:val="0"/>
              <w:spacing w:before="0" w:beforeLines="0" w:beforeAutospacing="0" w:after="0" w:afterAutospacing="0" w:line="360" w:lineRule="auto"/>
              <w:ind w:left="0" w:right="0" w:firstLine="480" w:firstLineChars="200"/>
              <w:rPr>
                <w:rFonts w:hint="default" w:ascii="Times New Roman" w:hAnsi="Times New Roman"/>
                <w:color w:val="auto"/>
                <w:szCs w:val="24"/>
              </w:rPr>
            </w:pPr>
            <w:r>
              <w:rPr>
                <w:rFonts w:hint="default" w:ascii="Times New Roman" w:hAnsi="Times New Roman"/>
                <w:color w:val="auto"/>
                <w:szCs w:val="24"/>
                <w:lang w:val="en-US" w:eastAsia="zh-CN"/>
              </w:rPr>
              <w:t>从</w:t>
            </w:r>
            <w:r>
              <w:rPr>
                <w:rFonts w:hint="eastAsia" w:ascii="Times New Roman"/>
                <w:color w:val="auto"/>
                <w:szCs w:val="24"/>
                <w:lang w:val="en-US" w:eastAsia="zh-CN"/>
              </w:rPr>
              <w:t>炭化笼入窑</w:t>
            </w:r>
            <w:r>
              <w:rPr>
                <w:rFonts w:hint="default" w:ascii="Times New Roman" w:hAnsi="Times New Roman"/>
                <w:color w:val="auto"/>
                <w:szCs w:val="24"/>
                <w:lang w:val="en-US" w:eastAsia="zh-CN"/>
              </w:rPr>
              <w:t>开始，至炉温上升到160℃，这时机制棒所含的水分主要依靠</w:t>
            </w:r>
            <w:r>
              <w:rPr>
                <w:rFonts w:hint="eastAsia" w:ascii="Times New Roman" w:hAnsi="Times New Roman"/>
                <w:color w:val="auto"/>
                <w:szCs w:val="24"/>
                <w:lang w:val="en-US" w:eastAsia="zh-CN"/>
              </w:rPr>
              <w:t>各炉体内部管道供给的木煤气燃烧</w:t>
            </w:r>
            <w:r>
              <w:rPr>
                <w:rFonts w:hint="default" w:ascii="Times New Roman" w:hAnsi="Times New Roman"/>
                <w:color w:val="auto"/>
                <w:szCs w:val="24"/>
                <w:lang w:val="en-US" w:eastAsia="zh-CN"/>
              </w:rPr>
              <w:t>所产生的热量进行蒸发。机制棒的化学组成几乎没变。</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textAlignment w:val="auto"/>
              <w:outlineLvl w:val="9"/>
              <w:rPr>
                <w:rFonts w:hint="eastAsia" w:ascii="Times New Roman" w:hAnsi="Times New Roman"/>
                <w:b/>
                <w:bCs/>
                <w:color w:val="auto"/>
                <w:sz w:val="24"/>
                <w:szCs w:val="24"/>
              </w:rPr>
            </w:pPr>
            <w:r>
              <w:rPr>
                <w:rFonts w:hint="eastAsia"/>
                <w:b/>
                <w:bCs/>
                <w:color w:val="auto"/>
                <w:sz w:val="24"/>
                <w:szCs w:val="24"/>
                <w:lang w:val="en-US" w:eastAsia="zh-CN"/>
              </w:rPr>
              <w:t>②</w:t>
            </w:r>
            <w:r>
              <w:rPr>
                <w:rFonts w:hint="eastAsia" w:ascii="Times New Roman" w:hAnsi="Times New Roman"/>
                <w:b/>
                <w:bCs/>
                <w:color w:val="auto"/>
                <w:sz w:val="24"/>
                <w:szCs w:val="24"/>
                <w:lang w:val="en-US" w:eastAsia="zh-CN"/>
              </w:rPr>
              <w:t>炭化初始阶段</w:t>
            </w:r>
          </w:p>
          <w:p>
            <w:pPr>
              <w:pStyle w:val="21"/>
              <w:keepNext w:val="0"/>
              <w:keepLines w:val="0"/>
              <w:pageBreakBefore w:val="0"/>
              <w:widowControl w:val="0"/>
              <w:numPr>
                <w:ilvl w:val="0"/>
                <w:numId w:val="0"/>
              </w:numPr>
              <w:suppressLineNumbers w:val="0"/>
              <w:kinsoku/>
              <w:wordWrap/>
              <w:overflowPunct/>
              <w:topLinePunct w:val="0"/>
              <w:bidi w:val="0"/>
              <w:spacing w:before="0" w:beforeLines="0" w:beforeAutospacing="0" w:after="0" w:afterAutospacing="0" w:line="360" w:lineRule="auto"/>
              <w:ind w:left="0" w:right="0" w:firstLine="480" w:firstLineChars="200"/>
              <w:rPr>
                <w:rFonts w:hint="default" w:ascii="Times New Roman" w:hAnsi="Times New Roman"/>
                <w:color w:val="auto"/>
                <w:szCs w:val="24"/>
                <w:lang w:val="en-US" w:eastAsia="zh-CN"/>
              </w:rPr>
            </w:pPr>
            <w:r>
              <w:rPr>
                <w:rFonts w:hint="eastAsia" w:ascii="Times New Roman" w:hAnsi="Times New Roman"/>
                <w:color w:val="auto"/>
                <w:szCs w:val="24"/>
                <w:lang w:val="en-US" w:eastAsia="zh-CN"/>
              </w:rPr>
              <w:t>炭化初始阶段</w:t>
            </w:r>
            <w:r>
              <w:rPr>
                <w:rFonts w:hint="default" w:ascii="Times New Roman" w:hAnsi="Times New Roman"/>
                <w:color w:val="auto"/>
                <w:szCs w:val="24"/>
                <w:lang w:val="en-US" w:eastAsia="zh-CN"/>
              </w:rPr>
              <w:t>主要靠棒自身的燃烧产生热量，使炉温上升到160～280℃之间。此时，</w:t>
            </w:r>
            <w:r>
              <w:rPr>
                <w:rFonts w:hint="default" w:ascii="Times New Roman" w:hAnsi="Times New Roman"/>
                <w:color w:val="auto"/>
                <w:szCs w:val="24"/>
                <w:lang w:val="en-US" w:eastAsia="zh-CN"/>
              </w:rPr>
              <w:fldChar w:fldCharType="begin"/>
            </w:r>
            <w:r>
              <w:rPr>
                <w:rFonts w:hint="default" w:ascii="Times New Roman" w:hAnsi="Times New Roman"/>
                <w:color w:val="auto"/>
                <w:szCs w:val="24"/>
                <w:lang w:val="en-US" w:eastAsia="zh-CN"/>
              </w:rPr>
              <w:instrText xml:space="preserve"> HYPERLINK "https://baike.baidu.com/item/%E6%9C%A8%E8%B4%A8%E6%9D%90%E6%96%99/5839617" \t "https://baike.baidu.com/item/%E7%82%AD%E5%8C%96%E7%82%89/_blank" </w:instrText>
            </w:r>
            <w:r>
              <w:rPr>
                <w:rFonts w:hint="default" w:ascii="Times New Roman" w:hAnsi="Times New Roman"/>
                <w:color w:val="auto"/>
                <w:szCs w:val="24"/>
                <w:lang w:val="en-US" w:eastAsia="zh-CN"/>
              </w:rPr>
              <w:fldChar w:fldCharType="separate"/>
            </w:r>
            <w:r>
              <w:rPr>
                <w:rFonts w:hint="default" w:ascii="Times New Roman" w:hAnsi="Times New Roman"/>
                <w:color w:val="auto"/>
                <w:szCs w:val="24"/>
                <w:lang w:val="en-US" w:eastAsia="zh-CN"/>
              </w:rPr>
              <w:t>木质材料</w:t>
            </w:r>
            <w:r>
              <w:rPr>
                <w:rFonts w:hint="default" w:ascii="Times New Roman" w:hAnsi="Times New Roman"/>
                <w:color w:val="auto"/>
                <w:szCs w:val="24"/>
                <w:lang w:val="en-US" w:eastAsia="zh-CN"/>
              </w:rPr>
              <w:fldChar w:fldCharType="end"/>
            </w:r>
            <w:r>
              <w:rPr>
                <w:rFonts w:hint="default" w:ascii="Times New Roman" w:hAnsi="Times New Roman"/>
                <w:color w:val="auto"/>
                <w:szCs w:val="24"/>
                <w:lang w:val="en-US" w:eastAsia="zh-CN"/>
              </w:rPr>
              <w:t>发生</w:t>
            </w:r>
            <w:r>
              <w:rPr>
                <w:rFonts w:hint="default" w:ascii="Times New Roman" w:hAnsi="Times New Roman"/>
                <w:color w:val="auto"/>
                <w:szCs w:val="24"/>
                <w:lang w:val="en-US" w:eastAsia="zh-CN"/>
              </w:rPr>
              <w:fldChar w:fldCharType="begin"/>
            </w:r>
            <w:r>
              <w:rPr>
                <w:rFonts w:hint="default" w:ascii="Times New Roman" w:hAnsi="Times New Roman"/>
                <w:color w:val="auto"/>
                <w:szCs w:val="24"/>
                <w:lang w:val="en-US" w:eastAsia="zh-CN"/>
              </w:rPr>
              <w:instrText xml:space="preserve"> HYPERLINK "https://baike.baidu.com/item/%E7%83%AD%E5%88%86%E8%A7%A3%E5%8F%8D%E5%BA%94/9093467" \t "https://baike.baidu.com/item/%E7%82%AD%E5%8C%96%E7%82%89/_blank" </w:instrText>
            </w:r>
            <w:r>
              <w:rPr>
                <w:rFonts w:hint="default" w:ascii="Times New Roman" w:hAnsi="Times New Roman"/>
                <w:color w:val="auto"/>
                <w:szCs w:val="24"/>
                <w:lang w:val="en-US" w:eastAsia="zh-CN"/>
              </w:rPr>
              <w:fldChar w:fldCharType="separate"/>
            </w:r>
            <w:r>
              <w:rPr>
                <w:rFonts w:hint="default" w:ascii="Times New Roman" w:hAnsi="Times New Roman"/>
                <w:color w:val="auto"/>
                <w:szCs w:val="24"/>
                <w:lang w:val="en-US" w:eastAsia="zh-CN"/>
              </w:rPr>
              <w:t>热分解反应</w:t>
            </w:r>
            <w:r>
              <w:rPr>
                <w:rFonts w:hint="default" w:ascii="Times New Roman" w:hAnsi="Times New Roman"/>
                <w:color w:val="auto"/>
                <w:szCs w:val="24"/>
                <w:lang w:val="en-US" w:eastAsia="zh-CN"/>
              </w:rPr>
              <w:fldChar w:fldCharType="end"/>
            </w:r>
            <w:r>
              <w:rPr>
                <w:rFonts w:hint="default" w:ascii="Times New Roman" w:hAnsi="Times New Roman"/>
                <w:color w:val="auto"/>
                <w:szCs w:val="24"/>
                <w:lang w:val="en-US" w:eastAsia="zh-CN"/>
              </w:rPr>
              <w:t>，其组成开始发生了变化。其中不稳定组</w:t>
            </w:r>
            <w:r>
              <w:rPr>
                <w:rFonts w:hint="eastAsia" w:ascii="Times New Roman" w:hAnsi="Times New Roman"/>
                <w:color w:val="auto"/>
                <w:szCs w:val="24"/>
                <w:lang w:val="en-US" w:eastAsia="zh-CN"/>
              </w:rPr>
              <w:t>分</w:t>
            </w:r>
            <w:r>
              <w:rPr>
                <w:rFonts w:hint="default" w:ascii="Times New Roman" w:hAnsi="Times New Roman"/>
                <w:color w:val="auto"/>
                <w:szCs w:val="24"/>
                <w:lang w:val="en-US" w:eastAsia="zh-CN"/>
              </w:rPr>
              <w:t>，如</w:t>
            </w:r>
            <w:r>
              <w:rPr>
                <w:rFonts w:hint="default" w:ascii="Times New Roman" w:hAnsi="Times New Roman"/>
                <w:color w:val="auto"/>
                <w:szCs w:val="24"/>
                <w:lang w:val="en-US" w:eastAsia="zh-CN"/>
              </w:rPr>
              <w:fldChar w:fldCharType="begin"/>
            </w:r>
            <w:r>
              <w:rPr>
                <w:rFonts w:hint="default" w:ascii="Times New Roman" w:hAnsi="Times New Roman"/>
                <w:color w:val="auto"/>
                <w:szCs w:val="24"/>
                <w:lang w:val="en-US" w:eastAsia="zh-CN"/>
              </w:rPr>
              <w:instrText xml:space="preserve"> HYPERLINK "https://baike.baidu.com/item/%E5%8D%8A%E7%BA%A4%E7%BB%B4%E7%B4%A0/191938" \t "https://baike.baidu.com/item/%E7%82%AD%E5%8C%96%E7%82%89/_blank" </w:instrText>
            </w:r>
            <w:r>
              <w:rPr>
                <w:rFonts w:hint="default" w:ascii="Times New Roman" w:hAnsi="Times New Roman"/>
                <w:color w:val="auto"/>
                <w:szCs w:val="24"/>
                <w:lang w:val="en-US" w:eastAsia="zh-CN"/>
              </w:rPr>
              <w:fldChar w:fldCharType="separate"/>
            </w:r>
            <w:r>
              <w:rPr>
                <w:rFonts w:hint="default" w:ascii="Times New Roman" w:hAnsi="Times New Roman"/>
                <w:color w:val="auto"/>
                <w:szCs w:val="24"/>
                <w:lang w:val="en-US" w:eastAsia="zh-CN"/>
              </w:rPr>
              <w:t>半纤维素</w:t>
            </w:r>
            <w:r>
              <w:rPr>
                <w:rFonts w:hint="default" w:ascii="Times New Roman" w:hAnsi="Times New Roman"/>
                <w:color w:val="auto"/>
                <w:szCs w:val="24"/>
                <w:lang w:val="en-US" w:eastAsia="zh-CN"/>
              </w:rPr>
              <w:fldChar w:fldCharType="end"/>
            </w:r>
            <w:r>
              <w:rPr>
                <w:rFonts w:hint="default" w:ascii="Times New Roman" w:hAnsi="Times New Roman"/>
                <w:color w:val="auto"/>
                <w:szCs w:val="24"/>
                <w:lang w:val="en-US" w:eastAsia="zh-CN"/>
              </w:rPr>
              <w:t>发生分解生成CO</w:t>
            </w:r>
            <w:r>
              <w:rPr>
                <w:rFonts w:hint="default" w:ascii="Times New Roman" w:hAnsi="Times New Roman"/>
                <w:color w:val="auto"/>
                <w:szCs w:val="24"/>
                <w:vertAlign w:val="subscript"/>
                <w:lang w:val="en-US" w:eastAsia="zh-CN"/>
              </w:rPr>
              <w:t>2</w:t>
            </w:r>
            <w:r>
              <w:rPr>
                <w:rFonts w:hint="default" w:ascii="Times New Roman" w:hAnsi="Times New Roman"/>
                <w:color w:val="auto"/>
                <w:szCs w:val="24"/>
                <w:lang w:val="en-US" w:eastAsia="zh-CN"/>
              </w:rPr>
              <w:t>、CO</w:t>
            </w:r>
            <w:r>
              <w:rPr>
                <w:rFonts w:hint="eastAsia" w:ascii="Times New Roman" w:hAnsi="Times New Roman"/>
                <w:color w:val="auto"/>
                <w:szCs w:val="24"/>
                <w:lang w:val="en-US" w:eastAsia="zh-CN"/>
              </w:rPr>
              <w:t>和甲烷</w:t>
            </w:r>
            <w:r>
              <w:rPr>
                <w:rFonts w:hint="default" w:ascii="Times New Roman" w:hAnsi="Times New Roman"/>
                <w:color w:val="auto"/>
                <w:szCs w:val="24"/>
                <w:lang w:val="en-US" w:eastAsia="zh-CN"/>
              </w:rPr>
              <w:t>等物质。</w:t>
            </w:r>
          </w:p>
          <w:p>
            <w:pPr>
              <w:keepNext w:val="0"/>
              <w:keepLines w:val="0"/>
              <w:pageBreakBefore w:val="0"/>
              <w:widowControl w:val="0"/>
              <w:suppressLineNumbers w:val="0"/>
              <w:kinsoku/>
              <w:wordWrap/>
              <w:overflowPunct/>
              <w:topLinePunct w:val="0"/>
              <w:bidi w:val="0"/>
              <w:spacing w:beforeAutospacing="0" w:after="0" w:afterAutospacing="0" w:line="360" w:lineRule="auto"/>
              <w:ind w:left="0" w:right="0" w:firstLine="480" w:firstLineChars="200"/>
              <w:rPr>
                <w:rFonts w:hint="eastAsia" w:ascii="Times New Roman" w:hAnsi="Times New Roman" w:eastAsia="宋体"/>
                <w:color w:val="auto"/>
                <w:kern w:val="0"/>
                <w:sz w:val="24"/>
                <w:szCs w:val="24"/>
                <w:lang w:eastAsia="zh-CN"/>
              </w:rPr>
            </w:pPr>
            <w:r>
              <w:rPr>
                <w:rFonts w:hint="eastAsia" w:ascii="Times New Roman" w:hAnsi="Times New Roman"/>
                <w:color w:val="auto"/>
                <w:kern w:val="0"/>
                <w:sz w:val="24"/>
                <w:szCs w:val="24"/>
              </w:rPr>
              <w:t>此阶段主要靠机制棒本身燃烧使炉内温度上升至约 160-280℃，此时机制棒会产生热分解反应，化学</w:t>
            </w:r>
            <w:r>
              <w:rPr>
                <w:rFonts w:hint="eastAsia"/>
                <w:color w:val="auto"/>
                <w:kern w:val="0"/>
                <w:sz w:val="24"/>
                <w:szCs w:val="24"/>
                <w:lang w:eastAsia="zh-CN"/>
              </w:rPr>
              <w:t>组成</w:t>
            </w:r>
            <w:r>
              <w:rPr>
                <w:rFonts w:hint="eastAsia" w:ascii="Times New Roman" w:hAnsi="Times New Roman"/>
                <w:color w:val="auto"/>
                <w:kern w:val="0"/>
                <w:sz w:val="24"/>
                <w:szCs w:val="24"/>
              </w:rPr>
              <w:t>发生变化，半纤维素发生分解生成木煤气（主要为 CO</w:t>
            </w:r>
            <w:r>
              <w:rPr>
                <w:rFonts w:hint="eastAsia" w:ascii="Times New Roman" w:hAnsi="Times New Roman"/>
                <w:color w:val="auto"/>
                <w:kern w:val="0"/>
                <w:sz w:val="24"/>
                <w:szCs w:val="24"/>
                <w:vertAlign w:val="subscript"/>
              </w:rPr>
              <w:t>2</w:t>
            </w:r>
            <w:r>
              <w:rPr>
                <w:rFonts w:hint="eastAsia" w:ascii="Times New Roman" w:hAnsi="Times New Roman"/>
                <w:color w:val="auto"/>
                <w:kern w:val="0"/>
                <w:sz w:val="24"/>
                <w:szCs w:val="24"/>
              </w:rPr>
              <w:t>、CO、甲烷、甲醇、乙烯等，可燃性气体约占 40%）和少量木醋液等物质</w:t>
            </w:r>
            <w:r>
              <w:rPr>
                <w:rFonts w:hint="eastAsia"/>
                <w:color w:val="auto"/>
                <w:kern w:val="0"/>
                <w:sz w:val="24"/>
                <w:szCs w:val="24"/>
                <w:lang w:eastAsia="zh-CN"/>
              </w:rPr>
              <w:t>。</w:t>
            </w:r>
          </w:p>
          <w:p>
            <w:pPr>
              <w:keepNext w:val="0"/>
              <w:keepLines w:val="0"/>
              <w:pageBreakBefore w:val="0"/>
              <w:widowControl w:val="0"/>
              <w:suppressLineNumbers w:val="0"/>
              <w:kinsoku/>
              <w:wordWrap/>
              <w:overflowPunct/>
              <w:topLinePunct w:val="0"/>
              <w:bidi w:val="0"/>
              <w:spacing w:beforeAutospacing="0" w:after="0" w:afterAutospacing="0" w:line="360" w:lineRule="auto"/>
              <w:ind w:left="0" w:right="0" w:firstLine="480" w:firstLineChars="200"/>
              <w:rPr>
                <w:rFonts w:hint="default" w:ascii="Times New Roman" w:hAnsi="Times New Roman"/>
                <w:b w:val="0"/>
                <w:bCs w:val="0"/>
                <w:color w:val="auto"/>
                <w:szCs w:val="24"/>
                <w:u w:val="none"/>
                <w:lang w:val="en-US" w:eastAsia="zh-CN"/>
              </w:rPr>
            </w:pPr>
            <w:r>
              <w:rPr>
                <w:rFonts w:hint="eastAsia" w:ascii="Times New Roman" w:hAnsi="Times New Roman"/>
                <w:b w:val="0"/>
                <w:bCs w:val="0"/>
                <w:color w:val="auto"/>
                <w:kern w:val="0"/>
                <w:sz w:val="24"/>
                <w:szCs w:val="24"/>
                <w:u w:val="none"/>
              </w:rPr>
              <w:t>以上两个阶段需要外界供给热量来保证热解温度的上升，所以称为吸热分解阶段。</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textAlignment w:val="auto"/>
              <w:outlineLvl w:val="9"/>
              <w:rPr>
                <w:rFonts w:hint="eastAsia" w:ascii="Times New Roman" w:hAnsi="Times New Roman"/>
                <w:b/>
                <w:bCs/>
                <w:color w:val="auto"/>
                <w:sz w:val="24"/>
                <w:szCs w:val="24"/>
                <w:lang w:val="en-US" w:eastAsia="zh-CN"/>
              </w:rPr>
            </w:pPr>
            <w:r>
              <w:rPr>
                <w:rFonts w:hint="eastAsia"/>
                <w:b/>
                <w:bCs/>
                <w:color w:val="auto"/>
                <w:sz w:val="24"/>
                <w:szCs w:val="24"/>
                <w:lang w:val="en-US" w:eastAsia="zh-CN"/>
              </w:rPr>
              <w:t>③</w:t>
            </w:r>
            <w:r>
              <w:rPr>
                <w:rFonts w:hint="eastAsia" w:ascii="Times New Roman" w:hAnsi="Times New Roman"/>
                <w:b/>
                <w:bCs/>
                <w:color w:val="auto"/>
                <w:sz w:val="24"/>
                <w:szCs w:val="24"/>
                <w:lang w:val="en-US" w:eastAsia="zh-CN"/>
              </w:rPr>
              <w:t>全面炭化阶段：</w:t>
            </w:r>
          </w:p>
          <w:p>
            <w:pPr>
              <w:pStyle w:val="21"/>
              <w:keepNext w:val="0"/>
              <w:keepLines w:val="0"/>
              <w:pageBreakBefore w:val="0"/>
              <w:widowControl w:val="0"/>
              <w:numPr>
                <w:ilvl w:val="0"/>
                <w:numId w:val="0"/>
              </w:numPr>
              <w:suppressLineNumbers w:val="0"/>
              <w:kinsoku/>
              <w:wordWrap/>
              <w:overflowPunct/>
              <w:topLinePunct w:val="0"/>
              <w:bidi w:val="0"/>
              <w:spacing w:before="0" w:beforeLines="0" w:beforeAutospacing="0" w:after="0" w:afterAutospacing="0" w:line="360" w:lineRule="auto"/>
              <w:ind w:left="0" w:right="0" w:firstLine="480" w:firstLineChars="200"/>
              <w:rPr>
                <w:rFonts w:hint="eastAsia" w:ascii="Times New Roman" w:hAnsi="Times New Roman"/>
                <w:b w:val="0"/>
                <w:bCs w:val="0"/>
                <w:color w:val="auto"/>
                <w:kern w:val="0"/>
                <w:sz w:val="24"/>
                <w:szCs w:val="24"/>
                <w:u w:val="none"/>
              </w:rPr>
            </w:pPr>
            <w:r>
              <w:rPr>
                <w:rFonts w:hint="default" w:ascii="Times New Roman" w:hAnsi="Times New Roman"/>
                <w:b w:val="0"/>
                <w:bCs w:val="0"/>
                <w:color w:val="auto"/>
                <w:szCs w:val="24"/>
                <w:lang w:val="en-US" w:eastAsia="zh-CN"/>
              </w:rPr>
              <w:t>这个阶段的温度为300～</w:t>
            </w:r>
            <w:r>
              <w:rPr>
                <w:rFonts w:hint="eastAsia" w:ascii="Times New Roman"/>
                <w:b w:val="0"/>
                <w:bCs w:val="0"/>
                <w:color w:val="auto"/>
                <w:szCs w:val="24"/>
                <w:lang w:val="en-US" w:eastAsia="zh-CN"/>
              </w:rPr>
              <w:t>60</w:t>
            </w:r>
            <w:r>
              <w:rPr>
                <w:rFonts w:hint="default" w:ascii="Times New Roman" w:hAnsi="Times New Roman"/>
                <w:b w:val="0"/>
                <w:bCs w:val="0"/>
                <w:color w:val="auto"/>
                <w:szCs w:val="24"/>
                <w:lang w:val="en-US" w:eastAsia="zh-CN"/>
              </w:rPr>
              <w:t>0℃。在这阶段中，</w:t>
            </w:r>
            <w:r>
              <w:rPr>
                <w:rFonts w:hint="default" w:ascii="Times New Roman" w:hAnsi="Times New Roman"/>
                <w:b w:val="0"/>
                <w:bCs w:val="0"/>
                <w:color w:val="auto"/>
                <w:szCs w:val="24"/>
                <w:lang w:val="en-US" w:eastAsia="zh-CN"/>
              </w:rPr>
              <w:fldChar w:fldCharType="begin"/>
            </w:r>
            <w:r>
              <w:rPr>
                <w:rFonts w:hint="default" w:ascii="Times New Roman" w:hAnsi="Times New Roman"/>
                <w:b w:val="0"/>
                <w:bCs w:val="0"/>
                <w:color w:val="auto"/>
                <w:szCs w:val="24"/>
                <w:lang w:val="en-US" w:eastAsia="zh-CN"/>
              </w:rPr>
              <w:instrText xml:space="preserve"> HYPERLINK "https://baike.baidu.com/item/%E6%9C%A8%E8%B4%A8%E6%9D%90%E6%96%99/5839617" \t "https://baike.baidu.com/item/%E7%82%AD%E5%8C%96%E7%82%89/_blank" </w:instrText>
            </w:r>
            <w:r>
              <w:rPr>
                <w:rFonts w:hint="default" w:ascii="Times New Roman" w:hAnsi="Times New Roman"/>
                <w:b w:val="0"/>
                <w:bCs w:val="0"/>
                <w:color w:val="auto"/>
                <w:szCs w:val="24"/>
                <w:lang w:val="en-US" w:eastAsia="zh-CN"/>
              </w:rPr>
              <w:fldChar w:fldCharType="separate"/>
            </w:r>
            <w:r>
              <w:rPr>
                <w:rFonts w:hint="default" w:ascii="Times New Roman" w:hAnsi="Times New Roman"/>
                <w:b w:val="0"/>
                <w:bCs w:val="0"/>
                <w:color w:val="auto"/>
                <w:szCs w:val="24"/>
              </w:rPr>
              <w:t>木质材料</w:t>
            </w:r>
            <w:r>
              <w:rPr>
                <w:rFonts w:hint="default" w:ascii="Times New Roman" w:hAnsi="Times New Roman"/>
                <w:b w:val="0"/>
                <w:bCs w:val="0"/>
                <w:color w:val="auto"/>
                <w:szCs w:val="24"/>
                <w:lang w:val="en-US" w:eastAsia="zh-CN"/>
              </w:rPr>
              <w:fldChar w:fldCharType="end"/>
            </w:r>
            <w:r>
              <w:rPr>
                <w:rFonts w:hint="default" w:ascii="Times New Roman" w:hAnsi="Times New Roman"/>
                <w:b w:val="0"/>
                <w:bCs w:val="0"/>
                <w:color w:val="auto"/>
                <w:szCs w:val="24"/>
                <w:lang w:val="en-US" w:eastAsia="zh-CN"/>
              </w:rPr>
              <w:t>急剧地进行热分解，产生了</w:t>
            </w:r>
            <w:r>
              <w:rPr>
                <w:rFonts w:hint="eastAsia" w:ascii="Times New Roman" w:hAnsi="Times New Roman"/>
                <w:b w:val="0"/>
                <w:bCs w:val="0"/>
                <w:color w:val="auto"/>
                <w:szCs w:val="24"/>
                <w:lang w:val="en-US" w:eastAsia="zh-CN"/>
              </w:rPr>
              <w:t>大量的</w:t>
            </w:r>
            <w:r>
              <w:rPr>
                <w:rFonts w:hint="default" w:ascii="Times New Roman" w:hAnsi="Times New Roman"/>
                <w:b w:val="0"/>
                <w:bCs w:val="0"/>
                <w:color w:val="auto"/>
                <w:szCs w:val="24"/>
                <w:lang w:val="en-US" w:eastAsia="zh-CN"/>
              </w:rPr>
              <w:t>甲烷、乙烯等</w:t>
            </w:r>
            <w:r>
              <w:rPr>
                <w:rFonts w:hint="default" w:ascii="Times New Roman" w:hAnsi="Times New Roman"/>
                <w:b w:val="0"/>
                <w:bCs w:val="0"/>
                <w:color w:val="auto"/>
                <w:szCs w:val="24"/>
                <w:lang w:val="en-US" w:eastAsia="zh-CN"/>
              </w:rPr>
              <w:fldChar w:fldCharType="begin"/>
            </w:r>
            <w:r>
              <w:rPr>
                <w:rFonts w:hint="default" w:ascii="Times New Roman" w:hAnsi="Times New Roman"/>
                <w:b w:val="0"/>
                <w:bCs w:val="0"/>
                <w:color w:val="auto"/>
                <w:szCs w:val="24"/>
                <w:lang w:val="en-US" w:eastAsia="zh-CN"/>
              </w:rPr>
              <w:instrText xml:space="preserve"> HYPERLINK "https://baike.baidu.com/item/%E5%8F%AF%E7%87%83%E6%80%A7%E6%B0%94%E4%BD%93/6981590" \t "https://baike.baidu.com/item/%E7%82%AD%E5%8C%96%E7%82%89/_blank" </w:instrText>
            </w:r>
            <w:r>
              <w:rPr>
                <w:rFonts w:hint="default" w:ascii="Times New Roman" w:hAnsi="Times New Roman"/>
                <w:b w:val="0"/>
                <w:bCs w:val="0"/>
                <w:color w:val="auto"/>
                <w:szCs w:val="24"/>
                <w:lang w:val="en-US" w:eastAsia="zh-CN"/>
              </w:rPr>
              <w:fldChar w:fldCharType="separate"/>
            </w:r>
            <w:r>
              <w:rPr>
                <w:rFonts w:hint="default" w:ascii="Times New Roman" w:hAnsi="Times New Roman"/>
                <w:b w:val="0"/>
                <w:bCs w:val="0"/>
                <w:color w:val="auto"/>
                <w:szCs w:val="24"/>
              </w:rPr>
              <w:t>可燃性气体</w:t>
            </w:r>
            <w:r>
              <w:rPr>
                <w:rFonts w:hint="default" w:ascii="Times New Roman" w:hAnsi="Times New Roman"/>
                <w:b w:val="0"/>
                <w:bCs w:val="0"/>
                <w:color w:val="auto"/>
                <w:szCs w:val="24"/>
                <w:lang w:val="en-US" w:eastAsia="zh-CN"/>
              </w:rPr>
              <w:fldChar w:fldCharType="end"/>
            </w:r>
            <w:r>
              <w:rPr>
                <w:rFonts w:hint="default" w:ascii="Times New Roman" w:hAnsi="Times New Roman"/>
                <w:b w:val="0"/>
                <w:bCs w:val="0"/>
                <w:color w:val="auto"/>
                <w:szCs w:val="24"/>
                <w:lang w:val="en-US" w:eastAsia="zh-CN"/>
              </w:rPr>
              <w:t>，热分解和气体燃烧产生了大量的热，使炉温升高，木质材料在高温下</w:t>
            </w:r>
            <w:r>
              <w:rPr>
                <w:rFonts w:hint="default" w:ascii="Times New Roman" w:hAnsi="Times New Roman"/>
                <w:b w:val="0"/>
                <w:bCs w:val="0"/>
                <w:color w:val="auto"/>
                <w:szCs w:val="24"/>
                <w:lang w:val="en-US" w:eastAsia="zh-CN"/>
              </w:rPr>
              <w:fldChar w:fldCharType="begin"/>
            </w:r>
            <w:r>
              <w:rPr>
                <w:rFonts w:hint="default" w:ascii="Times New Roman" w:hAnsi="Times New Roman"/>
                <w:b w:val="0"/>
                <w:bCs w:val="0"/>
                <w:color w:val="auto"/>
                <w:szCs w:val="24"/>
                <w:lang w:val="en-US" w:eastAsia="zh-CN"/>
              </w:rPr>
              <w:instrText xml:space="preserve"> HYPERLINK "https://baike.baidu.com/item/%E5%B9%B2%E9%A6%8F" \t "https://baike.baidu.com/item/%E7%82%AD%E5%8C%96%E7%82%89/_blank" </w:instrText>
            </w:r>
            <w:r>
              <w:rPr>
                <w:rFonts w:hint="default" w:ascii="Times New Roman" w:hAnsi="Times New Roman"/>
                <w:b w:val="0"/>
                <w:bCs w:val="0"/>
                <w:color w:val="auto"/>
                <w:szCs w:val="24"/>
                <w:lang w:val="en-US" w:eastAsia="zh-CN"/>
              </w:rPr>
              <w:fldChar w:fldCharType="separate"/>
            </w:r>
            <w:r>
              <w:rPr>
                <w:rFonts w:hint="default" w:ascii="Times New Roman" w:hAnsi="Times New Roman"/>
                <w:b w:val="0"/>
                <w:bCs w:val="0"/>
                <w:color w:val="auto"/>
                <w:szCs w:val="24"/>
              </w:rPr>
              <w:t>干馏</w:t>
            </w:r>
            <w:r>
              <w:rPr>
                <w:rFonts w:hint="default" w:ascii="Times New Roman" w:hAnsi="Times New Roman"/>
                <w:b w:val="0"/>
                <w:bCs w:val="0"/>
                <w:color w:val="auto"/>
                <w:szCs w:val="24"/>
                <w:lang w:val="en-US" w:eastAsia="zh-CN"/>
              </w:rPr>
              <w:fldChar w:fldCharType="end"/>
            </w:r>
            <w:r>
              <w:rPr>
                <w:rFonts w:hint="default" w:ascii="Times New Roman" w:hAnsi="Times New Roman"/>
                <w:b w:val="0"/>
                <w:bCs w:val="0"/>
                <w:color w:val="auto"/>
                <w:szCs w:val="24"/>
                <w:lang w:val="en-US" w:eastAsia="zh-CN"/>
              </w:rPr>
              <w:t>成炭。</w:t>
            </w:r>
            <w:r>
              <w:rPr>
                <w:rFonts w:hint="eastAsia" w:ascii="Times New Roman" w:hAnsi="Times New Roman"/>
                <w:b w:val="0"/>
                <w:bCs w:val="0"/>
                <w:color w:val="auto"/>
                <w:kern w:val="0"/>
                <w:sz w:val="24"/>
                <w:szCs w:val="24"/>
              </w:rPr>
              <w:t>这一阶段放出大量反应热，所以</w:t>
            </w:r>
            <w:r>
              <w:rPr>
                <w:rFonts w:hint="eastAsia" w:ascii="Times New Roman" w:hAnsi="Times New Roman"/>
                <w:b w:val="0"/>
                <w:bCs w:val="0"/>
                <w:color w:val="auto"/>
                <w:kern w:val="0"/>
                <w:sz w:val="24"/>
                <w:szCs w:val="24"/>
                <w:u w:val="none"/>
              </w:rPr>
              <w:t>又称为放热分解阶段。</w:t>
            </w:r>
          </w:p>
          <w:p>
            <w:pPr>
              <w:pStyle w:val="21"/>
              <w:keepNext w:val="0"/>
              <w:keepLines w:val="0"/>
              <w:numPr>
                <w:ilvl w:val="0"/>
                <w:numId w:val="0"/>
              </w:numPr>
              <w:suppressLineNumbers w:val="0"/>
              <w:spacing w:beforeAutospacing="0" w:after="0" w:afterAutospacing="0"/>
              <w:ind w:left="0" w:right="0" w:firstLine="480" w:firstLineChars="200"/>
              <w:rPr>
                <w:rFonts w:hint="eastAsia" w:ascii="Times New Roman" w:hAnsi="Times New Roman" w:eastAsia="宋体"/>
                <w:color w:val="auto"/>
                <w:kern w:val="0"/>
                <w:sz w:val="24"/>
                <w:szCs w:val="24"/>
                <w:lang w:eastAsia="zh-CN"/>
              </w:rPr>
            </w:pPr>
            <w:r>
              <w:rPr>
                <w:rFonts w:hint="eastAsia" w:asciiTheme="minorEastAsia" w:hAnsiTheme="minorEastAsia" w:eastAsiaTheme="minorEastAsia" w:cstheme="minorEastAsia"/>
                <w:b w:val="0"/>
                <w:bCs w:val="0"/>
                <w:color w:val="auto"/>
                <w:kern w:val="0"/>
                <w:sz w:val="24"/>
                <w:szCs w:val="24"/>
                <w:u w:val="none"/>
                <w:lang w:val="en-US" w:eastAsia="zh-CN"/>
              </w:rPr>
              <w:t xml:space="preserve"> </w:t>
            </w:r>
            <w:r>
              <w:rPr>
                <w:rFonts w:hint="eastAsia" w:ascii="Times New Roman" w:hAnsi="Times New Roman"/>
                <w:b w:val="0"/>
                <w:bCs w:val="0"/>
                <w:color w:val="auto"/>
                <w:kern w:val="0"/>
                <w:sz w:val="24"/>
                <w:szCs w:val="24"/>
                <w:u w:val="none"/>
              </w:rPr>
              <w:t>在</w:t>
            </w:r>
            <w:r>
              <w:rPr>
                <w:rFonts w:hint="eastAsia" w:ascii="Times New Roman" w:hAnsi="Times New Roman"/>
                <w:b w:val="0"/>
                <w:bCs w:val="0"/>
                <w:color w:val="auto"/>
                <w:sz w:val="24"/>
                <w:szCs w:val="24"/>
                <w:u w:val="none"/>
              </w:rPr>
              <w:t>炭化</w:t>
            </w:r>
            <w:r>
              <w:rPr>
                <w:rFonts w:hint="eastAsia" w:ascii="Times New Roman" w:hAnsi="Times New Roman"/>
                <w:b w:val="0"/>
                <w:bCs w:val="0"/>
                <w:color w:val="auto"/>
                <w:kern w:val="0"/>
                <w:sz w:val="24"/>
                <w:szCs w:val="24"/>
                <w:u w:val="none"/>
              </w:rPr>
              <w:t>阶段中，木质材料急剧地进行热分解，产生甲烷，乙烯等可燃性气体</w:t>
            </w:r>
            <w:r>
              <w:rPr>
                <w:rFonts w:hint="eastAsia"/>
                <w:b w:val="0"/>
                <w:bCs w:val="0"/>
                <w:color w:val="auto"/>
                <w:kern w:val="0"/>
                <w:sz w:val="24"/>
                <w:szCs w:val="24"/>
                <w:u w:val="none"/>
                <w:lang w:eastAsia="zh-CN"/>
              </w:rPr>
              <w:t>，</w:t>
            </w:r>
            <w:r>
              <w:rPr>
                <w:rFonts w:hint="eastAsia" w:ascii="Times New Roman" w:hAnsi="Times New Roman"/>
                <w:b w:val="0"/>
                <w:bCs w:val="0"/>
                <w:color w:val="auto"/>
                <w:kern w:val="0"/>
                <w:sz w:val="24"/>
                <w:szCs w:val="24"/>
                <w:u w:val="none"/>
              </w:rPr>
              <w:t>碳化过程中</w:t>
            </w:r>
            <w:r>
              <w:rPr>
                <w:rFonts w:hint="eastAsia"/>
                <w:b w:val="0"/>
                <w:bCs w:val="0"/>
                <w:color w:val="auto"/>
                <w:kern w:val="0"/>
                <w:sz w:val="24"/>
                <w:szCs w:val="24"/>
                <w:u w:val="none"/>
                <w:lang w:eastAsia="zh-CN"/>
              </w:rPr>
              <w:t>还</w:t>
            </w:r>
            <w:r>
              <w:rPr>
                <w:rFonts w:hint="eastAsia" w:ascii="Times New Roman" w:hAnsi="Times New Roman"/>
                <w:b w:val="0"/>
                <w:bCs w:val="0"/>
                <w:color w:val="auto"/>
                <w:kern w:val="0"/>
                <w:sz w:val="24"/>
                <w:szCs w:val="24"/>
                <w:u w:val="none"/>
              </w:rPr>
              <w:t>会产生木焦油和木醋液，</w:t>
            </w:r>
            <w:r>
              <w:rPr>
                <w:rFonts w:hint="eastAsia"/>
                <w:b w:val="0"/>
                <w:bCs w:val="0"/>
                <w:color w:val="auto"/>
                <w:kern w:val="0"/>
                <w:sz w:val="24"/>
                <w:szCs w:val="24"/>
                <w:u w:val="none"/>
                <w:lang w:eastAsia="zh-CN"/>
              </w:rPr>
              <w:t>这些物质</w:t>
            </w:r>
            <w:r>
              <w:rPr>
                <w:rFonts w:hint="eastAsia" w:ascii="Times New Roman" w:hAnsi="Times New Roman"/>
                <w:b w:val="0"/>
                <w:bCs w:val="0"/>
                <w:color w:val="auto"/>
                <w:kern w:val="0"/>
                <w:sz w:val="24"/>
                <w:szCs w:val="24"/>
                <w:u w:val="none"/>
              </w:rPr>
              <w:t>在高温状态下均</w:t>
            </w:r>
            <w:r>
              <w:rPr>
                <w:rFonts w:hint="eastAsia" w:ascii="Times New Roman" w:hAnsi="Times New Roman"/>
                <w:b w:val="0"/>
                <w:bCs w:val="0"/>
                <w:color w:val="auto"/>
                <w:kern w:val="0"/>
                <w:sz w:val="24"/>
                <w:szCs w:val="24"/>
              </w:rPr>
              <w:t>呈气态。</w:t>
            </w:r>
            <w:r>
              <w:rPr>
                <w:rFonts w:hint="eastAsia"/>
                <w:b w:val="0"/>
                <w:bCs w:val="0"/>
                <w:color w:val="auto"/>
                <w:kern w:val="0"/>
                <w:sz w:val="24"/>
                <w:szCs w:val="24"/>
                <w:lang w:eastAsia="zh-CN"/>
              </w:rPr>
              <w:t>建设单位拟将</w:t>
            </w:r>
            <w:r>
              <w:rPr>
                <w:rFonts w:hint="eastAsia"/>
                <w:b w:val="0"/>
                <w:bCs w:val="0"/>
                <w:color w:val="auto"/>
                <w:kern w:val="0"/>
                <w:sz w:val="24"/>
                <w:szCs w:val="24"/>
                <w:u w:val="none"/>
                <w:lang w:eastAsia="zh-CN"/>
              </w:rPr>
              <w:t>碳化过程产生的混合气体（</w:t>
            </w:r>
            <w:r>
              <w:rPr>
                <w:rFonts w:hint="eastAsia" w:ascii="Times New Roman" w:hAnsi="Times New Roman"/>
                <w:b w:val="0"/>
                <w:bCs w:val="0"/>
                <w:color w:val="auto"/>
                <w:sz w:val="24"/>
                <w:szCs w:val="20"/>
              </w:rPr>
              <w:t>炭化窑烟气</w:t>
            </w:r>
            <w:r>
              <w:rPr>
                <w:rFonts w:hint="eastAsia"/>
                <w:b w:val="0"/>
                <w:bCs w:val="0"/>
                <w:color w:val="auto"/>
                <w:kern w:val="0"/>
                <w:sz w:val="24"/>
                <w:szCs w:val="24"/>
                <w:u w:val="none"/>
                <w:lang w:eastAsia="zh-CN"/>
              </w:rPr>
              <w:t>）</w:t>
            </w:r>
            <w:r>
              <w:rPr>
                <w:rFonts w:hint="eastAsia" w:ascii="Times New Roman" w:hAnsi="Times New Roman"/>
                <w:b w:val="0"/>
                <w:bCs w:val="0"/>
                <w:color w:val="auto"/>
                <w:kern w:val="0"/>
                <w:sz w:val="24"/>
                <w:szCs w:val="24"/>
                <w:u w:val="none"/>
              </w:rPr>
              <w:t>通过与窑体的连接管道</w:t>
            </w:r>
            <w:r>
              <w:rPr>
                <w:rFonts w:hint="eastAsia" w:ascii="Times New Roman"/>
                <w:b w:val="0"/>
                <w:bCs w:val="0"/>
                <w:color w:val="auto"/>
                <w:kern w:val="0"/>
                <w:sz w:val="24"/>
                <w:szCs w:val="24"/>
                <w:u w:val="none"/>
                <w:lang w:eastAsia="zh-CN"/>
              </w:rPr>
              <w:t>（收集烟道）</w:t>
            </w:r>
            <w:r>
              <w:rPr>
                <w:rFonts w:hint="eastAsia"/>
                <w:b w:val="0"/>
                <w:bCs w:val="0"/>
                <w:color w:val="auto"/>
                <w:kern w:val="0"/>
                <w:sz w:val="24"/>
                <w:szCs w:val="24"/>
                <w:u w:val="none"/>
                <w:lang w:eastAsia="zh-CN"/>
              </w:rPr>
              <w:t>引</w:t>
            </w:r>
            <w:r>
              <w:rPr>
                <w:rFonts w:hint="eastAsia" w:ascii="Times New Roman" w:hAnsi="Times New Roman"/>
                <w:b w:val="0"/>
                <w:bCs w:val="0"/>
                <w:color w:val="auto"/>
                <w:kern w:val="0"/>
                <w:sz w:val="24"/>
                <w:szCs w:val="24"/>
                <w:u w:val="none"/>
              </w:rPr>
              <w:t>入烘干炉完全富氧燃烧，为烘干阶段提供热量，</w:t>
            </w:r>
            <w:r>
              <w:rPr>
                <w:rFonts w:hint="eastAsia" w:ascii="Times New Roman" w:hAnsi="Times New Roman"/>
                <w:b w:val="0"/>
                <w:bCs w:val="0"/>
                <w:color w:val="auto"/>
                <w:kern w:val="0"/>
                <w:sz w:val="24"/>
                <w:szCs w:val="24"/>
              </w:rPr>
              <w:t>燃烧产物为二氧化碳、水蒸气、烟尘、SO</w:t>
            </w:r>
            <w:r>
              <w:rPr>
                <w:rFonts w:hint="eastAsia" w:ascii="Times New Roman" w:hAnsi="Times New Roman"/>
                <w:b w:val="0"/>
                <w:bCs w:val="0"/>
                <w:color w:val="auto"/>
                <w:kern w:val="0"/>
                <w:sz w:val="24"/>
                <w:szCs w:val="24"/>
                <w:vertAlign w:val="subscript"/>
              </w:rPr>
              <w:t>2</w:t>
            </w:r>
            <w:r>
              <w:rPr>
                <w:rFonts w:hint="eastAsia" w:ascii="Times New Roman" w:hAnsi="Times New Roman"/>
                <w:b w:val="0"/>
                <w:bCs w:val="0"/>
                <w:color w:val="auto"/>
                <w:kern w:val="0"/>
                <w:sz w:val="24"/>
                <w:szCs w:val="24"/>
              </w:rPr>
              <w:t xml:space="preserve"> 及 NO</w:t>
            </w:r>
            <w:r>
              <w:rPr>
                <w:rFonts w:hint="eastAsia" w:ascii="Times New Roman" w:hAnsi="Times New Roman"/>
                <w:b w:val="0"/>
                <w:bCs w:val="0"/>
                <w:color w:val="auto"/>
                <w:kern w:val="0"/>
                <w:sz w:val="24"/>
                <w:szCs w:val="24"/>
                <w:vertAlign w:val="subscript"/>
              </w:rPr>
              <w:t>X</w:t>
            </w:r>
            <w:r>
              <w:rPr>
                <w:rFonts w:hint="eastAsia"/>
                <w:b w:val="0"/>
                <w:bCs w:val="0"/>
                <w:color w:val="auto"/>
                <w:kern w:val="0"/>
                <w:sz w:val="24"/>
                <w:szCs w:val="24"/>
                <w:lang w:eastAsia="zh-CN"/>
              </w:rPr>
              <w:t>。</w:t>
            </w:r>
            <w:r>
              <w:rPr>
                <w:rFonts w:hint="eastAsia"/>
                <w:b w:val="0"/>
                <w:bCs w:val="0"/>
                <w:color w:val="auto"/>
                <w:kern w:val="0"/>
                <w:sz w:val="24"/>
                <w:szCs w:val="24"/>
                <w:u w:val="none"/>
                <w:lang w:eastAsia="zh-CN"/>
              </w:rPr>
              <w:t>炭化窑废气</w:t>
            </w:r>
            <w:r>
              <w:rPr>
                <w:rFonts w:hint="eastAsia" w:ascii="Times New Roman" w:hAnsi="Times New Roman"/>
                <w:b w:val="0"/>
                <w:bCs w:val="0"/>
                <w:color w:val="auto"/>
                <w:kern w:val="0"/>
                <w:sz w:val="24"/>
                <w:szCs w:val="24"/>
                <w:u w:val="none"/>
              </w:rPr>
              <w:t>进入烘干炉完</w:t>
            </w:r>
            <w:r>
              <w:rPr>
                <w:rFonts w:hint="eastAsia" w:ascii="Times New Roman" w:hAnsi="Times New Roman"/>
                <w:color w:val="auto"/>
                <w:kern w:val="0"/>
                <w:sz w:val="24"/>
                <w:szCs w:val="24"/>
                <w:u w:val="none"/>
              </w:rPr>
              <w:t>全富氧燃烧</w:t>
            </w:r>
            <w:r>
              <w:rPr>
                <w:rFonts w:hint="eastAsia"/>
                <w:color w:val="auto"/>
                <w:kern w:val="0"/>
                <w:sz w:val="24"/>
                <w:szCs w:val="24"/>
                <w:u w:val="none"/>
                <w:lang w:eastAsia="zh-CN"/>
              </w:rPr>
              <w:t>后，与烘干废气一起经</w:t>
            </w:r>
            <w:r>
              <w:rPr>
                <w:rFonts w:hint="eastAsia" w:ascii="Times New Roman" w:hAnsi="Times New Roman"/>
                <w:color w:val="auto"/>
                <w:kern w:val="0"/>
                <w:sz w:val="24"/>
                <w:szCs w:val="24"/>
                <w:u w:val="none"/>
              </w:rPr>
              <w:t>旋风分离器</w:t>
            </w:r>
            <w:r>
              <w:rPr>
                <w:rFonts w:hint="eastAsia"/>
                <w:color w:val="auto"/>
                <w:kern w:val="0"/>
                <w:sz w:val="24"/>
                <w:szCs w:val="24"/>
                <w:u w:val="none"/>
                <w:lang w:val="en-US" w:eastAsia="zh-CN"/>
              </w:rPr>
              <w:t>+</w:t>
            </w:r>
            <w:r>
              <w:rPr>
                <w:rFonts w:hint="eastAsia"/>
                <w:color w:val="auto"/>
                <w:lang w:val="en-US" w:eastAsia="zh-CN"/>
              </w:rPr>
              <w:t>水雾</w:t>
            </w:r>
            <w:r>
              <w:rPr>
                <w:rFonts w:hint="eastAsia"/>
                <w:color w:val="auto"/>
                <w:kern w:val="0"/>
                <w:sz w:val="24"/>
                <w:szCs w:val="24"/>
                <w:u w:val="none"/>
                <w:lang w:val="en-US" w:eastAsia="zh-CN"/>
              </w:rPr>
              <w:t>除尘+</w:t>
            </w:r>
            <w:r>
              <w:rPr>
                <w:rFonts w:hint="eastAsia"/>
                <w:color w:val="auto"/>
                <w:kern w:val="0"/>
                <w:sz w:val="24"/>
                <w:szCs w:val="24"/>
                <w:u w:val="none"/>
                <w:lang w:eastAsia="zh-CN"/>
              </w:rPr>
              <w:t>静电除尘器处理后经</w:t>
            </w:r>
            <w:r>
              <w:rPr>
                <w:rFonts w:hint="default" w:ascii="Times New Roman" w:hAnsi="Times New Roman" w:cs="Times New Roman"/>
                <w:color w:val="auto"/>
                <w:kern w:val="0"/>
                <w:sz w:val="24"/>
                <w:szCs w:val="24"/>
                <w:u w:val="none"/>
                <w:lang w:val="en-US" w:eastAsia="zh-CN"/>
              </w:rPr>
              <w:t>15</w:t>
            </w:r>
            <w:r>
              <w:rPr>
                <w:rFonts w:hint="eastAsia"/>
                <w:color w:val="auto"/>
                <w:kern w:val="0"/>
                <w:sz w:val="24"/>
                <w:szCs w:val="24"/>
                <w:u w:val="none"/>
                <w:lang w:val="en-US" w:eastAsia="zh-CN"/>
              </w:rPr>
              <w:t>米排气筒排放。</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b/>
                <w:bCs/>
                <w:color w:val="auto"/>
                <w:kern w:val="0"/>
                <w:sz w:val="24"/>
                <w:szCs w:val="24"/>
              </w:rPr>
            </w:pPr>
            <w:r>
              <w:rPr>
                <w:rFonts w:hint="eastAsia"/>
                <w:b/>
                <w:bCs/>
                <w:color w:val="auto"/>
                <w:kern w:val="0"/>
                <w:sz w:val="24"/>
                <w:szCs w:val="24"/>
                <w:lang w:val="en-US" w:eastAsia="zh-CN"/>
              </w:rPr>
              <w:t>④</w:t>
            </w:r>
            <w:r>
              <w:rPr>
                <w:rFonts w:hint="eastAsia" w:ascii="Times New Roman" w:hAnsi="Times New Roman"/>
                <w:b/>
                <w:bCs/>
                <w:color w:val="auto"/>
                <w:kern w:val="0"/>
                <w:sz w:val="24"/>
                <w:szCs w:val="24"/>
              </w:rPr>
              <w:t>煅烧阶段</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olor w:val="auto"/>
                <w:sz w:val="24"/>
                <w:szCs w:val="24"/>
                <w:u w:val="none"/>
              </w:rPr>
            </w:pPr>
            <w:r>
              <w:rPr>
                <w:rFonts w:hint="eastAsia" w:ascii="Times New Roman" w:hAnsi="Times New Roman"/>
                <w:color w:val="auto"/>
                <w:kern w:val="0"/>
                <w:sz w:val="24"/>
                <w:szCs w:val="24"/>
                <w:lang w:eastAsia="zh-CN"/>
              </w:rPr>
              <w:t>此</w:t>
            </w:r>
            <w:r>
              <w:rPr>
                <w:rFonts w:hint="eastAsia" w:ascii="Times New Roman" w:hAnsi="Times New Roman"/>
                <w:color w:val="auto"/>
                <w:kern w:val="0"/>
                <w:sz w:val="24"/>
                <w:szCs w:val="24"/>
              </w:rPr>
              <w:t>阶段的温度</w:t>
            </w:r>
            <w:r>
              <w:rPr>
                <w:rFonts w:hint="eastAsia" w:ascii="Times New Roman" w:hAnsi="Times New Roman"/>
                <w:color w:val="auto"/>
                <w:kern w:val="0"/>
                <w:sz w:val="24"/>
                <w:szCs w:val="24"/>
                <w:lang w:val="en-US" w:eastAsia="zh-CN"/>
              </w:rPr>
              <w:t>60</w:t>
            </w:r>
            <w:r>
              <w:rPr>
                <w:rFonts w:hint="eastAsia" w:ascii="Times New Roman" w:hAnsi="Times New Roman"/>
                <w:color w:val="auto"/>
                <w:kern w:val="0"/>
                <w:sz w:val="24"/>
                <w:szCs w:val="24"/>
              </w:rPr>
              <w:t>0℃</w:t>
            </w:r>
            <w:r>
              <w:rPr>
                <w:rFonts w:hint="eastAsia" w:ascii="Times New Roman" w:hAnsi="Times New Roman"/>
                <w:color w:val="auto"/>
                <w:kern w:val="0"/>
                <w:sz w:val="24"/>
                <w:szCs w:val="24"/>
                <w:lang w:val="en-US" w:eastAsia="zh-CN"/>
              </w:rPr>
              <w:t>以上</w:t>
            </w:r>
            <w:r>
              <w:rPr>
                <w:rFonts w:hint="eastAsia" w:ascii="Times New Roman" w:hAnsi="Times New Roman"/>
                <w:color w:val="auto"/>
                <w:kern w:val="0"/>
                <w:sz w:val="24"/>
                <w:szCs w:val="24"/>
              </w:rPr>
              <w:t>，这个阶段依靠外部供给热量进行木炭的煅烧，排出残留在木炭中的挥发性物质，提高木炭的固定碳含量。</w:t>
            </w:r>
            <w:r>
              <w:rPr>
                <w:rFonts w:hint="eastAsia" w:ascii="Times New Roman" w:hAnsi="Times New Roman"/>
                <w:color w:val="auto"/>
                <w:kern w:val="0"/>
                <w:sz w:val="24"/>
                <w:szCs w:val="24"/>
                <w:lang w:eastAsia="zh-CN"/>
              </w:rPr>
              <w:t>此</w:t>
            </w:r>
            <w:r>
              <w:rPr>
                <w:rFonts w:hint="eastAsia" w:ascii="Times New Roman" w:hAnsi="Times New Roman"/>
                <w:color w:val="auto"/>
                <w:kern w:val="0"/>
                <w:sz w:val="24"/>
                <w:szCs w:val="24"/>
              </w:rPr>
              <w:t>阶段生成的液体产物很少</w:t>
            </w:r>
            <w:r>
              <w:rPr>
                <w:rFonts w:hint="eastAsia"/>
                <w:color w:val="auto"/>
                <w:kern w:val="0"/>
                <w:sz w:val="24"/>
                <w:szCs w:val="24"/>
                <w:lang w:eastAsia="zh-CN"/>
              </w:rPr>
              <w:t>，</w:t>
            </w:r>
            <w:r>
              <w:rPr>
                <w:rFonts w:hint="eastAsia"/>
                <w:color w:val="auto"/>
                <w:sz w:val="24"/>
                <w:szCs w:val="24"/>
                <w:u w:val="none"/>
              </w:rPr>
              <w:t>产生的气体可燃。此过程对炭的质量影响很大，煅烧温度不</w:t>
            </w:r>
            <w:r>
              <w:rPr>
                <w:rFonts w:hint="eastAsia"/>
                <w:color w:val="auto"/>
                <w:sz w:val="24"/>
                <w:szCs w:val="24"/>
                <w:u w:val="none"/>
                <w:lang w:val="en-US" w:eastAsia="zh-CN"/>
              </w:rPr>
              <w:t>够</w:t>
            </w:r>
            <w:r>
              <w:rPr>
                <w:rFonts w:hint="eastAsia"/>
                <w:color w:val="auto"/>
                <w:sz w:val="24"/>
                <w:szCs w:val="24"/>
                <w:u w:val="none"/>
              </w:rPr>
              <w:t>，则固定炭含量较低，挥发分超标，收缩较差，强度不够，无钢音。</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olor w:val="auto"/>
              </w:rPr>
            </w:pPr>
            <w:r>
              <w:rPr>
                <w:rFonts w:hint="eastAsia" w:ascii="Times New Roman" w:hAnsi="Times New Roman"/>
                <w:color w:val="auto"/>
                <w:kern w:val="0"/>
                <w:sz w:val="24"/>
                <w:szCs w:val="24"/>
              </w:rPr>
              <w:t>应当指出，实际上这四个阶段的界限难以明确划分，由于炭化设备各个部位受热量不同，木质材料的导热系数又较小，因此，设备内木质材料所处的位置不同，可能处于不同热解阶段。</w:t>
            </w:r>
          </w:p>
          <w:p>
            <w:pPr>
              <w:pStyle w:val="10"/>
              <w:keepNext w:val="0"/>
              <w:keepLines w:val="0"/>
              <w:pageBreakBefore w:val="0"/>
              <w:widowControl w:val="0"/>
              <w:suppressLineNumbers w:val="0"/>
              <w:kinsoku/>
              <w:wordWrap/>
              <w:overflowPunct/>
              <w:topLinePunct w:val="0"/>
              <w:bidi w:val="0"/>
              <w:snapToGrid/>
              <w:spacing w:before="0" w:beforeAutospacing="0" w:afterAutospacing="0" w:line="360" w:lineRule="auto"/>
              <w:ind w:left="0" w:right="0" w:firstLine="482" w:firstLineChars="200"/>
              <w:textAlignment w:val="auto"/>
              <w:rPr>
                <w:rFonts w:hint="eastAsia" w:ascii="Times New Roman" w:hAnsi="Times New Roman"/>
                <w:color w:val="auto"/>
                <w:szCs w:val="24"/>
                <w:lang w:val="en-US" w:eastAsia="zh-CN"/>
              </w:rPr>
            </w:pPr>
            <w:r>
              <w:rPr>
                <w:rFonts w:hint="eastAsia"/>
                <w:b/>
                <w:bCs/>
                <w:color w:val="auto"/>
                <w:sz w:val="24"/>
                <w:szCs w:val="24"/>
                <w:lang w:val="en-US" w:eastAsia="zh-CN"/>
              </w:rPr>
              <w:t>（8）</w:t>
            </w:r>
            <w:r>
              <w:rPr>
                <w:rFonts w:hint="eastAsia" w:ascii="Times New Roman" w:hAnsi="Times New Roman"/>
                <w:b/>
                <w:bCs/>
                <w:color w:val="auto"/>
                <w:sz w:val="24"/>
                <w:szCs w:val="24"/>
                <w:lang w:eastAsia="zh-CN"/>
              </w:rPr>
              <w:t>冷却</w:t>
            </w:r>
            <w:r>
              <w:rPr>
                <w:rFonts w:hint="eastAsia" w:ascii="Times New Roman" w:hAnsi="Times New Roman"/>
                <w:color w:val="auto"/>
                <w:sz w:val="24"/>
                <w:szCs w:val="24"/>
                <w:lang w:eastAsia="zh-CN"/>
              </w:rPr>
              <w:t>：</w:t>
            </w:r>
            <w:r>
              <w:rPr>
                <w:rFonts w:hint="eastAsia"/>
                <w:color w:val="auto"/>
                <w:sz w:val="24"/>
                <w:szCs w:val="24"/>
                <w:lang w:val="en-US" w:eastAsia="zh-CN"/>
              </w:rPr>
              <w:t>经过充分</w:t>
            </w:r>
            <w:r>
              <w:rPr>
                <w:rFonts w:hint="eastAsia" w:ascii="Times New Roman" w:hAnsi="Times New Roman"/>
                <w:color w:val="auto"/>
                <w:sz w:val="24"/>
                <w:szCs w:val="24"/>
                <w:lang w:eastAsia="zh-CN"/>
              </w:rPr>
              <w:t>炭化好的机制炭在炉内缓慢降温</w:t>
            </w:r>
            <w:r>
              <w:rPr>
                <w:rFonts w:hint="eastAsia"/>
                <w:color w:val="auto"/>
                <w:sz w:val="24"/>
                <w:szCs w:val="24"/>
                <w:lang w:val="en-US" w:eastAsia="zh-CN"/>
              </w:rPr>
              <w:t>至一定温度后</w:t>
            </w:r>
            <w:r>
              <w:rPr>
                <w:rFonts w:hint="eastAsia" w:ascii="Times New Roman" w:hAnsi="Times New Roman"/>
                <w:color w:val="auto"/>
                <w:sz w:val="24"/>
                <w:szCs w:val="24"/>
                <w:lang w:eastAsia="zh-CN"/>
              </w:rPr>
              <w:t>，</w:t>
            </w:r>
            <w:r>
              <w:rPr>
                <w:rFonts w:hint="eastAsia"/>
                <w:color w:val="auto"/>
                <w:sz w:val="24"/>
                <w:szCs w:val="24"/>
                <w:lang w:val="en-US" w:eastAsia="zh-CN"/>
              </w:rPr>
              <w:t>用吊车吊出炭化窑，</w:t>
            </w:r>
            <w:r>
              <w:rPr>
                <w:color w:val="auto"/>
                <w:sz w:val="24"/>
              </w:rPr>
              <w:t>采用</w:t>
            </w:r>
            <w:r>
              <w:rPr>
                <w:rFonts w:hint="eastAsia"/>
                <w:color w:val="auto"/>
                <w:sz w:val="24"/>
              </w:rPr>
              <w:t>水封池</w:t>
            </w:r>
            <w:r>
              <w:rPr>
                <w:color w:val="auto"/>
                <w:sz w:val="24"/>
              </w:rPr>
              <w:t>冷</w:t>
            </w:r>
            <w:r>
              <w:rPr>
                <w:rFonts w:hint="eastAsia"/>
                <w:color w:val="auto"/>
                <w:sz w:val="24"/>
              </w:rPr>
              <w:t>却</w:t>
            </w:r>
            <w:r>
              <w:rPr>
                <w:color w:val="auto"/>
                <w:sz w:val="24"/>
              </w:rPr>
              <w:t>方式降温处理，会产生</w:t>
            </w:r>
            <w:r>
              <w:rPr>
                <w:rFonts w:hint="eastAsia"/>
                <w:color w:val="auto"/>
                <w:sz w:val="24"/>
              </w:rPr>
              <w:t>冷却废水</w:t>
            </w:r>
            <w:r>
              <w:rPr>
                <w:rFonts w:hint="eastAsia" w:ascii="Times New Roman" w:hAnsi="Times New Roman"/>
                <w:color w:val="auto"/>
                <w:kern w:val="0"/>
                <w:sz w:val="24"/>
                <w:szCs w:val="24"/>
                <w:lang w:val="en-US" w:eastAsia="zh-CN"/>
              </w:rPr>
              <w:t>。</w:t>
            </w:r>
          </w:p>
          <w:p>
            <w:pPr>
              <w:pStyle w:val="2"/>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color w:val="auto"/>
                <w:szCs w:val="24"/>
              </w:rPr>
            </w:pPr>
            <w:r>
              <w:rPr>
                <w:rFonts w:hint="eastAsia"/>
                <w:b/>
                <w:bCs/>
                <w:color w:val="auto"/>
                <w:szCs w:val="24"/>
                <w:lang w:val="en-US" w:eastAsia="zh-CN"/>
              </w:rPr>
              <w:t>（9）</w:t>
            </w:r>
            <w:r>
              <w:rPr>
                <w:rFonts w:hint="default" w:ascii="Times New Roman" w:hAnsi="Times New Roman"/>
                <w:b/>
                <w:bCs/>
                <w:color w:val="auto"/>
                <w:szCs w:val="24"/>
              </w:rPr>
              <w:t>包装：</w:t>
            </w:r>
            <w:r>
              <w:rPr>
                <w:rFonts w:hint="default" w:ascii="Times New Roman" w:hAnsi="Times New Roman"/>
                <w:color w:val="auto"/>
                <w:szCs w:val="24"/>
              </w:rPr>
              <w:t>炭化工序产生的木炭即为产品，自然冷却后，用纸箱包装</w:t>
            </w:r>
            <w:r>
              <w:rPr>
                <w:rFonts w:hint="eastAsia" w:ascii="Times New Roman" w:hAnsi="Times New Roman"/>
                <w:color w:val="auto"/>
                <w:szCs w:val="24"/>
                <w:lang w:eastAsia="zh-CN"/>
              </w:rPr>
              <w:t>（</w:t>
            </w:r>
            <w:r>
              <w:rPr>
                <w:rFonts w:hint="eastAsia" w:ascii="Times New Roman" w:hAnsi="Times New Roman"/>
                <w:color w:val="auto"/>
                <w:szCs w:val="24"/>
                <w:lang w:val="en-US" w:eastAsia="zh-CN"/>
              </w:rPr>
              <w:t>25kg/箱</w:t>
            </w:r>
            <w:r>
              <w:rPr>
                <w:rFonts w:hint="eastAsia" w:ascii="Times New Roman" w:hAnsi="Times New Roman"/>
                <w:color w:val="auto"/>
                <w:szCs w:val="24"/>
                <w:lang w:eastAsia="zh-CN"/>
              </w:rPr>
              <w:t>）</w:t>
            </w:r>
            <w:r>
              <w:rPr>
                <w:rFonts w:hint="default" w:ascii="Times New Roman" w:hAnsi="Times New Roman"/>
                <w:color w:val="auto"/>
                <w:szCs w:val="24"/>
              </w:rPr>
              <w:t>，即可送至成品</w:t>
            </w:r>
            <w:r>
              <w:rPr>
                <w:rFonts w:hint="eastAsia" w:ascii="Times New Roman" w:hAnsi="Times New Roman"/>
                <w:color w:val="auto"/>
                <w:szCs w:val="24"/>
                <w:lang w:eastAsia="zh-CN"/>
              </w:rPr>
              <w:t>仓库</w:t>
            </w:r>
            <w:r>
              <w:rPr>
                <w:rFonts w:hint="default" w:ascii="Times New Roman" w:hAnsi="Times New Roman"/>
                <w:color w:val="auto"/>
                <w:szCs w:val="24"/>
              </w:rPr>
              <w:t>。</w:t>
            </w:r>
          </w:p>
          <w:p>
            <w:pPr>
              <w:ind w:firstLine="480"/>
              <w:rPr>
                <w:b/>
                <w:bCs/>
                <w:color w:val="auto"/>
                <w:sz w:val="24"/>
                <w:szCs w:val="28"/>
                <w:u w:val="single"/>
              </w:rPr>
            </w:pPr>
            <w:r>
              <w:rPr>
                <w:rFonts w:hint="eastAsia"/>
                <w:b/>
                <w:bCs/>
                <w:color w:val="auto"/>
                <w:sz w:val="24"/>
                <w:szCs w:val="28"/>
                <w:u w:val="single"/>
                <w:lang w:val="en-US" w:eastAsia="zh-CN"/>
              </w:rPr>
              <w:t>2.2</w:t>
            </w:r>
            <w:r>
              <w:rPr>
                <w:rFonts w:hint="eastAsia"/>
                <w:b/>
                <w:bCs/>
                <w:color w:val="auto"/>
                <w:sz w:val="24"/>
                <w:szCs w:val="28"/>
                <w:u w:val="single"/>
              </w:rPr>
              <w:t>项目炭化窑设计情况说明</w:t>
            </w:r>
          </w:p>
          <w:p>
            <w:pPr>
              <w:ind w:firstLine="0" w:firstLineChars="0"/>
              <w:jc w:val="center"/>
              <w:rPr>
                <w:color w:val="auto"/>
              </w:rPr>
            </w:pPr>
            <w:r>
              <w:rPr>
                <w:rFonts w:hint="eastAsia"/>
                <w:color w:val="auto"/>
              </w:rPr>
              <w:drawing>
                <wp:inline distT="0" distB="0" distL="0" distR="0">
                  <wp:extent cx="5163820" cy="1419225"/>
                  <wp:effectExtent l="0" t="0" r="17780" b="952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noChangeArrowheads="1"/>
                          </pic:cNvPicPr>
                        </pic:nvPicPr>
                        <pic:blipFill>
                          <a:blip r:embed="rId13" cstate="print"/>
                          <a:srcRect/>
                          <a:stretch>
                            <a:fillRect/>
                          </a:stretch>
                        </pic:blipFill>
                        <pic:spPr>
                          <a:xfrm>
                            <a:off x="0" y="0"/>
                            <a:ext cx="5178619" cy="1423263"/>
                          </a:xfrm>
                          <a:prstGeom prst="rect">
                            <a:avLst/>
                          </a:prstGeom>
                          <a:noFill/>
                          <a:ln w="9525">
                            <a:noFill/>
                            <a:miter lim="800000"/>
                            <a:headEnd/>
                            <a:tailEnd/>
                          </a:ln>
                        </pic:spPr>
                      </pic:pic>
                    </a:graphicData>
                  </a:graphic>
                </wp:inline>
              </w:drawing>
            </w:r>
          </w:p>
          <w:p>
            <w:pPr>
              <w:pStyle w:val="4"/>
              <w:pageBreakBefore w:val="0"/>
              <w:widowControl w:val="0"/>
              <w:kinsoku/>
              <w:wordWrap/>
              <w:overflowPunct/>
              <w:topLinePunct w:val="0"/>
              <w:bidi w:val="0"/>
              <w:spacing w:line="360" w:lineRule="auto"/>
              <w:ind w:firstLine="480" w:firstLineChars="200"/>
              <w:textAlignment w:val="auto"/>
              <w:rPr>
                <w:rFonts w:ascii="Times New Roman" w:hAnsi="Times New Roman" w:eastAsia="宋体"/>
                <w:b w:val="0"/>
                <w:bCs w:val="0"/>
                <w:color w:val="auto"/>
                <w:kern w:val="2"/>
                <w:sz w:val="24"/>
                <w:szCs w:val="24"/>
                <w:u w:val="single"/>
              </w:rPr>
            </w:pPr>
            <w:r>
              <w:rPr>
                <w:rFonts w:hint="eastAsia" w:ascii="Times New Roman" w:hAnsi="Times New Roman" w:eastAsia="宋体"/>
                <w:b w:val="0"/>
                <w:bCs w:val="0"/>
                <w:color w:val="auto"/>
                <w:kern w:val="2"/>
                <w:sz w:val="24"/>
                <w:szCs w:val="24"/>
                <w:u w:val="single"/>
              </w:rPr>
              <w:t>项目厂区地埋式炭化窑</w:t>
            </w:r>
            <w:r>
              <w:rPr>
                <w:rFonts w:ascii="Times New Roman" w:hAnsi="Times New Roman" w:eastAsia="宋体"/>
                <w:b w:val="0"/>
                <w:bCs w:val="0"/>
                <w:color w:val="auto"/>
                <w:kern w:val="2"/>
                <w:sz w:val="24"/>
                <w:szCs w:val="24"/>
                <w:u w:val="single"/>
              </w:rPr>
              <w:t>—</w:t>
            </w:r>
            <w:r>
              <w:rPr>
                <w:rFonts w:hint="eastAsia" w:ascii="Times New Roman" w:hAnsi="Times New Roman" w:eastAsia="宋体"/>
                <w:b w:val="0"/>
                <w:bCs w:val="0"/>
                <w:color w:val="auto"/>
                <w:kern w:val="2"/>
                <w:sz w:val="24"/>
                <w:szCs w:val="24"/>
                <w:u w:val="single"/>
              </w:rPr>
              <w:t>单排炭化窑简述如下：</w:t>
            </w:r>
          </w:p>
          <w:p>
            <w:pPr>
              <w:pageBreakBefore w:val="0"/>
              <w:widowControl w:val="0"/>
              <w:kinsoku/>
              <w:wordWrap/>
              <w:overflowPunct/>
              <w:topLinePunct w:val="0"/>
              <w:bidi w:val="0"/>
              <w:adjustRightInd w:val="0"/>
              <w:snapToGrid w:val="0"/>
              <w:spacing w:line="360" w:lineRule="auto"/>
              <w:ind w:firstLine="480" w:firstLineChars="200"/>
              <w:textAlignment w:val="auto"/>
              <w:rPr>
                <w:color w:val="auto"/>
                <w:sz w:val="24"/>
                <w:szCs w:val="24"/>
                <w:u w:val="single"/>
              </w:rPr>
            </w:pPr>
            <w:r>
              <w:rPr>
                <w:rFonts w:hint="eastAsia"/>
                <w:color w:val="auto"/>
                <w:sz w:val="24"/>
                <w:szCs w:val="24"/>
                <w:u w:val="single"/>
              </w:rPr>
              <w:t>（1）放氧孔：放氧孔与炭化窑并排修建，采用直径为15公分的钢管于炭化窑底部的氧气进口相连接，为炭化过程提供充足的氧气，工作人员通过调整放氧孔的大小来控制氧气量的大小，决定炭化质量。</w:t>
            </w:r>
          </w:p>
          <w:p>
            <w:pPr>
              <w:pageBreakBefore w:val="0"/>
              <w:widowControl w:val="0"/>
              <w:kinsoku/>
              <w:wordWrap/>
              <w:overflowPunct/>
              <w:topLinePunct w:val="0"/>
              <w:bidi w:val="0"/>
              <w:adjustRightInd w:val="0"/>
              <w:snapToGrid w:val="0"/>
              <w:spacing w:line="360" w:lineRule="auto"/>
              <w:ind w:firstLine="480" w:firstLineChars="200"/>
              <w:textAlignment w:val="auto"/>
              <w:rPr>
                <w:color w:val="auto"/>
                <w:sz w:val="24"/>
                <w:szCs w:val="24"/>
                <w:u w:val="single"/>
              </w:rPr>
            </w:pPr>
            <w:r>
              <w:rPr>
                <w:rFonts w:hint="eastAsia"/>
                <w:color w:val="auto"/>
                <w:sz w:val="24"/>
                <w:szCs w:val="24"/>
                <w:u w:val="single"/>
              </w:rPr>
              <w:t>（2）炭化窑：炭化窑为砖砌窑，位于厂区水平面以下，单个窑体之间共用侧面墙，每个炭化窑有两个进出口，分别为氧气进口、烟气出口，氧气进口与放氧孔相接烟气出口与通风烟道相连接，单个窑体长1.4m，宽1.4m，高1.4m，可容纳400kg机制木棒炭化，炭化时间约为24小时。</w:t>
            </w:r>
          </w:p>
          <w:p>
            <w:pPr>
              <w:pageBreakBefore w:val="0"/>
              <w:widowControl w:val="0"/>
              <w:kinsoku/>
              <w:wordWrap/>
              <w:overflowPunct/>
              <w:topLinePunct w:val="0"/>
              <w:bidi w:val="0"/>
              <w:adjustRightInd w:val="0"/>
              <w:snapToGrid w:val="0"/>
              <w:spacing w:line="360" w:lineRule="auto"/>
              <w:ind w:firstLine="480" w:firstLineChars="200"/>
              <w:textAlignment w:val="auto"/>
              <w:rPr>
                <w:color w:val="auto"/>
                <w:sz w:val="24"/>
                <w:szCs w:val="24"/>
                <w:u w:val="single"/>
              </w:rPr>
            </w:pPr>
            <w:r>
              <w:rPr>
                <w:rFonts w:hint="eastAsia"/>
                <w:color w:val="auto"/>
                <w:sz w:val="24"/>
                <w:szCs w:val="24"/>
                <w:u w:val="single"/>
              </w:rPr>
              <w:t>（3）通风烟道：与炭化窑并排修建，位于厂区水平面以下，单个炭化窑烟气出口均与之相连接。</w:t>
            </w:r>
          </w:p>
          <w:p>
            <w:pPr>
              <w:pageBreakBefore w:val="0"/>
              <w:widowControl w:val="0"/>
              <w:kinsoku/>
              <w:wordWrap/>
              <w:overflowPunct/>
              <w:topLinePunct w:val="0"/>
              <w:bidi w:val="0"/>
              <w:adjustRightInd w:val="0"/>
              <w:snapToGrid w:val="0"/>
              <w:spacing w:line="360" w:lineRule="auto"/>
              <w:ind w:firstLine="480" w:firstLineChars="200"/>
              <w:textAlignment w:val="auto"/>
              <w:rPr>
                <w:color w:val="auto"/>
                <w:sz w:val="24"/>
                <w:szCs w:val="24"/>
                <w:u w:val="single"/>
              </w:rPr>
            </w:pPr>
            <w:r>
              <w:rPr>
                <w:rFonts w:hint="eastAsia"/>
                <w:color w:val="auto"/>
                <w:sz w:val="24"/>
                <w:szCs w:val="24"/>
                <w:u w:val="single"/>
              </w:rPr>
              <w:t>（4）点火方式：本项目将压制木棒装置于油桶中，通过横吊将油桶放置于点火仓，仓内铺设成品断裂、品质不高的机制木炭作为点火源。</w:t>
            </w:r>
          </w:p>
          <w:p>
            <w:pPr>
              <w:pStyle w:val="2"/>
              <w:keepNext w:val="0"/>
              <w:keepLines w:val="0"/>
              <w:pageBreakBefore w:val="0"/>
              <w:widowControl w:val="0"/>
              <w:numPr>
                <w:ilvl w:val="0"/>
                <w:numId w:val="0"/>
              </w:numPr>
              <w:suppressLineNumbers w:val="0"/>
              <w:kinsoku/>
              <w:wordWrap/>
              <w:overflowPunct/>
              <w:topLinePunct w:val="0"/>
              <w:bidi w:val="0"/>
              <w:spacing w:before="0" w:beforeAutospacing="0" w:after="0" w:afterAutospacing="0" w:line="360" w:lineRule="auto"/>
              <w:ind w:left="0" w:leftChars="0" w:right="0" w:firstLine="480" w:firstLineChars="200"/>
              <w:jc w:val="left"/>
              <w:textAlignment w:val="auto"/>
              <w:rPr>
                <w:rFonts w:hint="eastAsia"/>
                <w:color w:val="auto"/>
                <w:u w:val="single"/>
                <w:lang w:val="en-US" w:eastAsia="zh-CN"/>
              </w:rPr>
            </w:pPr>
            <w:r>
              <w:rPr>
                <w:rFonts w:hint="eastAsia"/>
                <w:color w:val="auto"/>
                <w:sz w:val="24"/>
                <w:szCs w:val="24"/>
                <w:u w:val="single"/>
              </w:rPr>
              <w:t>（5）供热方式：点火产生的热量在密闭炭化窑内通过炭化窑烟气进出口烟气在烟道内循环提供热量</w:t>
            </w:r>
          </w:p>
          <w:p>
            <w:pPr>
              <w:pStyle w:val="2"/>
              <w:keepNext w:val="0"/>
              <w:keepLines w:val="0"/>
              <w:numPr>
                <w:ilvl w:val="0"/>
                <w:numId w:val="0"/>
              </w:numPr>
              <w:suppressLineNumbers w:val="0"/>
              <w:spacing w:before="0" w:beforeAutospacing="0" w:after="0" w:afterAutospacing="0" w:line="360" w:lineRule="auto"/>
              <w:ind w:left="0" w:leftChars="0" w:right="0" w:firstLine="480"/>
              <w:jc w:val="left"/>
              <w:rPr>
                <w:rFonts w:hint="eastAsia"/>
                <w:b/>
                <w:bCs/>
                <w:color w:val="auto"/>
                <w:u w:val="single"/>
                <w:lang w:val="en-US" w:eastAsia="zh-CN"/>
              </w:rPr>
            </w:pPr>
            <w:r>
              <w:rPr>
                <w:rFonts w:hint="eastAsia"/>
                <w:b/>
                <w:bCs/>
                <w:color w:val="auto"/>
                <w:u w:val="single"/>
                <w:lang w:val="en-US" w:eastAsia="zh-CN"/>
              </w:rPr>
              <w:t>2.3废气收集处理排放示意图如下：</w:t>
            </w:r>
          </w:p>
          <w:p>
            <w:pPr>
              <w:pStyle w:val="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0"/>
              <w:jc w:val="left"/>
              <w:textAlignment w:val="auto"/>
              <w:rPr>
                <w:rFonts w:hint="eastAsia"/>
                <w:color w:val="auto"/>
                <w:lang w:val="en-US" w:eastAsia="zh-CN"/>
              </w:rPr>
            </w:pPr>
            <w:r>
              <w:rPr>
                <w:rFonts w:hint="eastAsia"/>
                <w:color w:val="auto"/>
                <w:lang w:val="en-US" w:eastAsia="zh-CN"/>
              </w:rPr>
              <w:object>
                <v:shape id="_x0000_i1026" o:spt="75" type="#_x0000_t75" style="height:329.2pt;width:449.4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pPr>
              <w:pStyle w:val="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0"/>
              <w:jc w:val="center"/>
              <w:textAlignment w:val="auto"/>
              <w:rPr>
                <w:rFonts w:hint="eastAsia"/>
                <w:color w:val="auto"/>
                <w:sz w:val="21"/>
                <w:szCs w:val="21"/>
                <w:lang w:val="en-US" w:eastAsia="zh-CN"/>
              </w:rPr>
            </w:pPr>
            <w:r>
              <w:rPr>
                <w:rFonts w:hint="eastAsia"/>
                <w:b/>
                <w:bCs/>
                <w:color w:val="auto"/>
                <w:sz w:val="21"/>
                <w:szCs w:val="21"/>
                <w:u w:val="single"/>
                <w:lang w:val="en-US" w:eastAsia="zh-CN"/>
              </w:rPr>
              <w:t>图5-2 本项目废气收集处理排放示意图</w:t>
            </w:r>
          </w:p>
          <w:p>
            <w:pPr>
              <w:adjustRightInd w:val="0"/>
              <w:snapToGrid w:val="0"/>
              <w:spacing w:line="520" w:lineRule="exact"/>
              <w:rPr>
                <w:rFonts w:hint="eastAsia" w:ascii="Times New Roman" w:hAnsi="Times New Roman"/>
                <w:color w:val="auto"/>
                <w:sz w:val="24"/>
                <w:szCs w:val="24"/>
                <w:u w:val="single"/>
              </w:rPr>
            </w:pPr>
            <w:r>
              <w:rPr>
                <w:b/>
                <w:color w:val="auto"/>
                <w:sz w:val="28"/>
                <w:szCs w:val="28"/>
                <w:u w:val="single"/>
              </w:rPr>
              <w:t>二、污染源强分析</w:t>
            </w:r>
          </w:p>
          <w:p>
            <w:pPr>
              <w:keepNext w:val="0"/>
              <w:keepLines w:val="0"/>
              <w:numPr>
                <w:ilvl w:val="0"/>
                <w:numId w:val="0"/>
              </w:numPr>
              <w:suppressLineNumbers w:val="0"/>
              <w:spacing w:before="0" w:beforeAutospacing="0" w:after="0" w:afterAutospacing="0" w:line="360" w:lineRule="auto"/>
              <w:ind w:right="0" w:rightChars="0"/>
              <w:rPr>
                <w:rFonts w:hint="eastAsia" w:ascii="Times New Roman" w:hAnsi="Times New Roman"/>
                <w:bCs/>
                <w:color w:val="auto"/>
                <w:kern w:val="0"/>
                <w:sz w:val="24"/>
                <w:szCs w:val="24"/>
                <w:u w:val="single"/>
              </w:rPr>
            </w:pPr>
            <w:r>
              <w:rPr>
                <w:rFonts w:hint="eastAsia" w:ascii="宋体" w:hAnsi="宋体" w:eastAsia="宋体" w:cs="宋体"/>
                <w:b/>
                <w:bCs w:val="0"/>
                <w:color w:val="auto"/>
                <w:kern w:val="0"/>
                <w:sz w:val="24"/>
                <w:szCs w:val="24"/>
                <w:u w:val="single"/>
              </w:rPr>
              <w:t>施工期</w:t>
            </w:r>
            <w:r>
              <w:rPr>
                <w:rFonts w:hint="eastAsia" w:ascii="宋体" w:hAnsi="宋体" w:eastAsia="宋体" w:cs="宋体"/>
                <w:b/>
                <w:bCs w:val="0"/>
                <w:color w:val="auto"/>
                <w:kern w:val="0"/>
                <w:sz w:val="24"/>
                <w:szCs w:val="24"/>
                <w:u w:val="single"/>
                <w:lang w:eastAsia="zh-CN"/>
              </w:rPr>
              <w:t>源强</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color w:val="auto"/>
                <w:sz w:val="24"/>
                <w:szCs w:val="20"/>
              </w:rPr>
            </w:pPr>
            <w:r>
              <w:rPr>
                <w:rFonts w:hint="eastAsia" w:ascii="宋体" w:hAnsi="宋体" w:eastAsia="宋体" w:cs="宋体"/>
                <w:b/>
                <w:color w:val="auto"/>
                <w:sz w:val="24"/>
                <w:szCs w:val="20"/>
              </w:rPr>
              <w:t>1、废水</w:t>
            </w:r>
          </w:p>
          <w:p>
            <w:pPr>
              <w:pStyle w:val="2"/>
              <w:keepNext w:val="0"/>
              <w:keepLines w:val="0"/>
              <w:numPr>
                <w:ilvl w:val="0"/>
                <w:numId w:val="0"/>
              </w:numPr>
              <w:suppressLineNumbers w:val="0"/>
              <w:spacing w:before="0" w:beforeAutospacing="0" w:after="0" w:afterAutospacing="0" w:line="360" w:lineRule="auto"/>
              <w:ind w:left="120" w:leftChars="0" w:right="0" w:firstLine="480" w:firstLineChars="200"/>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施工期废水主要是来自暴雨下的地表径流、施工废水及施工人员的生活污水。施工废水包括开挖、钻孔产生的泥浆水、机械设备运转的冷却水和洗涤水；生活污水主要包括施工人员的盥洗水；暴雨地表径流冲刷浮土、建筑砂石、垃圾、弃土将会夹带大量泥沙、水泥等各种污染物。</w:t>
            </w:r>
          </w:p>
          <w:p>
            <w:pPr>
              <w:pStyle w:val="2"/>
              <w:keepNext w:val="0"/>
              <w:keepLines w:val="0"/>
              <w:numPr>
                <w:ilvl w:val="0"/>
                <w:numId w:val="0"/>
              </w:numPr>
              <w:suppressLineNumbers w:val="0"/>
              <w:spacing w:before="0" w:beforeAutospacing="0" w:after="0" w:afterAutospacing="0" w:line="360" w:lineRule="auto"/>
              <w:ind w:left="120" w:leftChars="0" w:right="0" w:firstLine="480" w:firstLineChars="200"/>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施工废水及暴雨冲刷等水污染源与施工条件、施工方式及天气等因素有关，在此不作定量的计算。该类废水经沉淀池沉淀处理后回用于场地洒水降尘或施工用水，不外排。</w:t>
            </w:r>
          </w:p>
          <w:p>
            <w:pPr>
              <w:pStyle w:val="2"/>
              <w:keepNext w:val="0"/>
              <w:keepLines w:val="0"/>
              <w:numPr>
                <w:ilvl w:val="0"/>
                <w:numId w:val="0"/>
              </w:numPr>
              <w:suppressLineNumbers w:val="0"/>
              <w:spacing w:before="0" w:beforeAutospacing="0" w:after="0" w:afterAutospacing="0" w:line="360" w:lineRule="auto"/>
              <w:ind w:left="120" w:leftChars="0" w:right="0" w:firstLine="480" w:firstLineChars="200"/>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施工期水污染源主要是施工人员的生活污水。本项目施工人员及工地管理人员约20人，施工人员为当地工人，不在施工场地居住、用餐，无冲洗废水，生活污水产生量很少，主要为盥洗用水。施工</w:t>
            </w:r>
            <w:r>
              <w:rPr>
                <w:rFonts w:hint="default" w:ascii="Times New Roman" w:hAnsi="Times New Roman" w:cs="Times New Roman" w:eastAsiaTheme="minorEastAsia"/>
                <w:color w:val="auto"/>
                <w:sz w:val="24"/>
                <w:lang w:val="en-US" w:eastAsia="zh-CN"/>
              </w:rPr>
              <w:t>人员生活用水按50L/人天计，施工期生活用水为1m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lang w:val="en-US" w:eastAsia="zh-CN"/>
              </w:rPr>
              <w:t>/d，排放系数85%，生活污水排放量为0.85m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lang w:val="en-US" w:eastAsia="zh-CN"/>
              </w:rPr>
              <w:t>/d，施工期为2个月，一个月以30日施工计，则施工期共排放生活污水51m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lang w:val="en-US" w:eastAsia="zh-CN"/>
              </w:rPr>
              <w:t>。生活污水中污染物较简单，主要成份为CODcr、NH</w:t>
            </w:r>
            <w:r>
              <w:rPr>
                <w:rFonts w:hint="default" w:ascii="Times New Roman" w:hAnsi="Times New Roman" w:cs="Times New Roman" w:eastAsiaTheme="minorEastAsia"/>
                <w:color w:val="auto"/>
                <w:sz w:val="24"/>
                <w:vertAlign w:val="subscript"/>
                <w:lang w:val="en-US" w:eastAsia="zh-CN"/>
              </w:rPr>
              <w:t>3</w:t>
            </w:r>
            <w:r>
              <w:rPr>
                <w:rFonts w:hint="default" w:ascii="Times New Roman" w:hAnsi="Times New Roman" w:cs="Times New Roman" w:eastAsiaTheme="minorEastAsia"/>
                <w:color w:val="auto"/>
                <w:sz w:val="24"/>
                <w:lang w:val="en-US" w:eastAsia="zh-CN"/>
              </w:rPr>
              <w:t>-N等，污染物浓度较低，CODcr一般为200～250mg/L，NH</w:t>
            </w:r>
            <w:r>
              <w:rPr>
                <w:rFonts w:hint="default" w:ascii="Times New Roman" w:hAnsi="Times New Roman" w:cs="Times New Roman" w:eastAsiaTheme="minorEastAsia"/>
                <w:color w:val="auto"/>
                <w:sz w:val="24"/>
                <w:vertAlign w:val="subscript"/>
                <w:lang w:val="en-US" w:eastAsia="zh-CN"/>
              </w:rPr>
              <w:t>3</w:t>
            </w:r>
            <w:r>
              <w:rPr>
                <w:rFonts w:hint="default" w:ascii="Times New Roman" w:hAnsi="Times New Roman" w:cs="Times New Roman" w:eastAsiaTheme="minorEastAsia"/>
                <w:color w:val="auto"/>
                <w:sz w:val="24"/>
                <w:lang w:val="en-US" w:eastAsia="zh-CN"/>
              </w:rPr>
              <w:t>-N一般为15～25mg/L左右。</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color w:val="auto"/>
                <w:sz w:val="24"/>
                <w:szCs w:val="20"/>
              </w:rPr>
            </w:pPr>
            <w:r>
              <w:rPr>
                <w:rFonts w:hint="eastAsia" w:ascii="宋体" w:hAnsi="宋体" w:eastAsia="宋体" w:cs="宋体"/>
                <w:b/>
                <w:color w:val="auto"/>
                <w:sz w:val="24"/>
                <w:szCs w:val="20"/>
              </w:rPr>
              <w:t>2、废气</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扬尘是本项目施工时产生的主要污染物，扬尘排放方式主要为无组织间歇性排放，其产生量受风向、风速和空气湿度等气象条件的影响。扬尘主要来源于：</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①施工物料的堆放、装卸过程产生的扬尘。</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②建筑物料的运输造成的道路扬尘。</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fldChar w:fldCharType="begin"/>
            </w:r>
            <w:r>
              <w:rPr>
                <w:rFonts w:hint="eastAsia" w:ascii="宋体" w:hAnsi="宋体" w:eastAsia="宋体" w:cs="宋体"/>
                <w:color w:val="auto"/>
                <w:sz w:val="24"/>
                <w:szCs w:val="20"/>
              </w:rPr>
              <w:instrText xml:space="preserve"> = 3 \* GB3 </w:instrText>
            </w:r>
            <w:r>
              <w:rPr>
                <w:rFonts w:hint="eastAsia" w:ascii="宋体" w:hAnsi="宋体" w:eastAsia="宋体" w:cs="宋体"/>
                <w:color w:val="auto"/>
                <w:sz w:val="24"/>
                <w:szCs w:val="20"/>
              </w:rPr>
              <w:fldChar w:fldCharType="separate"/>
            </w:r>
            <w:r>
              <w:rPr>
                <w:rFonts w:hint="eastAsia" w:ascii="宋体" w:hAnsi="宋体" w:eastAsia="宋体" w:cs="宋体"/>
                <w:color w:val="auto"/>
                <w:sz w:val="24"/>
                <w:szCs w:val="20"/>
              </w:rPr>
              <w:t>③</w:t>
            </w:r>
            <w:r>
              <w:rPr>
                <w:rFonts w:hint="eastAsia" w:ascii="宋体" w:hAnsi="宋体" w:eastAsia="宋体" w:cs="宋体"/>
                <w:color w:val="auto"/>
                <w:sz w:val="24"/>
                <w:szCs w:val="20"/>
              </w:rPr>
              <w:fldChar w:fldCharType="end"/>
            </w:r>
            <w:r>
              <w:rPr>
                <w:rFonts w:hint="eastAsia" w:ascii="宋体" w:hAnsi="宋体" w:eastAsia="宋体" w:cs="宋体"/>
                <w:color w:val="auto"/>
                <w:sz w:val="24"/>
                <w:szCs w:val="20"/>
              </w:rPr>
              <w:t>清除固废和装模，拆模和清理工作面引起的扬尘</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拟采取的措施：</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fldChar w:fldCharType="begin"/>
            </w:r>
            <w:r>
              <w:rPr>
                <w:rFonts w:hint="eastAsia" w:ascii="宋体" w:hAnsi="宋体" w:eastAsia="宋体" w:cs="宋体"/>
                <w:color w:val="auto"/>
                <w:sz w:val="24"/>
                <w:szCs w:val="20"/>
              </w:rPr>
              <w:instrText xml:space="preserve"> = 1 \* GB3 </w:instrText>
            </w:r>
            <w:r>
              <w:rPr>
                <w:rFonts w:hint="eastAsia" w:ascii="宋体" w:hAnsi="宋体" w:eastAsia="宋体" w:cs="宋体"/>
                <w:color w:val="auto"/>
                <w:sz w:val="24"/>
                <w:szCs w:val="20"/>
              </w:rPr>
              <w:fldChar w:fldCharType="separate"/>
            </w:r>
            <w:r>
              <w:rPr>
                <w:rFonts w:hint="eastAsia" w:ascii="宋体" w:hAnsi="宋体" w:eastAsia="宋体" w:cs="宋体"/>
                <w:color w:val="auto"/>
                <w:sz w:val="24"/>
                <w:szCs w:val="20"/>
              </w:rPr>
              <w:t>①</w:t>
            </w:r>
            <w:r>
              <w:rPr>
                <w:rFonts w:hint="eastAsia" w:ascii="宋体" w:hAnsi="宋体" w:eastAsia="宋体" w:cs="宋体"/>
                <w:color w:val="auto"/>
                <w:sz w:val="24"/>
                <w:szCs w:val="20"/>
              </w:rPr>
              <w:fldChar w:fldCharType="end"/>
            </w:r>
            <w:r>
              <w:rPr>
                <w:rFonts w:hint="eastAsia" w:ascii="宋体" w:hAnsi="宋体" w:eastAsia="宋体" w:cs="宋体"/>
                <w:color w:val="auto"/>
                <w:sz w:val="24"/>
                <w:szCs w:val="20"/>
              </w:rPr>
              <w:t>物料堆放采取篷布遮盖，物避免在大风天气进行物料装卸。</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②施工期道路洒水。</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fldChar w:fldCharType="begin"/>
            </w:r>
            <w:r>
              <w:rPr>
                <w:rFonts w:hint="eastAsia" w:ascii="宋体" w:hAnsi="宋体" w:eastAsia="宋体" w:cs="宋体"/>
                <w:color w:val="auto"/>
                <w:sz w:val="24"/>
                <w:szCs w:val="20"/>
              </w:rPr>
              <w:instrText xml:space="preserve"> = 3 \* GB3 </w:instrText>
            </w:r>
            <w:r>
              <w:rPr>
                <w:rFonts w:hint="eastAsia" w:ascii="宋体" w:hAnsi="宋体" w:eastAsia="宋体" w:cs="宋体"/>
                <w:color w:val="auto"/>
                <w:sz w:val="24"/>
                <w:szCs w:val="20"/>
              </w:rPr>
              <w:fldChar w:fldCharType="separate"/>
            </w:r>
            <w:r>
              <w:rPr>
                <w:rFonts w:hint="eastAsia" w:ascii="宋体" w:hAnsi="宋体" w:eastAsia="宋体" w:cs="宋体"/>
                <w:color w:val="auto"/>
                <w:sz w:val="24"/>
                <w:szCs w:val="20"/>
              </w:rPr>
              <w:t>③</w:t>
            </w:r>
            <w:r>
              <w:rPr>
                <w:rFonts w:hint="eastAsia" w:ascii="宋体" w:hAnsi="宋体" w:eastAsia="宋体" w:cs="宋体"/>
                <w:color w:val="auto"/>
                <w:sz w:val="24"/>
                <w:szCs w:val="20"/>
              </w:rPr>
              <w:fldChar w:fldCharType="end"/>
            </w:r>
            <w:r>
              <w:rPr>
                <w:rFonts w:hint="eastAsia" w:ascii="宋体" w:hAnsi="宋体" w:eastAsia="宋体" w:cs="宋体"/>
                <w:color w:val="auto"/>
                <w:sz w:val="24"/>
                <w:szCs w:val="20"/>
              </w:rPr>
              <w:t>固废清除和装模，拆模和清理工作在室内实施，地面洒水。</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（2）机械施工尾气</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施工时柴油机及各种动力机械（如载重汽车等）产生的尾气也产生一定的污染，尾气中所含有的有害物质主要是一氧化炭、炭氢化合物、二氧化氮和少量的二氧化硫等，根据相关资料，柴油车污染物排放系数如下表5-2。</w:t>
            </w:r>
          </w:p>
          <w:p>
            <w:pPr>
              <w:pStyle w:val="43"/>
              <w:rPr>
                <w:rFonts w:hAnsiTheme="minorEastAsia" w:eastAsiaTheme="minorEastAsia"/>
                <w:color w:val="auto"/>
                <w:sz w:val="21"/>
                <w:szCs w:val="21"/>
              </w:rPr>
            </w:pPr>
            <w:r>
              <w:rPr>
                <w:rFonts w:hAnsiTheme="minorEastAsia" w:eastAsiaTheme="minorEastAsia"/>
                <w:color w:val="auto"/>
                <w:sz w:val="21"/>
                <w:szCs w:val="21"/>
              </w:rPr>
              <w:t>表5-</w:t>
            </w:r>
            <w:r>
              <w:rPr>
                <w:rFonts w:hint="eastAsia" w:hAnsiTheme="minorEastAsia" w:eastAsiaTheme="minorEastAsia"/>
                <w:color w:val="auto"/>
                <w:sz w:val="21"/>
                <w:szCs w:val="21"/>
                <w:lang w:val="en-US" w:eastAsia="zh-CN"/>
              </w:rPr>
              <w:t>1</w:t>
            </w:r>
            <w:r>
              <w:rPr>
                <w:rFonts w:hint="eastAsia" w:hAnsiTheme="minorEastAsia" w:eastAsiaTheme="minorEastAsia"/>
                <w:color w:val="auto"/>
                <w:sz w:val="21"/>
                <w:szCs w:val="21"/>
              </w:rPr>
              <w:t>：</w:t>
            </w:r>
            <w:r>
              <w:rPr>
                <w:rFonts w:hAnsiTheme="minorEastAsia" w:eastAsiaTheme="minorEastAsia"/>
                <w:color w:val="auto"/>
                <w:sz w:val="21"/>
                <w:szCs w:val="21"/>
              </w:rPr>
              <w:t>柴油车消耗单位燃料大气污染物排放系数（g/L）</w:t>
            </w:r>
          </w:p>
          <w:tbl>
            <w:tblPr>
              <w:tblStyle w:val="22"/>
              <w:tblW w:w="87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475"/>
              <w:gridCol w:w="3136"/>
              <w:gridCol w:w="31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jc w:val="center"/>
              </w:trPr>
              <w:tc>
                <w:tcPr>
                  <w:tcW w:w="2475" w:type="dxa"/>
                  <w:vAlign w:val="center"/>
                </w:tcPr>
                <w:p>
                  <w:pPr>
                    <w:pStyle w:val="53"/>
                    <w:spacing w:line="120" w:lineRule="atLeast"/>
                    <w:rPr>
                      <w:rFonts w:ascii="Times New Roman" w:hAnsi="Times New Roman" w:eastAsiaTheme="minorEastAsia"/>
                      <w:color w:val="auto"/>
                      <w:sz w:val="21"/>
                      <w:szCs w:val="21"/>
                    </w:rPr>
                  </w:pPr>
                  <w:r>
                    <w:rPr>
                      <w:rFonts w:ascii="Times New Roman" w:hAnsiTheme="minorEastAsia" w:eastAsiaTheme="minorEastAsia"/>
                      <w:color w:val="auto"/>
                      <w:sz w:val="21"/>
                      <w:szCs w:val="21"/>
                    </w:rPr>
                    <w:t>序号</w:t>
                  </w:r>
                </w:p>
              </w:tc>
              <w:tc>
                <w:tcPr>
                  <w:tcW w:w="3136" w:type="dxa"/>
                  <w:vAlign w:val="center"/>
                </w:tcPr>
                <w:p>
                  <w:pPr>
                    <w:pStyle w:val="53"/>
                    <w:spacing w:line="120" w:lineRule="atLeast"/>
                    <w:rPr>
                      <w:rFonts w:ascii="Times New Roman" w:hAnsi="Times New Roman" w:eastAsiaTheme="minorEastAsia"/>
                      <w:color w:val="auto"/>
                      <w:sz w:val="21"/>
                      <w:szCs w:val="21"/>
                    </w:rPr>
                  </w:pPr>
                  <w:r>
                    <w:rPr>
                      <w:rFonts w:ascii="Times New Roman" w:hAnsiTheme="minorEastAsia" w:eastAsiaTheme="minorEastAsia"/>
                      <w:color w:val="auto"/>
                      <w:sz w:val="21"/>
                      <w:szCs w:val="21"/>
                    </w:rPr>
                    <w:t>污染物</w:t>
                  </w:r>
                </w:p>
              </w:tc>
              <w:tc>
                <w:tcPr>
                  <w:tcW w:w="3127" w:type="dxa"/>
                  <w:vAlign w:val="center"/>
                </w:tcPr>
                <w:p>
                  <w:pPr>
                    <w:pStyle w:val="53"/>
                    <w:spacing w:line="120" w:lineRule="atLeast"/>
                    <w:rPr>
                      <w:rFonts w:ascii="Times New Roman" w:hAnsi="Times New Roman" w:eastAsiaTheme="minorEastAsia"/>
                      <w:color w:val="auto"/>
                      <w:sz w:val="21"/>
                      <w:szCs w:val="21"/>
                    </w:rPr>
                  </w:pPr>
                  <w:r>
                    <w:rPr>
                      <w:rFonts w:ascii="Times New Roman" w:hAnsiTheme="minorEastAsia" w:eastAsiaTheme="minorEastAsia"/>
                      <w:color w:val="auto"/>
                      <w:sz w:val="21"/>
                      <w:szCs w:val="21"/>
                    </w:rPr>
                    <w:t>排放系数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jc w:val="center"/>
              </w:trPr>
              <w:tc>
                <w:tcPr>
                  <w:tcW w:w="2475"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1</w:t>
                  </w:r>
                </w:p>
              </w:tc>
              <w:tc>
                <w:tcPr>
                  <w:tcW w:w="3136"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THC</w:t>
                  </w:r>
                </w:p>
              </w:tc>
              <w:tc>
                <w:tcPr>
                  <w:tcW w:w="3127"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4.44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jc w:val="center"/>
              </w:trPr>
              <w:tc>
                <w:tcPr>
                  <w:tcW w:w="2475"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2</w:t>
                  </w:r>
                </w:p>
              </w:tc>
              <w:tc>
                <w:tcPr>
                  <w:tcW w:w="3136"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NO</w:t>
                  </w:r>
                  <w:r>
                    <w:rPr>
                      <w:rFonts w:ascii="Times New Roman" w:hAnsi="Times New Roman" w:eastAsiaTheme="minorEastAsia"/>
                      <w:color w:val="auto"/>
                      <w:sz w:val="21"/>
                      <w:szCs w:val="21"/>
                      <w:vertAlign w:val="subscript"/>
                    </w:rPr>
                    <w:t>2</w:t>
                  </w:r>
                </w:p>
              </w:tc>
              <w:tc>
                <w:tcPr>
                  <w:tcW w:w="3127"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44.4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jc w:val="center"/>
              </w:trPr>
              <w:tc>
                <w:tcPr>
                  <w:tcW w:w="2475"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3</w:t>
                  </w:r>
                </w:p>
              </w:tc>
              <w:tc>
                <w:tcPr>
                  <w:tcW w:w="3136"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CO</w:t>
                  </w:r>
                </w:p>
              </w:tc>
              <w:tc>
                <w:tcPr>
                  <w:tcW w:w="3127"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27.0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8" w:hRule="atLeast"/>
                <w:jc w:val="center"/>
              </w:trPr>
              <w:tc>
                <w:tcPr>
                  <w:tcW w:w="2475"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4</w:t>
                  </w:r>
                </w:p>
              </w:tc>
              <w:tc>
                <w:tcPr>
                  <w:tcW w:w="3136"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SO</w:t>
                  </w:r>
                  <w:r>
                    <w:rPr>
                      <w:rFonts w:ascii="Times New Roman" w:hAnsi="Times New Roman" w:eastAsiaTheme="minorEastAsia"/>
                      <w:color w:val="auto"/>
                      <w:sz w:val="21"/>
                      <w:szCs w:val="21"/>
                      <w:vertAlign w:val="subscript"/>
                    </w:rPr>
                    <w:t>2</w:t>
                  </w:r>
                </w:p>
              </w:tc>
              <w:tc>
                <w:tcPr>
                  <w:tcW w:w="3127" w:type="dxa"/>
                  <w:vAlign w:val="center"/>
                </w:tcPr>
                <w:p>
                  <w:pPr>
                    <w:pStyle w:val="53"/>
                    <w:spacing w:line="120" w:lineRule="atLeast"/>
                    <w:rPr>
                      <w:rFonts w:ascii="Times New Roman" w:hAnsi="Times New Roman" w:eastAsiaTheme="minorEastAsia"/>
                      <w:color w:val="auto"/>
                      <w:sz w:val="21"/>
                      <w:szCs w:val="21"/>
                    </w:rPr>
                  </w:pPr>
                  <w:r>
                    <w:rPr>
                      <w:rFonts w:ascii="Times New Roman" w:hAnsi="Times New Roman" w:eastAsiaTheme="minorEastAsia"/>
                      <w:color w:val="auto"/>
                      <w:sz w:val="21"/>
                      <w:szCs w:val="21"/>
                    </w:rPr>
                    <w:t>3.24</w:t>
                  </w:r>
                </w:p>
              </w:tc>
            </w:tr>
          </w:tbl>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拟采取的措施：</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fldChar w:fldCharType="begin"/>
            </w:r>
            <w:r>
              <w:rPr>
                <w:rFonts w:hint="eastAsia" w:ascii="宋体" w:hAnsi="宋体" w:eastAsia="宋体" w:cs="宋体"/>
                <w:color w:val="auto"/>
                <w:sz w:val="24"/>
                <w:szCs w:val="20"/>
              </w:rPr>
              <w:instrText xml:space="preserve"> = 1 \* GB3 </w:instrText>
            </w:r>
            <w:r>
              <w:rPr>
                <w:rFonts w:hint="eastAsia" w:ascii="宋体" w:hAnsi="宋体" w:eastAsia="宋体" w:cs="宋体"/>
                <w:color w:val="auto"/>
                <w:sz w:val="24"/>
                <w:szCs w:val="20"/>
              </w:rPr>
              <w:fldChar w:fldCharType="separate"/>
            </w:r>
            <w:r>
              <w:rPr>
                <w:rFonts w:hint="eastAsia" w:ascii="宋体" w:hAnsi="宋体" w:eastAsia="宋体" w:cs="宋体"/>
                <w:color w:val="auto"/>
                <w:sz w:val="24"/>
                <w:szCs w:val="20"/>
              </w:rPr>
              <w:t>①</w:t>
            </w:r>
            <w:r>
              <w:rPr>
                <w:rFonts w:hint="eastAsia" w:ascii="宋体" w:hAnsi="宋体" w:eastAsia="宋体" w:cs="宋体"/>
                <w:color w:val="auto"/>
                <w:sz w:val="24"/>
                <w:szCs w:val="20"/>
              </w:rPr>
              <w:fldChar w:fldCharType="end"/>
            </w:r>
            <w:r>
              <w:rPr>
                <w:rFonts w:hint="eastAsia" w:ascii="宋体" w:hAnsi="宋体" w:eastAsia="宋体" w:cs="宋体"/>
                <w:color w:val="auto"/>
                <w:sz w:val="24"/>
                <w:szCs w:val="20"/>
              </w:rPr>
              <w:t>选用运行工况较好的施工机械和车辆。</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②燃油施工机械和车辆必须在正常状态下使用，保证废气达标排放。</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fldChar w:fldCharType="begin"/>
            </w:r>
            <w:r>
              <w:rPr>
                <w:rFonts w:hint="eastAsia" w:ascii="宋体" w:hAnsi="宋体" w:eastAsia="宋体" w:cs="宋体"/>
                <w:color w:val="auto"/>
                <w:sz w:val="24"/>
                <w:szCs w:val="20"/>
              </w:rPr>
              <w:instrText xml:space="preserve"> = 3 \* GB3 </w:instrText>
            </w:r>
            <w:r>
              <w:rPr>
                <w:rFonts w:hint="eastAsia" w:ascii="宋体" w:hAnsi="宋体" w:eastAsia="宋体" w:cs="宋体"/>
                <w:color w:val="auto"/>
                <w:sz w:val="24"/>
                <w:szCs w:val="20"/>
              </w:rPr>
              <w:fldChar w:fldCharType="separate"/>
            </w:r>
            <w:r>
              <w:rPr>
                <w:rFonts w:hint="eastAsia" w:ascii="宋体" w:hAnsi="宋体" w:eastAsia="宋体" w:cs="宋体"/>
                <w:color w:val="auto"/>
                <w:sz w:val="24"/>
                <w:szCs w:val="20"/>
              </w:rPr>
              <w:t>③</w:t>
            </w:r>
            <w:r>
              <w:rPr>
                <w:rFonts w:hint="eastAsia" w:ascii="宋体" w:hAnsi="宋体" w:eastAsia="宋体" w:cs="宋体"/>
                <w:color w:val="auto"/>
                <w:sz w:val="24"/>
                <w:szCs w:val="20"/>
              </w:rPr>
              <w:fldChar w:fldCharType="end"/>
            </w:r>
            <w:r>
              <w:rPr>
                <w:rFonts w:hint="eastAsia" w:ascii="宋体" w:hAnsi="宋体" w:eastAsia="宋体" w:cs="宋体"/>
                <w:color w:val="auto"/>
                <w:sz w:val="24"/>
                <w:szCs w:val="20"/>
              </w:rPr>
              <w:t>合理使用设备，加强对设备的维护和管理。</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color w:val="auto"/>
                <w:sz w:val="24"/>
                <w:szCs w:val="20"/>
              </w:rPr>
            </w:pPr>
            <w:r>
              <w:rPr>
                <w:rFonts w:hint="eastAsia" w:ascii="宋体" w:hAnsi="宋体" w:eastAsia="宋体" w:cs="宋体"/>
                <w:b/>
                <w:color w:val="auto"/>
                <w:sz w:val="24"/>
                <w:szCs w:val="20"/>
              </w:rPr>
              <w:t>3、噪声</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0"/>
              </w:rPr>
            </w:pPr>
            <w:r>
              <w:rPr>
                <w:rFonts w:hint="eastAsia" w:ascii="宋体" w:hAnsi="宋体" w:eastAsia="宋体" w:cs="宋体"/>
                <w:color w:val="auto"/>
                <w:sz w:val="24"/>
                <w:szCs w:val="20"/>
              </w:rPr>
              <w:t>本项目噪声主要来自各施工机械噪声。炭化窑建设主要噪声源为挖机、装载机，噪声级一般在90～100dB(A)。制棒机安装阶段，噪声源的数量较少，主要有砂轮机、电钻和切割机等。这一阶段在整个施工过程中持续时间较长。大多数噪声源的噪声级较低，一般在60dB (A)～95dB(A)左右。虽然有些声源的声功率较高，但一般使用的时间较短或在房间内使用。</w:t>
            </w:r>
          </w:p>
          <w:p>
            <w:pPr>
              <w:keepNext w:val="0"/>
              <w:keepLines w:val="0"/>
              <w:suppressLineNumbers w:val="0"/>
              <w:spacing w:before="0" w:beforeAutospacing="0" w:after="0" w:afterAutospacing="0" w:line="360" w:lineRule="auto"/>
              <w:ind w:left="0" w:right="0" w:firstLine="480"/>
              <w:rPr>
                <w:color w:val="auto"/>
              </w:rPr>
            </w:pPr>
            <w:r>
              <w:rPr>
                <w:rFonts w:hint="eastAsia" w:ascii="宋体" w:hAnsi="宋体" w:eastAsia="宋体" w:cs="宋体"/>
                <w:color w:val="auto"/>
                <w:sz w:val="24"/>
                <w:szCs w:val="20"/>
              </w:rPr>
              <w:t>不同施工阶段各类施工机械在距离噪声5m的声级及采取措施后的声级见下表。</w:t>
            </w:r>
          </w:p>
          <w:p>
            <w:pPr>
              <w:pStyle w:val="43"/>
              <w:rPr>
                <w:rFonts w:hAnsiTheme="minorEastAsia" w:eastAsiaTheme="minorEastAsia"/>
                <w:color w:val="auto"/>
                <w:sz w:val="21"/>
                <w:szCs w:val="21"/>
              </w:rPr>
            </w:pPr>
            <w:r>
              <w:rPr>
                <w:rFonts w:hAnsiTheme="minorEastAsia" w:eastAsiaTheme="minorEastAsia"/>
                <w:color w:val="auto"/>
                <w:sz w:val="21"/>
                <w:szCs w:val="21"/>
              </w:rPr>
              <w:t>表5-</w:t>
            </w:r>
            <w:r>
              <w:rPr>
                <w:rFonts w:hint="eastAsia" w:hAnsiTheme="minorEastAsia" w:eastAsiaTheme="minorEastAsia"/>
                <w:color w:val="auto"/>
                <w:sz w:val="21"/>
                <w:szCs w:val="21"/>
                <w:lang w:val="en-US" w:eastAsia="zh-CN"/>
              </w:rPr>
              <w:t>2</w:t>
            </w:r>
            <w:r>
              <w:rPr>
                <w:rFonts w:hAnsiTheme="minorEastAsia" w:eastAsiaTheme="minorEastAsia"/>
                <w:color w:val="auto"/>
                <w:sz w:val="21"/>
                <w:szCs w:val="21"/>
              </w:rPr>
              <w:t>主要施工机械设备的噪声</w:t>
            </w:r>
            <w:r>
              <w:rPr>
                <w:rFonts w:hint="eastAsia" w:hAnsiTheme="minorEastAsia" w:eastAsiaTheme="minorEastAsia"/>
                <w:color w:val="auto"/>
                <w:sz w:val="21"/>
                <w:szCs w:val="21"/>
              </w:rPr>
              <w:t xml:space="preserve">及采取措施后的噪声级  </w:t>
            </w:r>
            <w:r>
              <w:rPr>
                <w:rFonts w:hAnsiTheme="minorEastAsia" w:eastAsiaTheme="minorEastAsia"/>
                <w:color w:val="auto"/>
                <w:sz w:val="21"/>
                <w:szCs w:val="21"/>
              </w:rPr>
              <w:t>单位：dB(A)</w:t>
            </w:r>
          </w:p>
          <w:tbl>
            <w:tblPr>
              <w:tblStyle w:val="22"/>
              <w:tblW w:w="877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44"/>
              <w:gridCol w:w="1201"/>
              <w:gridCol w:w="1049"/>
              <w:gridCol w:w="3155"/>
              <w:gridCol w:w="20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exact"/>
                <w:jc w:val="center"/>
              </w:trPr>
              <w:tc>
                <w:tcPr>
                  <w:tcW w:w="1344" w:type="dxa"/>
                  <w:vAlign w:val="center"/>
                </w:tcPr>
                <w:p>
                  <w:pPr>
                    <w:pStyle w:val="42"/>
                    <w:rPr>
                      <w:color w:val="auto"/>
                    </w:rPr>
                  </w:pPr>
                  <w:r>
                    <w:rPr>
                      <w:rFonts w:hint="eastAsia"/>
                      <w:color w:val="auto"/>
                    </w:rPr>
                    <w:t>施工机械</w:t>
                  </w:r>
                </w:p>
              </w:tc>
              <w:tc>
                <w:tcPr>
                  <w:tcW w:w="1201" w:type="dxa"/>
                  <w:vAlign w:val="center"/>
                </w:tcPr>
                <w:p>
                  <w:pPr>
                    <w:pStyle w:val="42"/>
                    <w:rPr>
                      <w:color w:val="auto"/>
                    </w:rPr>
                  </w:pPr>
                  <w:r>
                    <w:rPr>
                      <w:rFonts w:hint="eastAsia"/>
                      <w:color w:val="auto"/>
                    </w:rPr>
                    <w:t>距离（</w:t>
                  </w:r>
                  <w:r>
                    <w:rPr>
                      <w:color w:val="auto"/>
                    </w:rPr>
                    <w:t>m</w:t>
                  </w:r>
                  <w:r>
                    <w:rPr>
                      <w:rFonts w:hint="eastAsia"/>
                      <w:color w:val="auto"/>
                    </w:rPr>
                    <w:t>）</w:t>
                  </w:r>
                </w:p>
              </w:tc>
              <w:tc>
                <w:tcPr>
                  <w:tcW w:w="1049" w:type="dxa"/>
                  <w:vAlign w:val="center"/>
                </w:tcPr>
                <w:p>
                  <w:pPr>
                    <w:pStyle w:val="42"/>
                    <w:rPr>
                      <w:color w:val="auto"/>
                    </w:rPr>
                  </w:pPr>
                  <w:r>
                    <w:rPr>
                      <w:rFonts w:hint="eastAsia"/>
                      <w:color w:val="auto"/>
                    </w:rPr>
                    <w:t>噪声级</w:t>
                  </w:r>
                </w:p>
              </w:tc>
              <w:tc>
                <w:tcPr>
                  <w:tcW w:w="3155" w:type="dxa"/>
                </w:tcPr>
                <w:p>
                  <w:pPr>
                    <w:pStyle w:val="42"/>
                    <w:rPr>
                      <w:color w:val="auto"/>
                    </w:rPr>
                  </w:pPr>
                  <w:r>
                    <w:rPr>
                      <w:rFonts w:hint="eastAsia"/>
                      <w:color w:val="auto"/>
                    </w:rPr>
                    <w:t>降噪措施</w:t>
                  </w:r>
                </w:p>
              </w:tc>
              <w:tc>
                <w:tcPr>
                  <w:tcW w:w="2030" w:type="dxa"/>
                </w:tcPr>
                <w:p>
                  <w:pPr>
                    <w:pStyle w:val="42"/>
                    <w:rPr>
                      <w:color w:val="auto"/>
                    </w:rPr>
                  </w:pPr>
                  <w:r>
                    <w:rPr>
                      <w:rFonts w:hint="eastAsia"/>
                      <w:color w:val="auto"/>
                    </w:rPr>
                    <w:t>降噪后的噪声级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7" w:hRule="exact"/>
                <w:jc w:val="center"/>
              </w:trPr>
              <w:tc>
                <w:tcPr>
                  <w:tcW w:w="1344" w:type="dxa"/>
                  <w:vAlign w:val="center"/>
                </w:tcPr>
                <w:p>
                  <w:pPr>
                    <w:pStyle w:val="42"/>
                    <w:rPr>
                      <w:color w:val="auto"/>
                    </w:rPr>
                  </w:pPr>
                  <w:r>
                    <w:rPr>
                      <w:rFonts w:hint="eastAsia"/>
                      <w:color w:val="auto"/>
                    </w:rPr>
                    <w:t>挖掘机</w:t>
                  </w:r>
                </w:p>
              </w:tc>
              <w:tc>
                <w:tcPr>
                  <w:tcW w:w="1201" w:type="dxa"/>
                  <w:vAlign w:val="center"/>
                </w:tcPr>
                <w:p>
                  <w:pPr>
                    <w:pStyle w:val="42"/>
                    <w:rPr>
                      <w:color w:val="auto"/>
                    </w:rPr>
                  </w:pPr>
                  <w:r>
                    <w:rPr>
                      <w:color w:val="auto"/>
                    </w:rPr>
                    <w:t>5</w:t>
                  </w:r>
                </w:p>
              </w:tc>
              <w:tc>
                <w:tcPr>
                  <w:tcW w:w="1049" w:type="dxa"/>
                  <w:vAlign w:val="center"/>
                </w:tcPr>
                <w:p>
                  <w:pPr>
                    <w:pStyle w:val="42"/>
                    <w:rPr>
                      <w:color w:val="auto"/>
                    </w:rPr>
                  </w:pPr>
                  <w:r>
                    <w:rPr>
                      <w:rFonts w:hint="eastAsia"/>
                      <w:color w:val="auto"/>
                    </w:rPr>
                    <w:t>82~</w:t>
                  </w:r>
                  <w:r>
                    <w:rPr>
                      <w:color w:val="auto"/>
                    </w:rPr>
                    <w:t>90</w:t>
                  </w:r>
                </w:p>
              </w:tc>
              <w:tc>
                <w:tcPr>
                  <w:tcW w:w="3155" w:type="dxa"/>
                </w:tcPr>
                <w:p>
                  <w:pPr>
                    <w:pStyle w:val="42"/>
                    <w:rPr>
                      <w:color w:val="auto"/>
                    </w:rPr>
                  </w:pPr>
                  <w:r>
                    <w:rPr>
                      <w:rFonts w:hint="eastAsia"/>
                      <w:color w:val="auto"/>
                    </w:rPr>
                    <w:t>厂房隔声、距离衰减</w:t>
                  </w:r>
                </w:p>
              </w:tc>
              <w:tc>
                <w:tcPr>
                  <w:tcW w:w="2030" w:type="dxa"/>
                </w:tcPr>
                <w:p>
                  <w:pPr>
                    <w:pStyle w:val="42"/>
                    <w:rPr>
                      <w:color w:val="auto"/>
                    </w:rPr>
                  </w:pPr>
                  <w:r>
                    <w:rPr>
                      <w:rFonts w:hint="eastAsia"/>
                      <w:color w:val="auto"/>
                    </w:rPr>
                    <w:t>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4" w:hRule="exact"/>
                <w:jc w:val="center"/>
              </w:trPr>
              <w:tc>
                <w:tcPr>
                  <w:tcW w:w="1344" w:type="dxa"/>
                  <w:vAlign w:val="center"/>
                </w:tcPr>
                <w:p>
                  <w:pPr>
                    <w:pStyle w:val="42"/>
                    <w:rPr>
                      <w:color w:val="auto"/>
                    </w:rPr>
                  </w:pPr>
                  <w:r>
                    <w:rPr>
                      <w:rFonts w:hint="eastAsia"/>
                      <w:color w:val="auto"/>
                    </w:rPr>
                    <w:t>装载机</w:t>
                  </w:r>
                </w:p>
              </w:tc>
              <w:tc>
                <w:tcPr>
                  <w:tcW w:w="1201" w:type="dxa"/>
                  <w:vAlign w:val="center"/>
                </w:tcPr>
                <w:p>
                  <w:pPr>
                    <w:pStyle w:val="42"/>
                    <w:rPr>
                      <w:color w:val="auto"/>
                    </w:rPr>
                  </w:pPr>
                  <w:r>
                    <w:rPr>
                      <w:color w:val="auto"/>
                    </w:rPr>
                    <w:t>5</w:t>
                  </w:r>
                </w:p>
              </w:tc>
              <w:tc>
                <w:tcPr>
                  <w:tcW w:w="1049" w:type="dxa"/>
                  <w:vAlign w:val="center"/>
                </w:tcPr>
                <w:p>
                  <w:pPr>
                    <w:pStyle w:val="42"/>
                    <w:rPr>
                      <w:color w:val="auto"/>
                    </w:rPr>
                  </w:pPr>
                  <w:r>
                    <w:rPr>
                      <w:color w:val="auto"/>
                    </w:rPr>
                    <w:t>90</w:t>
                  </w:r>
                  <w:r>
                    <w:rPr>
                      <w:rFonts w:hint="eastAsia"/>
                      <w:color w:val="auto"/>
                    </w:rPr>
                    <w:t>~95</w:t>
                  </w:r>
                </w:p>
              </w:tc>
              <w:tc>
                <w:tcPr>
                  <w:tcW w:w="3155" w:type="dxa"/>
                </w:tcPr>
                <w:p>
                  <w:pPr>
                    <w:pStyle w:val="42"/>
                    <w:rPr>
                      <w:color w:val="auto"/>
                    </w:rPr>
                  </w:pPr>
                  <w:r>
                    <w:rPr>
                      <w:rFonts w:hint="eastAsia"/>
                      <w:color w:val="auto"/>
                    </w:rPr>
                    <w:t>厂房隔声、距离衰减</w:t>
                  </w:r>
                </w:p>
              </w:tc>
              <w:tc>
                <w:tcPr>
                  <w:tcW w:w="2030" w:type="dxa"/>
                </w:tcPr>
                <w:p>
                  <w:pPr>
                    <w:pStyle w:val="42"/>
                    <w:rPr>
                      <w:color w:val="auto"/>
                    </w:rPr>
                  </w:pPr>
                  <w:r>
                    <w:rPr>
                      <w:rFonts w:hint="eastAsia"/>
                      <w:color w:val="auto"/>
                    </w:rPr>
                    <w:t>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4" w:hRule="exact"/>
                <w:jc w:val="center"/>
              </w:trPr>
              <w:tc>
                <w:tcPr>
                  <w:tcW w:w="1344" w:type="dxa"/>
                  <w:vAlign w:val="center"/>
                </w:tcPr>
                <w:p>
                  <w:pPr>
                    <w:pStyle w:val="42"/>
                    <w:rPr>
                      <w:color w:val="auto"/>
                    </w:rPr>
                  </w:pPr>
                  <w:r>
                    <w:rPr>
                      <w:rFonts w:hint="eastAsia"/>
                      <w:color w:val="auto"/>
                    </w:rPr>
                    <w:t>运输车辆</w:t>
                  </w:r>
                </w:p>
              </w:tc>
              <w:tc>
                <w:tcPr>
                  <w:tcW w:w="1201" w:type="dxa"/>
                  <w:vAlign w:val="center"/>
                </w:tcPr>
                <w:p>
                  <w:pPr>
                    <w:pStyle w:val="42"/>
                    <w:rPr>
                      <w:color w:val="auto"/>
                    </w:rPr>
                  </w:pPr>
                  <w:r>
                    <w:rPr>
                      <w:color w:val="auto"/>
                    </w:rPr>
                    <w:t>5</w:t>
                  </w:r>
                </w:p>
              </w:tc>
              <w:tc>
                <w:tcPr>
                  <w:tcW w:w="1049" w:type="dxa"/>
                  <w:vAlign w:val="center"/>
                </w:tcPr>
                <w:p>
                  <w:pPr>
                    <w:pStyle w:val="42"/>
                    <w:rPr>
                      <w:color w:val="auto"/>
                    </w:rPr>
                  </w:pPr>
                  <w:r>
                    <w:rPr>
                      <w:color w:val="auto"/>
                    </w:rPr>
                    <w:t>8</w:t>
                  </w:r>
                  <w:r>
                    <w:rPr>
                      <w:rFonts w:hint="eastAsia"/>
                      <w:color w:val="auto"/>
                    </w:rPr>
                    <w:t>2~90</w:t>
                  </w:r>
                </w:p>
              </w:tc>
              <w:tc>
                <w:tcPr>
                  <w:tcW w:w="3155" w:type="dxa"/>
                </w:tcPr>
                <w:p>
                  <w:pPr>
                    <w:pStyle w:val="42"/>
                    <w:rPr>
                      <w:color w:val="auto"/>
                    </w:rPr>
                  </w:pPr>
                  <w:r>
                    <w:rPr>
                      <w:rFonts w:hint="eastAsia"/>
                      <w:color w:val="auto"/>
                    </w:rPr>
                    <w:t>厂房隔声、距离衰减</w:t>
                  </w:r>
                </w:p>
              </w:tc>
              <w:tc>
                <w:tcPr>
                  <w:tcW w:w="2030" w:type="dxa"/>
                </w:tcPr>
                <w:p>
                  <w:pPr>
                    <w:pStyle w:val="42"/>
                    <w:rPr>
                      <w:color w:val="auto"/>
                    </w:rPr>
                  </w:pPr>
                  <w:r>
                    <w:rPr>
                      <w:rFonts w:hint="eastAsia"/>
                      <w:color w:val="auto"/>
                    </w:rPr>
                    <w:t>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4" w:hRule="exact"/>
                <w:jc w:val="center"/>
              </w:trPr>
              <w:tc>
                <w:tcPr>
                  <w:tcW w:w="1344" w:type="dxa"/>
                  <w:vAlign w:val="center"/>
                </w:tcPr>
                <w:p>
                  <w:pPr>
                    <w:pStyle w:val="42"/>
                    <w:rPr>
                      <w:color w:val="auto"/>
                    </w:rPr>
                  </w:pPr>
                  <w:r>
                    <w:rPr>
                      <w:rFonts w:hint="eastAsia"/>
                      <w:color w:val="auto"/>
                    </w:rPr>
                    <w:t>吊车</w:t>
                  </w:r>
                </w:p>
              </w:tc>
              <w:tc>
                <w:tcPr>
                  <w:tcW w:w="1201" w:type="dxa"/>
                  <w:vAlign w:val="center"/>
                </w:tcPr>
                <w:p>
                  <w:pPr>
                    <w:pStyle w:val="42"/>
                    <w:rPr>
                      <w:color w:val="auto"/>
                    </w:rPr>
                  </w:pPr>
                  <w:r>
                    <w:rPr>
                      <w:color w:val="auto"/>
                    </w:rPr>
                    <w:t>5</w:t>
                  </w:r>
                </w:p>
              </w:tc>
              <w:tc>
                <w:tcPr>
                  <w:tcW w:w="1049" w:type="dxa"/>
                  <w:vAlign w:val="center"/>
                </w:tcPr>
                <w:p>
                  <w:pPr>
                    <w:pStyle w:val="42"/>
                    <w:rPr>
                      <w:color w:val="auto"/>
                    </w:rPr>
                  </w:pPr>
                  <w:r>
                    <w:rPr>
                      <w:color w:val="auto"/>
                    </w:rPr>
                    <w:t>80</w:t>
                  </w:r>
                  <w:r>
                    <w:rPr>
                      <w:rFonts w:hint="eastAsia"/>
                      <w:color w:val="auto"/>
                    </w:rPr>
                    <w:t>~95</w:t>
                  </w:r>
                </w:p>
              </w:tc>
              <w:tc>
                <w:tcPr>
                  <w:tcW w:w="3155" w:type="dxa"/>
                </w:tcPr>
                <w:p>
                  <w:pPr>
                    <w:pStyle w:val="42"/>
                    <w:rPr>
                      <w:color w:val="auto"/>
                    </w:rPr>
                  </w:pPr>
                  <w:r>
                    <w:rPr>
                      <w:rFonts w:hint="eastAsia"/>
                      <w:color w:val="auto"/>
                    </w:rPr>
                    <w:t>厂房隔声、距离衰减</w:t>
                  </w:r>
                </w:p>
              </w:tc>
              <w:tc>
                <w:tcPr>
                  <w:tcW w:w="2030" w:type="dxa"/>
                </w:tcPr>
                <w:p>
                  <w:pPr>
                    <w:pStyle w:val="42"/>
                    <w:rPr>
                      <w:color w:val="auto"/>
                    </w:rPr>
                  </w:pPr>
                  <w:r>
                    <w:rPr>
                      <w:rFonts w:hint="eastAsia"/>
                      <w:color w:val="auto"/>
                    </w:rPr>
                    <w:t>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4" w:hRule="exact"/>
                <w:jc w:val="center"/>
              </w:trPr>
              <w:tc>
                <w:tcPr>
                  <w:tcW w:w="1344" w:type="dxa"/>
                  <w:vAlign w:val="center"/>
                </w:tcPr>
                <w:p>
                  <w:pPr>
                    <w:pStyle w:val="42"/>
                    <w:rPr>
                      <w:color w:val="auto"/>
                    </w:rPr>
                  </w:pPr>
                  <w:r>
                    <w:rPr>
                      <w:rFonts w:hint="eastAsia"/>
                      <w:color w:val="auto"/>
                    </w:rPr>
                    <w:t>切割机</w:t>
                  </w:r>
                </w:p>
              </w:tc>
              <w:tc>
                <w:tcPr>
                  <w:tcW w:w="1201" w:type="dxa"/>
                  <w:vAlign w:val="center"/>
                </w:tcPr>
                <w:p>
                  <w:pPr>
                    <w:pStyle w:val="42"/>
                    <w:rPr>
                      <w:color w:val="auto"/>
                    </w:rPr>
                  </w:pPr>
                  <w:r>
                    <w:rPr>
                      <w:color w:val="auto"/>
                    </w:rPr>
                    <w:t>5</w:t>
                  </w:r>
                </w:p>
              </w:tc>
              <w:tc>
                <w:tcPr>
                  <w:tcW w:w="1049" w:type="dxa"/>
                  <w:vAlign w:val="center"/>
                </w:tcPr>
                <w:p>
                  <w:pPr>
                    <w:pStyle w:val="42"/>
                    <w:rPr>
                      <w:color w:val="auto"/>
                    </w:rPr>
                  </w:pPr>
                  <w:r>
                    <w:rPr>
                      <w:color w:val="auto"/>
                    </w:rPr>
                    <w:t>85</w:t>
                  </w:r>
                  <w:r>
                    <w:rPr>
                      <w:rFonts w:hint="eastAsia"/>
                      <w:color w:val="auto"/>
                    </w:rPr>
                    <w:t>~100</w:t>
                  </w:r>
                </w:p>
              </w:tc>
              <w:tc>
                <w:tcPr>
                  <w:tcW w:w="3155" w:type="dxa"/>
                </w:tcPr>
                <w:p>
                  <w:pPr>
                    <w:pStyle w:val="42"/>
                    <w:rPr>
                      <w:color w:val="auto"/>
                    </w:rPr>
                  </w:pPr>
                  <w:r>
                    <w:rPr>
                      <w:rFonts w:hint="eastAsia"/>
                      <w:color w:val="auto"/>
                    </w:rPr>
                    <w:t>厂房隔声、距离衰减</w:t>
                  </w:r>
                </w:p>
              </w:tc>
              <w:tc>
                <w:tcPr>
                  <w:tcW w:w="2030" w:type="dxa"/>
                </w:tcPr>
                <w:p>
                  <w:pPr>
                    <w:pStyle w:val="42"/>
                    <w:rPr>
                      <w:color w:val="auto"/>
                    </w:rPr>
                  </w:pPr>
                  <w:r>
                    <w:rPr>
                      <w:rFonts w:hint="eastAsia"/>
                      <w:color w:val="auto"/>
                    </w:rP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4" w:hRule="exact"/>
                <w:jc w:val="center"/>
              </w:trPr>
              <w:tc>
                <w:tcPr>
                  <w:tcW w:w="1344" w:type="dxa"/>
                  <w:vAlign w:val="center"/>
                </w:tcPr>
                <w:p>
                  <w:pPr>
                    <w:pStyle w:val="42"/>
                    <w:rPr>
                      <w:color w:val="auto"/>
                    </w:rPr>
                  </w:pPr>
                  <w:r>
                    <w:rPr>
                      <w:rFonts w:hint="eastAsia"/>
                      <w:color w:val="auto"/>
                    </w:rPr>
                    <w:t>电钻</w:t>
                  </w:r>
                </w:p>
              </w:tc>
              <w:tc>
                <w:tcPr>
                  <w:tcW w:w="1201" w:type="dxa"/>
                  <w:vAlign w:val="center"/>
                </w:tcPr>
                <w:p>
                  <w:pPr>
                    <w:pStyle w:val="42"/>
                    <w:rPr>
                      <w:color w:val="auto"/>
                    </w:rPr>
                  </w:pPr>
                  <w:r>
                    <w:rPr>
                      <w:color w:val="auto"/>
                    </w:rPr>
                    <w:t>5</w:t>
                  </w:r>
                </w:p>
              </w:tc>
              <w:tc>
                <w:tcPr>
                  <w:tcW w:w="1049" w:type="dxa"/>
                  <w:vAlign w:val="center"/>
                </w:tcPr>
                <w:p>
                  <w:pPr>
                    <w:pStyle w:val="42"/>
                    <w:rPr>
                      <w:color w:val="auto"/>
                    </w:rPr>
                  </w:pPr>
                  <w:r>
                    <w:rPr>
                      <w:color w:val="auto"/>
                    </w:rPr>
                    <w:t>90</w:t>
                  </w:r>
                  <w:r>
                    <w:rPr>
                      <w:rFonts w:hint="eastAsia"/>
                      <w:color w:val="auto"/>
                    </w:rPr>
                    <w:t>~100</w:t>
                  </w:r>
                </w:p>
              </w:tc>
              <w:tc>
                <w:tcPr>
                  <w:tcW w:w="3155" w:type="dxa"/>
                </w:tcPr>
                <w:p>
                  <w:pPr>
                    <w:pStyle w:val="42"/>
                    <w:rPr>
                      <w:color w:val="auto"/>
                    </w:rPr>
                  </w:pPr>
                  <w:r>
                    <w:rPr>
                      <w:rFonts w:hint="eastAsia"/>
                      <w:color w:val="auto"/>
                    </w:rPr>
                    <w:t>厂房隔声、距离衰减</w:t>
                  </w:r>
                </w:p>
              </w:tc>
              <w:tc>
                <w:tcPr>
                  <w:tcW w:w="2030" w:type="dxa"/>
                </w:tcPr>
                <w:p>
                  <w:pPr>
                    <w:pStyle w:val="42"/>
                    <w:rPr>
                      <w:color w:val="auto"/>
                    </w:rPr>
                  </w:pPr>
                  <w:r>
                    <w:rPr>
                      <w:rFonts w:hint="eastAsia"/>
                      <w:color w:val="auto"/>
                    </w:rPr>
                    <w:t>72</w:t>
                  </w:r>
                </w:p>
              </w:tc>
            </w:tr>
          </w:tbl>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项目施工期各机械噪声经厂房隔声和距离衰减后的厂界噪声级为65-72dB（A）。能够满足</w:t>
            </w:r>
            <w:r>
              <w:rPr>
                <w:rFonts w:hint="default" w:ascii="Times New Roman" w:hAnsi="Times New Roman" w:eastAsia="宋体" w:cs="Times New Roman"/>
                <w:color w:val="auto"/>
                <w:sz w:val="24"/>
                <w:szCs w:val="24"/>
              </w:rPr>
              <w:t>《建筑施工场界环境噪声排放标准》（GB12523-2011）中表1规定的排放限值</w:t>
            </w:r>
            <w:r>
              <w:rPr>
                <w:rFonts w:hint="eastAsia" w:ascii="Times New Roman" w:hAnsi="Times New Roman" w:eastAsia="宋体" w:cs="Times New Roman"/>
                <w:color w:val="auto"/>
                <w:sz w:val="24"/>
                <w:szCs w:val="24"/>
              </w:rPr>
              <w:t>（项目夜间不施工）。</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color w:val="auto"/>
                <w:sz w:val="24"/>
                <w:szCs w:val="20"/>
              </w:rPr>
            </w:pPr>
            <w:r>
              <w:rPr>
                <w:rFonts w:hint="eastAsia" w:ascii="宋体" w:hAnsi="宋体" w:eastAsia="宋体" w:cs="宋体"/>
                <w:b/>
                <w:color w:val="auto"/>
                <w:sz w:val="24"/>
                <w:szCs w:val="20"/>
              </w:rPr>
              <w:t>4、固体废物</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本项目施工期会产生建筑垃圾、弃土和施工人员生活垃圾等固体废物。</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建筑垃圾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建筑施工过程</w:t>
            </w:r>
            <w:r>
              <w:rPr>
                <w:rFonts w:hint="default" w:ascii="Times New Roman" w:hAnsi="Times New Roman" w:eastAsia="宋体" w:cs="Times New Roman"/>
                <w:color w:val="auto"/>
                <w:sz w:val="24"/>
                <w:szCs w:val="24"/>
              </w:rPr>
              <w:t>产生的垃圾和装修</w:t>
            </w:r>
            <w:r>
              <w:rPr>
                <w:rFonts w:hint="default" w:ascii="Times New Roman" w:hAnsi="Times New Roman" w:eastAsia="宋体" w:cs="Times New Roman"/>
                <w:color w:val="auto"/>
                <w:sz w:val="24"/>
                <w:szCs w:val="24"/>
                <w:lang w:val="en-US" w:eastAsia="zh-CN"/>
              </w:rPr>
              <w:t>过程</w:t>
            </w:r>
            <w:r>
              <w:rPr>
                <w:rFonts w:hint="default" w:ascii="Times New Roman" w:hAnsi="Times New Roman" w:eastAsia="宋体" w:cs="Times New Roman"/>
                <w:color w:val="auto"/>
                <w:sz w:val="24"/>
                <w:szCs w:val="24"/>
              </w:rPr>
              <w:t>产生的垃圾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如废弃</w:t>
            </w:r>
            <w:r>
              <w:rPr>
                <w:rFonts w:hint="default" w:ascii="Times New Roman" w:hAnsi="Times New Roman" w:eastAsia="宋体" w:cs="Times New Roman"/>
                <w:color w:val="auto"/>
                <w:sz w:val="24"/>
                <w:szCs w:val="24"/>
              </w:rPr>
              <w:t>水泥、碎木料、废金属、钢筋和钢丝</w:t>
            </w:r>
            <w:r>
              <w:rPr>
                <w:rFonts w:hint="eastAsia" w:cs="Times New Roman"/>
                <w:color w:val="auto"/>
                <w:sz w:val="24"/>
                <w:szCs w:val="24"/>
                <w:lang w:eastAsia="zh-CN"/>
              </w:rPr>
              <w:t>、拆除原有厂房产生的废弃物</w:t>
            </w:r>
            <w:r>
              <w:rPr>
                <w:rFonts w:hint="default" w:ascii="Times New Roman" w:hAnsi="Times New Roman" w:eastAsia="宋体" w:cs="Times New Roman"/>
                <w:color w:val="auto"/>
                <w:sz w:val="24"/>
                <w:szCs w:val="24"/>
              </w:rPr>
              <w:t>等。</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color w:val="auto"/>
              </w:rPr>
            </w:pPr>
            <w:r>
              <w:rPr>
                <w:rFonts w:ascii="Times New Roman" w:hAnsi="Times New Roman" w:eastAsia="宋体" w:cs="Times New Roman"/>
                <w:color w:val="auto"/>
              </w:rPr>
              <w:t>根据查阅有关资料，建筑施工中单位建筑面积的建筑垃圾产生量约为5～20kg/m</w:t>
            </w:r>
            <w:r>
              <w:rPr>
                <w:rFonts w:ascii="Times New Roman" w:hAnsi="Times New Roman" w:eastAsia="宋体" w:cs="Times New Roman"/>
                <w:color w:val="auto"/>
                <w:vertAlign w:val="superscript"/>
              </w:rPr>
              <w:t>2</w:t>
            </w:r>
            <w:r>
              <w:rPr>
                <w:rFonts w:ascii="Times New Roman" w:hAnsi="Times New Roman" w:eastAsia="宋体" w:cs="Times New Roman"/>
                <w:color w:val="auto"/>
              </w:rPr>
              <w:t>，本工程</w:t>
            </w:r>
            <w:r>
              <w:rPr>
                <w:rFonts w:hint="eastAsia" w:ascii="Times New Roman" w:hAnsi="Times New Roman" w:eastAsia="宋体" w:cs="Times New Roman"/>
                <w:color w:val="auto"/>
              </w:rPr>
              <w:t>新增</w:t>
            </w:r>
            <w:r>
              <w:rPr>
                <w:rFonts w:ascii="Times New Roman" w:hAnsi="Times New Roman" w:eastAsia="宋体" w:cs="Times New Roman"/>
                <w:color w:val="auto"/>
              </w:rPr>
              <w:t>建筑面积共为</w:t>
            </w:r>
            <w:r>
              <w:rPr>
                <w:rFonts w:hint="eastAsia" w:eastAsia="宋体" w:cs="Times New Roman"/>
                <w:color w:val="auto"/>
                <w:lang w:val="en-US" w:eastAsia="zh-CN"/>
              </w:rPr>
              <w:t>2750</w:t>
            </w: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r>
              <w:rPr>
                <w:rFonts w:ascii="Times New Roman" w:hAnsi="Times New Roman" w:eastAsia="宋体" w:cs="Times New Roman"/>
                <w:color w:val="auto"/>
              </w:rPr>
              <w:t>，为</w:t>
            </w:r>
            <w:r>
              <w:rPr>
                <w:rFonts w:hint="eastAsia" w:ascii="Times New Roman" w:hAnsi="Times New Roman" w:eastAsia="宋体" w:cs="Times New Roman"/>
                <w:color w:val="auto"/>
              </w:rPr>
              <w:t>钢板</w:t>
            </w:r>
            <w:r>
              <w:rPr>
                <w:rFonts w:ascii="Times New Roman" w:hAnsi="Times New Roman" w:eastAsia="宋体" w:cs="Times New Roman"/>
                <w:color w:val="auto"/>
              </w:rPr>
              <w:t>结构，本项目为</w:t>
            </w:r>
            <w:r>
              <w:rPr>
                <w:rFonts w:hint="eastAsia" w:ascii="Times New Roman" w:hAnsi="Times New Roman" w:eastAsia="宋体" w:cs="Times New Roman"/>
                <w:color w:val="auto"/>
              </w:rPr>
              <w:t>新增</w:t>
            </w:r>
            <w:r>
              <w:rPr>
                <w:rFonts w:ascii="Times New Roman" w:hAnsi="Times New Roman" w:eastAsia="宋体" w:cs="Times New Roman"/>
                <w:color w:val="auto"/>
              </w:rPr>
              <w:t>工程主体为</w:t>
            </w:r>
            <w:r>
              <w:rPr>
                <w:rFonts w:hint="eastAsia" w:ascii="Times New Roman" w:hAnsi="Times New Roman" w:eastAsia="宋体" w:cs="Times New Roman"/>
                <w:color w:val="auto"/>
              </w:rPr>
              <w:t>钢板</w:t>
            </w:r>
            <w:r>
              <w:rPr>
                <w:rFonts w:ascii="Times New Roman" w:hAnsi="Times New Roman" w:eastAsia="宋体" w:cs="Times New Roman"/>
                <w:color w:val="auto"/>
              </w:rPr>
              <w:t>结构，本项目建筑垃圾产生量按5kg/m</w:t>
            </w:r>
            <w:r>
              <w:rPr>
                <w:rFonts w:ascii="Times New Roman" w:hAnsi="Times New Roman" w:eastAsia="宋体" w:cs="Times New Roman"/>
                <w:color w:val="auto"/>
                <w:vertAlign w:val="superscript"/>
              </w:rPr>
              <w:t>2</w:t>
            </w:r>
            <w:r>
              <w:rPr>
                <w:rFonts w:ascii="Times New Roman" w:hAnsi="Times New Roman" w:eastAsia="宋体" w:cs="Times New Roman"/>
                <w:color w:val="auto"/>
              </w:rPr>
              <w:t>估算，则本项目</w:t>
            </w:r>
            <w:r>
              <w:rPr>
                <w:rFonts w:hint="eastAsia" w:ascii="Times New Roman" w:hAnsi="Times New Roman" w:eastAsia="宋体" w:cs="Times New Roman"/>
                <w:color w:val="auto"/>
              </w:rPr>
              <w:t>新增</w:t>
            </w:r>
            <w:r>
              <w:rPr>
                <w:rFonts w:ascii="Times New Roman" w:hAnsi="Times New Roman" w:eastAsia="宋体" w:cs="Times New Roman"/>
                <w:color w:val="auto"/>
              </w:rPr>
              <w:t>建筑产生的建筑垃圾产生量约为</w:t>
            </w:r>
            <w:r>
              <w:rPr>
                <w:rFonts w:hint="eastAsia" w:eastAsia="宋体" w:cs="Times New Roman"/>
                <w:color w:val="auto"/>
                <w:lang w:val="en-US" w:eastAsia="zh-CN"/>
              </w:rPr>
              <w:t>13.75</w:t>
            </w:r>
            <w:r>
              <w:rPr>
                <w:rFonts w:ascii="Times New Roman" w:hAnsi="Times New Roman" w:eastAsia="宋体" w:cs="Times New Roman"/>
                <w:color w:val="auto"/>
              </w:rPr>
              <w:t>t</w:t>
            </w:r>
            <w:r>
              <w:rPr>
                <w:rFonts w:hint="eastAsia" w:cs="Times New Roman"/>
                <w:color w:val="auto"/>
                <w:lang w:eastAsia="zh-CN"/>
              </w:rPr>
              <w:t>，拆除厂房产生的废弃物约为</w:t>
            </w:r>
            <w:r>
              <w:rPr>
                <w:rFonts w:hint="eastAsia" w:cs="Times New Roman"/>
                <w:color w:val="auto"/>
                <w:lang w:val="en-US" w:eastAsia="zh-CN"/>
              </w:rPr>
              <w:t>10t，建筑垃圾产生2</w:t>
            </w:r>
            <w:r>
              <w:rPr>
                <w:rFonts w:hint="eastAsia" w:eastAsia="宋体" w:cs="Times New Roman"/>
                <w:color w:val="auto"/>
                <w:lang w:val="en-US" w:eastAsia="zh-CN"/>
              </w:rPr>
              <w:t>3.75</w:t>
            </w:r>
            <w:r>
              <w:rPr>
                <w:rFonts w:ascii="Times New Roman" w:hAnsi="Times New Roman" w:eastAsia="宋体" w:cs="Times New Roman"/>
                <w:color w:val="auto"/>
              </w:rPr>
              <w:t>t。</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fldChar w:fldCharType="begin"/>
            </w:r>
            <w:r>
              <w:rPr>
                <w:rFonts w:hint="default" w:ascii="Times New Roman" w:hAnsi="Times New Roman" w:eastAsia="宋体" w:cs="Times New Roman"/>
                <w:color w:val="auto"/>
                <w:sz w:val="24"/>
                <w:szCs w:val="24"/>
                <w:u w:val="none" w:color="auto"/>
              </w:rPr>
              <w:instrText xml:space="preserve"> = 2 \* GB3 \* MERGEFORMAT </w:instrText>
            </w:r>
            <w:r>
              <w:rPr>
                <w:rFonts w:hint="default" w:ascii="Times New Roman" w:hAnsi="Times New Roman" w:eastAsia="宋体" w:cs="Times New Roman"/>
                <w:color w:val="auto"/>
                <w:sz w:val="24"/>
                <w:szCs w:val="24"/>
                <w:u w:val="none" w:color="auto"/>
              </w:rPr>
              <w:fldChar w:fldCharType="separate"/>
            </w:r>
            <w:r>
              <w:rPr>
                <w:rFonts w:hint="default" w:ascii="Times New Roman" w:hAnsi="Times New Roman" w:eastAsia="宋体" w:cs="Times New Roman"/>
                <w:color w:val="auto"/>
                <w:sz w:val="24"/>
                <w:szCs w:val="24"/>
                <w:u w:val="none" w:color="auto"/>
              </w:rPr>
              <w:t>②</w:t>
            </w:r>
            <w:r>
              <w:rPr>
                <w:rFonts w:hint="default" w:ascii="Times New Roman" w:hAnsi="Times New Roman" w:eastAsia="宋体" w:cs="Times New Roman"/>
                <w:color w:val="auto"/>
                <w:sz w:val="24"/>
                <w:szCs w:val="24"/>
                <w:u w:val="none" w:color="auto"/>
              </w:rPr>
              <w:fldChar w:fldCharType="end"/>
            </w:r>
            <w:r>
              <w:rPr>
                <w:rFonts w:hint="default" w:ascii="Times New Roman" w:hAnsi="Times New Roman" w:eastAsia="宋体" w:cs="Times New Roman"/>
                <w:color w:val="auto"/>
                <w:sz w:val="24"/>
                <w:szCs w:val="24"/>
                <w:u w:val="none" w:color="auto"/>
              </w:rPr>
              <w:t>土石方：弃土主要是项目</w:t>
            </w:r>
            <w:r>
              <w:rPr>
                <w:rFonts w:hint="default" w:ascii="Times New Roman" w:hAnsi="Times New Roman" w:eastAsia="宋体" w:cs="Times New Roman"/>
                <w:color w:val="auto"/>
                <w:sz w:val="24"/>
                <w:szCs w:val="24"/>
                <w:u w:val="none" w:color="auto"/>
                <w:lang w:val="en-US" w:eastAsia="zh-CN"/>
              </w:rPr>
              <w:t>施工</w:t>
            </w:r>
            <w:r>
              <w:rPr>
                <w:rFonts w:hint="default" w:ascii="Times New Roman" w:hAnsi="Times New Roman" w:eastAsia="宋体" w:cs="Times New Roman"/>
                <w:color w:val="auto"/>
                <w:sz w:val="24"/>
                <w:szCs w:val="24"/>
                <w:u w:val="none" w:color="auto"/>
              </w:rPr>
              <w:t>过程中开挖地产生而没有用于回填的土方，经土石方平衡分析，</w:t>
            </w:r>
            <w:r>
              <w:rPr>
                <w:rFonts w:hint="default" w:ascii="Times New Roman" w:hAnsi="Times New Roman" w:eastAsia="宋体" w:cs="Times New Roman"/>
                <w:color w:val="auto"/>
                <w:sz w:val="24"/>
                <w:szCs w:val="24"/>
                <w:u w:val="none" w:color="auto"/>
                <w:lang w:eastAsia="zh-CN"/>
              </w:rPr>
              <w:t>本</w:t>
            </w:r>
            <w:r>
              <w:rPr>
                <w:rFonts w:hint="default" w:ascii="Times New Roman" w:hAnsi="Times New Roman" w:eastAsia="宋体" w:cs="Times New Roman"/>
                <w:color w:val="auto"/>
                <w:sz w:val="24"/>
                <w:szCs w:val="24"/>
                <w:u w:val="none" w:color="auto"/>
              </w:rPr>
              <w:t>项目</w:t>
            </w:r>
            <w:r>
              <w:rPr>
                <w:rFonts w:hint="default" w:ascii="Times New Roman" w:hAnsi="Times New Roman" w:eastAsia="宋体" w:cs="Times New Roman"/>
                <w:color w:val="auto"/>
                <w:sz w:val="24"/>
                <w:szCs w:val="24"/>
                <w:u w:val="none" w:color="auto"/>
                <w:lang w:val="en-US" w:eastAsia="zh-CN"/>
              </w:rPr>
              <w:t>挖方主要为36座炭化窑</w:t>
            </w:r>
            <w:r>
              <w:rPr>
                <w:rFonts w:hint="eastAsia" w:cs="Times New Roman"/>
                <w:color w:val="auto"/>
                <w:sz w:val="24"/>
                <w:szCs w:val="24"/>
                <w:u w:val="none" w:color="auto"/>
                <w:lang w:val="en-US" w:eastAsia="zh-CN"/>
              </w:rPr>
              <w:t>等</w:t>
            </w:r>
            <w:r>
              <w:rPr>
                <w:rFonts w:hint="default"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rPr>
              <w:t>共需开挖土石方约</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00m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开挖土方</w:t>
            </w:r>
            <w:r>
              <w:rPr>
                <w:rFonts w:hint="eastAsia" w:ascii="Times New Roman" w:hAnsi="Times New Roman" w:eastAsia="宋体" w:cs="Times New Roman"/>
                <w:color w:val="auto"/>
                <w:sz w:val="24"/>
                <w:szCs w:val="24"/>
                <w:u w:val="none" w:color="auto"/>
                <w:lang w:val="en-US" w:eastAsia="zh-CN"/>
              </w:rPr>
              <w:t>全部</w:t>
            </w:r>
            <w:r>
              <w:rPr>
                <w:rFonts w:hint="default" w:ascii="Times New Roman" w:hAnsi="Times New Roman" w:eastAsia="宋体" w:cs="Times New Roman"/>
                <w:color w:val="auto"/>
                <w:sz w:val="24"/>
                <w:szCs w:val="24"/>
                <w:u w:val="none" w:color="auto"/>
                <w:lang w:val="en-US" w:eastAsia="zh-CN"/>
              </w:rPr>
              <w:t>用于场地</w:t>
            </w:r>
            <w:r>
              <w:rPr>
                <w:rFonts w:hint="default" w:ascii="Times New Roman" w:hAnsi="Times New Roman" w:eastAsia="宋体" w:cs="Times New Roman"/>
                <w:color w:val="auto"/>
                <w:sz w:val="24"/>
                <w:szCs w:val="24"/>
                <w:u w:val="none" w:color="auto"/>
                <w:lang w:eastAsia="zh-CN"/>
              </w:rPr>
              <w:t>回填平整</w:t>
            </w:r>
            <w:r>
              <w:rPr>
                <w:rFonts w:hint="eastAsia" w:ascii="Times New Roman" w:hAnsi="Times New Roman" w:eastAsia="宋体" w:cs="Times New Roman"/>
                <w:color w:val="auto"/>
                <w:sz w:val="24"/>
                <w:szCs w:val="24"/>
                <w:u w:val="none" w:color="auto"/>
                <w:lang w:val="en-US" w:eastAsia="zh-CN"/>
              </w:rPr>
              <w:t>。</w:t>
            </w:r>
          </w:p>
          <w:p>
            <w:pPr>
              <w:pStyle w:val="2"/>
              <w:keepNext w:val="0"/>
              <w:keepLines w:val="0"/>
              <w:pageBreakBefore w:val="0"/>
              <w:widowControl w:val="0"/>
              <w:kinsoku/>
              <w:wordWrap/>
              <w:overflowPunct/>
              <w:topLinePunct w:val="0"/>
              <w:bidi w:val="0"/>
              <w:snapToGrid/>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生活垃圾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高峰时施工人员及工地管理人员约</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人，生活垃圾产生量按0.5kg/人·d计，则每天可产生约</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kg的生活垃圾。垃圾经</w:t>
            </w:r>
            <w:r>
              <w:rPr>
                <w:rFonts w:hint="default" w:ascii="Times New Roman" w:hAnsi="Times New Roman" w:eastAsia="宋体" w:cs="Times New Roman"/>
                <w:color w:val="auto"/>
                <w:sz w:val="24"/>
                <w:szCs w:val="24"/>
                <w:lang w:val="en-US" w:eastAsia="zh-CN"/>
              </w:rPr>
              <w:t>垃圾桶</w:t>
            </w:r>
            <w:r>
              <w:rPr>
                <w:rFonts w:hint="default" w:ascii="Times New Roman" w:hAnsi="Times New Roman" w:eastAsia="宋体" w:cs="Times New Roman"/>
                <w:color w:val="auto"/>
                <w:sz w:val="24"/>
                <w:szCs w:val="24"/>
              </w:rPr>
              <w:t>收集</w:t>
            </w:r>
            <w:r>
              <w:rPr>
                <w:rFonts w:hint="default" w:ascii="Times New Roman" w:hAnsi="Times New Roman" w:eastAsia="宋体" w:cs="Times New Roman"/>
                <w:color w:val="auto"/>
                <w:sz w:val="24"/>
                <w:szCs w:val="24"/>
                <w:lang w:val="en-US" w:eastAsia="zh-CN"/>
              </w:rPr>
              <w:t>后委托当地</w:t>
            </w:r>
            <w:r>
              <w:rPr>
                <w:rFonts w:hint="default" w:ascii="Times New Roman" w:hAnsi="Times New Roman" w:eastAsia="宋体" w:cs="Times New Roman"/>
                <w:color w:val="auto"/>
                <w:sz w:val="24"/>
                <w:szCs w:val="24"/>
              </w:rPr>
              <w:t>环卫部门处理</w:t>
            </w:r>
            <w:r>
              <w:rPr>
                <w:rFonts w:hint="eastAsia" w:ascii="Times New Roman" w:hAnsi="Times New Roman" w:eastAsia="宋体" w:cs="Times New Roman"/>
                <w:color w:val="auto"/>
                <w:sz w:val="24"/>
                <w:szCs w:val="24"/>
                <w:lang w:eastAsia="zh-CN"/>
              </w:rPr>
              <w:t>。</w:t>
            </w:r>
          </w:p>
          <w:p>
            <w:pPr>
              <w:keepNext w:val="0"/>
              <w:keepLines w:val="0"/>
              <w:suppressLineNumbers w:val="0"/>
              <w:spacing w:before="0" w:beforeAutospacing="0" w:after="0" w:afterAutospacing="0" w:line="360" w:lineRule="auto"/>
              <w:ind w:right="0"/>
              <w:rPr>
                <w:rFonts w:hint="eastAsia" w:ascii="宋体" w:hAnsi="宋体" w:eastAsia="宋体" w:cs="宋体"/>
                <w:color w:val="auto"/>
                <w:sz w:val="24"/>
                <w:szCs w:val="24"/>
                <w:lang w:eastAsia="zh-CN"/>
              </w:rPr>
            </w:pPr>
            <w:r>
              <w:rPr>
                <w:rFonts w:hint="eastAsia" w:ascii="宋体" w:hAnsi="宋体" w:eastAsia="宋体" w:cs="宋体"/>
                <w:b/>
                <w:color w:val="auto"/>
                <w:kern w:val="0"/>
                <w:sz w:val="24"/>
                <w:szCs w:val="24"/>
              </w:rPr>
              <w:t>营运期工程分析</w:t>
            </w:r>
            <w:r>
              <w:rPr>
                <w:rFonts w:hint="eastAsia" w:ascii="宋体" w:hAnsi="宋体" w:eastAsia="宋体" w:cs="宋体"/>
                <w:color w:val="auto"/>
                <w:lang w:val="en-US" w:eastAsia="zh-CN"/>
              </w:rPr>
              <w:t xml:space="preserve"> </w:t>
            </w:r>
          </w:p>
          <w:p>
            <w:pPr>
              <w:keepNext w:val="0"/>
              <w:keepLines w:val="0"/>
              <w:numPr>
                <w:ilvl w:val="0"/>
                <w:numId w:val="0"/>
              </w:numPr>
              <w:suppressLineNumbers w:val="0"/>
              <w:spacing w:before="0" w:beforeAutospacing="0" w:after="0" w:afterAutospacing="0" w:line="360" w:lineRule="auto"/>
              <w:ind w:left="0" w:leftChars="0" w:right="0" w:rightChars="0" w:firstLine="482" w:firstLineChars="200"/>
              <w:rPr>
                <w:rFonts w:hint="eastAsia"/>
                <w:b/>
                <w:color w:val="auto"/>
                <w:kern w:val="0"/>
                <w:sz w:val="24"/>
                <w:szCs w:val="24"/>
                <w:lang w:val="en-US" w:eastAsia="zh-CN"/>
              </w:rPr>
            </w:pPr>
            <w:r>
              <w:rPr>
                <w:rFonts w:hint="eastAsia"/>
                <w:b/>
                <w:color w:val="auto"/>
                <w:kern w:val="0"/>
                <w:sz w:val="24"/>
                <w:szCs w:val="24"/>
                <w:lang w:val="en-US" w:eastAsia="zh-CN"/>
              </w:rPr>
              <w:t>1、运营期投入产出物料衡算</w:t>
            </w:r>
          </w:p>
          <w:p>
            <w:pPr>
              <w:pStyle w:val="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82"/>
              <w:textAlignment w:val="auto"/>
              <w:rPr>
                <w:rFonts w:hint="eastAsia"/>
                <w:color w:val="auto"/>
                <w:lang w:val="en-US" w:eastAsia="zh-CN"/>
              </w:rPr>
            </w:pPr>
            <w:r>
              <w:rPr>
                <w:rFonts w:hint="eastAsia"/>
                <w:color w:val="auto"/>
                <w:lang w:val="en-US" w:eastAsia="zh-CN"/>
              </w:rPr>
              <w:t>根据业主提供的相关资料，本项目生产过程中物料衡算结果如下：</w:t>
            </w:r>
          </w:p>
          <w:p>
            <w:pPr>
              <w:pStyle w:val="43"/>
              <w:rPr>
                <w:rFonts w:eastAsiaTheme="minorEastAsia"/>
                <w:color w:val="auto"/>
                <w:sz w:val="21"/>
                <w:szCs w:val="21"/>
              </w:rPr>
            </w:pPr>
            <w:r>
              <w:rPr>
                <w:rFonts w:hAnsiTheme="minorEastAsia" w:eastAsiaTheme="minorEastAsia"/>
                <w:color w:val="auto"/>
                <w:sz w:val="21"/>
                <w:szCs w:val="21"/>
              </w:rPr>
              <w:t>表</w:t>
            </w:r>
            <w:r>
              <w:rPr>
                <w:rFonts w:eastAsiaTheme="minorEastAsia"/>
                <w:color w:val="auto"/>
                <w:sz w:val="21"/>
                <w:szCs w:val="21"/>
              </w:rPr>
              <w:t>5-</w:t>
            </w:r>
            <w:r>
              <w:rPr>
                <w:rFonts w:hint="eastAsia" w:eastAsiaTheme="minorEastAsia"/>
                <w:color w:val="auto"/>
                <w:sz w:val="21"/>
                <w:szCs w:val="21"/>
                <w:lang w:val="en-US" w:eastAsia="zh-CN"/>
              </w:rPr>
              <w:t>3</w:t>
            </w:r>
            <w:r>
              <w:rPr>
                <w:rFonts w:hAnsiTheme="minorEastAsia" w:eastAsiaTheme="minorEastAsia"/>
                <w:color w:val="auto"/>
                <w:sz w:val="21"/>
                <w:szCs w:val="21"/>
              </w:rPr>
              <w:t>：项目物料平衡一览表</w:t>
            </w:r>
          </w:p>
          <w:tbl>
            <w:tblPr>
              <w:tblStyle w:val="22"/>
              <w:tblW w:w="90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0"/>
              <w:gridCol w:w="1159"/>
              <w:gridCol w:w="2646"/>
              <w:gridCol w:w="1391"/>
              <w:gridCol w:w="27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269" w:type="dxa"/>
                  <w:gridSpan w:val="2"/>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原料物料量</w:t>
                  </w:r>
                </w:p>
              </w:tc>
              <w:tc>
                <w:tcPr>
                  <w:tcW w:w="4037" w:type="dxa"/>
                  <w:gridSpan w:val="2"/>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产出物品物料量</w:t>
                  </w:r>
                </w:p>
              </w:tc>
              <w:tc>
                <w:tcPr>
                  <w:tcW w:w="2772"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110"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原料名称</w:t>
                  </w:r>
                </w:p>
              </w:tc>
              <w:tc>
                <w:tcPr>
                  <w:tcW w:w="1159"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数量（</w:t>
                  </w:r>
                  <w:r>
                    <w:rPr>
                      <w:color w:val="auto"/>
                      <w:sz w:val="21"/>
                      <w:szCs w:val="21"/>
                      <w:u w:val="single"/>
                    </w:rPr>
                    <w:t>t/a</w:t>
                  </w:r>
                  <w:r>
                    <w:rPr>
                      <w:rFonts w:ascii="宋体" w:hAnsi="宋体"/>
                      <w:color w:val="auto"/>
                      <w:sz w:val="21"/>
                      <w:szCs w:val="21"/>
                      <w:u w:val="single"/>
                    </w:rPr>
                    <w:t>）</w:t>
                  </w:r>
                </w:p>
              </w:tc>
              <w:tc>
                <w:tcPr>
                  <w:tcW w:w="2646"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产物名称</w:t>
                  </w:r>
                </w:p>
              </w:tc>
              <w:tc>
                <w:tcPr>
                  <w:tcW w:w="1391"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数量（</w:t>
                  </w:r>
                  <w:r>
                    <w:rPr>
                      <w:color w:val="auto"/>
                      <w:sz w:val="21"/>
                      <w:szCs w:val="21"/>
                      <w:u w:val="single"/>
                    </w:rPr>
                    <w:t>t/a</w:t>
                  </w:r>
                  <w:r>
                    <w:rPr>
                      <w:rFonts w:ascii="宋体" w:hAnsi="宋体"/>
                      <w:color w:val="auto"/>
                      <w:sz w:val="21"/>
                      <w:szCs w:val="21"/>
                      <w:u w:val="single"/>
                    </w:rPr>
                    <w:t>）</w:t>
                  </w:r>
                </w:p>
              </w:tc>
              <w:tc>
                <w:tcPr>
                  <w:tcW w:w="2772" w:type="dxa"/>
                  <w:vMerge w:val="continue"/>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110"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eastAsia" w:eastAsia="宋体"/>
                      <w:b/>
                      <w:bCs/>
                      <w:color w:val="auto"/>
                      <w:sz w:val="21"/>
                      <w:szCs w:val="21"/>
                      <w:u w:val="single"/>
                      <w:lang w:eastAsia="zh-CN"/>
                    </w:rPr>
                  </w:pPr>
                  <w:r>
                    <w:rPr>
                      <w:rFonts w:hint="eastAsia"/>
                      <w:color w:val="auto"/>
                      <w:sz w:val="21"/>
                      <w:szCs w:val="21"/>
                      <w:u w:val="single"/>
                    </w:rPr>
                    <w:t>竹木</w:t>
                  </w:r>
                  <w:r>
                    <w:rPr>
                      <w:rFonts w:hint="eastAsia"/>
                      <w:color w:val="auto"/>
                      <w:sz w:val="21"/>
                      <w:szCs w:val="21"/>
                      <w:u w:val="single"/>
                      <w:lang w:eastAsia="zh-CN"/>
                    </w:rPr>
                    <w:t>屑</w:t>
                  </w:r>
                </w:p>
              </w:tc>
              <w:tc>
                <w:tcPr>
                  <w:tcW w:w="1159"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lang w:val="en-US" w:eastAsia="zh-CN"/>
                    </w:rPr>
                    <w:t>15</w:t>
                  </w:r>
                  <w:r>
                    <w:rPr>
                      <w:color w:val="auto"/>
                      <w:sz w:val="21"/>
                      <w:szCs w:val="21"/>
                      <w:u w:val="single"/>
                    </w:rPr>
                    <w:t>000</w:t>
                  </w:r>
                </w:p>
              </w:tc>
              <w:tc>
                <w:tcPr>
                  <w:tcW w:w="2646"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eastAsia" w:eastAsia="宋体"/>
                      <w:color w:val="auto"/>
                      <w:sz w:val="21"/>
                      <w:szCs w:val="21"/>
                      <w:u w:val="single"/>
                      <w:lang w:eastAsia="zh-CN"/>
                    </w:rPr>
                  </w:pPr>
                  <w:r>
                    <w:rPr>
                      <w:rFonts w:hint="eastAsia"/>
                      <w:color w:val="auto"/>
                      <w:sz w:val="21"/>
                      <w:szCs w:val="21"/>
                      <w:u w:val="single"/>
                    </w:rPr>
                    <w:t>机制炭</w:t>
                  </w:r>
                  <w:r>
                    <w:rPr>
                      <w:rFonts w:hint="eastAsia"/>
                      <w:color w:val="auto"/>
                      <w:sz w:val="21"/>
                      <w:szCs w:val="21"/>
                      <w:u w:val="single"/>
                      <w:lang w:val="en-US" w:eastAsia="zh-CN"/>
                    </w:rPr>
                    <w:t xml:space="preserve"> </w:t>
                  </w:r>
                </w:p>
              </w:tc>
              <w:tc>
                <w:tcPr>
                  <w:tcW w:w="1391"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lang w:val="en-US" w:eastAsia="zh-CN"/>
                    </w:rPr>
                    <w:t>3</w:t>
                  </w:r>
                  <w:r>
                    <w:rPr>
                      <w:color w:val="auto"/>
                      <w:sz w:val="21"/>
                      <w:szCs w:val="21"/>
                      <w:u w:val="single"/>
                    </w:rPr>
                    <w:t>000</w:t>
                  </w:r>
                </w:p>
              </w:tc>
              <w:tc>
                <w:tcPr>
                  <w:tcW w:w="2772"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外售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1110" w:type="dxa"/>
                  <w:vMerge w:val="continue"/>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b/>
                      <w:bCs/>
                      <w:color w:val="auto"/>
                      <w:sz w:val="21"/>
                      <w:szCs w:val="21"/>
                      <w:u w:val="single"/>
                    </w:rPr>
                  </w:pPr>
                </w:p>
              </w:tc>
              <w:tc>
                <w:tcPr>
                  <w:tcW w:w="11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p>
              </w:tc>
              <w:tc>
                <w:tcPr>
                  <w:tcW w:w="2646"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eastAsia" w:eastAsia="宋体"/>
                      <w:color w:val="auto"/>
                      <w:sz w:val="21"/>
                      <w:szCs w:val="21"/>
                      <w:u w:val="single"/>
                      <w:lang w:eastAsia="zh-CN"/>
                    </w:rPr>
                  </w:pPr>
                  <w:r>
                    <w:rPr>
                      <w:rFonts w:hint="eastAsia"/>
                      <w:color w:val="auto"/>
                      <w:sz w:val="21"/>
                      <w:szCs w:val="21"/>
                      <w:u w:val="single"/>
                    </w:rPr>
                    <w:t>干燥水蒸气</w:t>
                  </w:r>
                  <w:r>
                    <w:rPr>
                      <w:rFonts w:hint="eastAsia"/>
                      <w:color w:val="auto"/>
                      <w:sz w:val="21"/>
                      <w:szCs w:val="21"/>
                      <w:u w:val="single"/>
                      <w:lang w:eastAsia="zh-CN"/>
                    </w:rPr>
                    <w:t>（约占</w:t>
                  </w:r>
                  <w:r>
                    <w:rPr>
                      <w:rFonts w:hint="eastAsia"/>
                      <w:color w:val="auto"/>
                      <w:sz w:val="21"/>
                      <w:szCs w:val="21"/>
                      <w:u w:val="single"/>
                      <w:lang w:val="en-US" w:eastAsia="zh-CN"/>
                    </w:rPr>
                    <w:t>40%</w:t>
                  </w:r>
                  <w:r>
                    <w:rPr>
                      <w:rFonts w:hint="eastAsia"/>
                      <w:color w:val="auto"/>
                      <w:sz w:val="21"/>
                      <w:szCs w:val="21"/>
                      <w:u w:val="single"/>
                      <w:lang w:eastAsia="zh-CN"/>
                    </w:rPr>
                    <w:t>）</w:t>
                  </w:r>
                </w:p>
              </w:tc>
              <w:tc>
                <w:tcPr>
                  <w:tcW w:w="1391"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lang w:val="en-US" w:eastAsia="zh-CN"/>
                    </w:rPr>
                    <w:t>60</w:t>
                  </w:r>
                  <w:r>
                    <w:rPr>
                      <w:color w:val="auto"/>
                      <w:sz w:val="21"/>
                      <w:szCs w:val="21"/>
                      <w:u w:val="single"/>
                    </w:rPr>
                    <w:t>00</w:t>
                  </w:r>
                </w:p>
              </w:tc>
              <w:tc>
                <w:tcPr>
                  <w:tcW w:w="2772"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蒸发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110" w:type="dxa"/>
                  <w:vMerge w:val="continue"/>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b/>
                      <w:bCs/>
                      <w:color w:val="auto"/>
                      <w:sz w:val="21"/>
                      <w:szCs w:val="21"/>
                      <w:u w:val="single"/>
                    </w:rPr>
                  </w:pPr>
                </w:p>
              </w:tc>
              <w:tc>
                <w:tcPr>
                  <w:tcW w:w="11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p>
              </w:tc>
              <w:tc>
                <w:tcPr>
                  <w:tcW w:w="2646"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eastAsia" w:eastAsia="宋体"/>
                      <w:color w:val="auto"/>
                      <w:sz w:val="21"/>
                      <w:szCs w:val="21"/>
                      <w:u w:val="single"/>
                      <w:lang w:eastAsia="zh-CN"/>
                    </w:rPr>
                  </w:pPr>
                  <w:r>
                    <w:rPr>
                      <w:rFonts w:hint="eastAsia"/>
                      <w:color w:val="auto"/>
                      <w:sz w:val="21"/>
                      <w:szCs w:val="21"/>
                      <w:u w:val="single"/>
                    </w:rPr>
                    <w:t>木焦油</w:t>
                  </w:r>
                  <w:r>
                    <w:rPr>
                      <w:rFonts w:hint="eastAsia"/>
                      <w:color w:val="auto"/>
                      <w:sz w:val="21"/>
                      <w:szCs w:val="21"/>
                      <w:u w:val="single"/>
                      <w:lang w:eastAsia="zh-CN"/>
                    </w:rPr>
                    <w:t>、</w:t>
                  </w:r>
                  <w:r>
                    <w:rPr>
                      <w:rFonts w:hint="eastAsia"/>
                      <w:color w:val="auto"/>
                      <w:sz w:val="21"/>
                      <w:szCs w:val="21"/>
                      <w:u w:val="single"/>
                    </w:rPr>
                    <w:t>木醋液</w:t>
                  </w:r>
                </w:p>
              </w:tc>
              <w:tc>
                <w:tcPr>
                  <w:tcW w:w="1391"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default" w:eastAsia="宋体"/>
                      <w:color w:val="auto"/>
                      <w:sz w:val="21"/>
                      <w:szCs w:val="21"/>
                      <w:u w:val="single"/>
                      <w:lang w:val="en-US" w:eastAsia="zh-CN"/>
                    </w:rPr>
                  </w:pPr>
                  <w:r>
                    <w:rPr>
                      <w:rFonts w:hint="eastAsia"/>
                      <w:color w:val="auto"/>
                      <w:sz w:val="21"/>
                      <w:szCs w:val="21"/>
                      <w:u w:val="single"/>
                      <w:lang w:val="en-US" w:eastAsia="zh-CN"/>
                    </w:rPr>
                    <w:t>3000</w:t>
                  </w:r>
                </w:p>
              </w:tc>
              <w:tc>
                <w:tcPr>
                  <w:tcW w:w="2772"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110" w:type="dxa"/>
                  <w:vMerge w:val="continue"/>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b/>
                      <w:bCs/>
                      <w:color w:val="auto"/>
                      <w:sz w:val="21"/>
                      <w:szCs w:val="21"/>
                      <w:u w:val="single"/>
                    </w:rPr>
                  </w:pPr>
                </w:p>
              </w:tc>
              <w:tc>
                <w:tcPr>
                  <w:tcW w:w="11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p>
              </w:tc>
              <w:tc>
                <w:tcPr>
                  <w:tcW w:w="2646"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木煤气</w:t>
                  </w:r>
                </w:p>
              </w:tc>
              <w:tc>
                <w:tcPr>
                  <w:tcW w:w="1391"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default" w:eastAsia="宋体"/>
                      <w:color w:val="auto"/>
                      <w:sz w:val="21"/>
                      <w:szCs w:val="21"/>
                      <w:u w:val="single"/>
                      <w:lang w:val="en-US" w:eastAsia="zh-CN"/>
                    </w:rPr>
                  </w:pPr>
                  <w:r>
                    <w:rPr>
                      <w:rFonts w:hint="eastAsia"/>
                      <w:color w:val="auto"/>
                      <w:sz w:val="21"/>
                      <w:szCs w:val="21"/>
                      <w:u w:val="single"/>
                      <w:lang w:val="en-US" w:eastAsia="zh-CN"/>
                    </w:rPr>
                    <w:t>1500</w:t>
                  </w:r>
                </w:p>
              </w:tc>
              <w:tc>
                <w:tcPr>
                  <w:tcW w:w="2772"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11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outlineLvl w:val="2"/>
                    <w:rPr>
                      <w:b/>
                      <w:bCs/>
                      <w:color w:val="auto"/>
                      <w:sz w:val="21"/>
                      <w:szCs w:val="21"/>
                      <w:u w:val="single"/>
                    </w:rPr>
                  </w:pPr>
                </w:p>
              </w:tc>
              <w:tc>
                <w:tcPr>
                  <w:tcW w:w="11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p>
              </w:tc>
              <w:tc>
                <w:tcPr>
                  <w:tcW w:w="2646"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eastAsia" w:eastAsia="宋体"/>
                      <w:color w:val="auto"/>
                      <w:sz w:val="21"/>
                      <w:szCs w:val="21"/>
                      <w:u w:val="single"/>
                      <w:lang w:eastAsia="zh-CN"/>
                    </w:rPr>
                  </w:pPr>
                  <w:r>
                    <w:rPr>
                      <w:rFonts w:hint="eastAsia"/>
                      <w:color w:val="auto"/>
                      <w:sz w:val="21"/>
                      <w:szCs w:val="21"/>
                      <w:u w:val="single"/>
                    </w:rPr>
                    <w:t>残次品</w:t>
                  </w:r>
                </w:p>
              </w:tc>
              <w:tc>
                <w:tcPr>
                  <w:tcW w:w="1391"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default" w:eastAsia="宋体"/>
                      <w:color w:val="auto"/>
                      <w:sz w:val="21"/>
                      <w:szCs w:val="21"/>
                      <w:u w:val="single"/>
                      <w:lang w:val="en-US" w:eastAsia="zh-CN"/>
                    </w:rPr>
                  </w:pPr>
                  <w:r>
                    <w:rPr>
                      <w:rFonts w:hint="eastAsia"/>
                      <w:color w:val="auto"/>
                      <w:sz w:val="21"/>
                      <w:szCs w:val="21"/>
                      <w:u w:val="single"/>
                      <w:lang w:val="en-US" w:eastAsia="zh-CN"/>
                    </w:rPr>
                    <w:t>60</w:t>
                  </w:r>
                </w:p>
              </w:tc>
              <w:tc>
                <w:tcPr>
                  <w:tcW w:w="2772"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回用作为</w:t>
                  </w:r>
                  <w:r>
                    <w:rPr>
                      <w:rFonts w:hint="eastAsia"/>
                      <w:color w:val="auto"/>
                      <w:sz w:val="21"/>
                      <w:szCs w:val="21"/>
                      <w:u w:val="single"/>
                      <w:lang w:eastAsia="zh-CN"/>
                    </w:rPr>
                    <w:t>燃料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11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outlineLvl w:val="2"/>
                    <w:rPr>
                      <w:b/>
                      <w:bCs/>
                      <w:color w:val="auto"/>
                      <w:sz w:val="21"/>
                      <w:szCs w:val="21"/>
                      <w:u w:val="single"/>
                    </w:rPr>
                  </w:pPr>
                </w:p>
              </w:tc>
              <w:tc>
                <w:tcPr>
                  <w:tcW w:w="11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p>
              </w:tc>
              <w:tc>
                <w:tcPr>
                  <w:tcW w:w="2646"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color w:val="auto"/>
                      <w:sz w:val="21"/>
                      <w:szCs w:val="21"/>
                      <w:u w:val="single"/>
                    </w:rPr>
                  </w:pPr>
                  <w:r>
                    <w:rPr>
                      <w:rFonts w:hint="eastAsia"/>
                      <w:color w:val="auto"/>
                      <w:sz w:val="21"/>
                      <w:szCs w:val="21"/>
                      <w:u w:val="single"/>
                    </w:rPr>
                    <w:t>工艺损耗</w:t>
                  </w:r>
                </w:p>
              </w:tc>
              <w:tc>
                <w:tcPr>
                  <w:tcW w:w="1391"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default" w:eastAsia="宋体"/>
                      <w:color w:val="auto"/>
                      <w:sz w:val="21"/>
                      <w:szCs w:val="21"/>
                      <w:u w:val="single"/>
                      <w:lang w:val="en-US" w:eastAsia="zh-CN"/>
                    </w:rPr>
                  </w:pPr>
                  <w:r>
                    <w:rPr>
                      <w:rFonts w:hint="eastAsia"/>
                      <w:color w:val="auto"/>
                      <w:sz w:val="21"/>
                      <w:szCs w:val="21"/>
                      <w:u w:val="single"/>
                      <w:lang w:val="en-US" w:eastAsia="zh-CN"/>
                    </w:rPr>
                    <w:t>1440</w:t>
                  </w:r>
                </w:p>
              </w:tc>
              <w:tc>
                <w:tcPr>
                  <w:tcW w:w="2772"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default" w:eastAsia="宋体"/>
                      <w:color w:val="auto"/>
                      <w:sz w:val="21"/>
                      <w:szCs w:val="21"/>
                      <w:u w:val="single"/>
                      <w:lang w:val="en-US" w:eastAsia="zh-CN"/>
                    </w:rPr>
                  </w:pPr>
                  <w:r>
                    <w:rPr>
                      <w:rFonts w:hint="eastAsia"/>
                      <w:color w:val="auto"/>
                      <w:sz w:val="21"/>
                      <w:szCs w:val="21"/>
                      <w:u w:val="single"/>
                      <w:lang w:val="en-US" w:eastAsia="zh-CN"/>
                    </w:rPr>
                    <w:t>包括排放的废气及烧损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110" w:type="dxa"/>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outlineLvl w:val="2"/>
                    <w:rPr>
                      <w:rFonts w:hint="eastAsia" w:eastAsia="宋体"/>
                      <w:b/>
                      <w:bCs/>
                      <w:color w:val="auto"/>
                      <w:sz w:val="21"/>
                      <w:szCs w:val="21"/>
                      <w:u w:val="single"/>
                      <w:lang w:eastAsia="zh-CN"/>
                    </w:rPr>
                  </w:pPr>
                  <w:r>
                    <w:rPr>
                      <w:rFonts w:hint="eastAsia"/>
                      <w:b/>
                      <w:bCs/>
                      <w:color w:val="auto"/>
                      <w:sz w:val="21"/>
                      <w:szCs w:val="21"/>
                      <w:u w:val="single"/>
                      <w:lang w:eastAsia="zh-CN"/>
                    </w:rPr>
                    <w:t>合计</w:t>
                  </w:r>
                </w:p>
              </w:tc>
              <w:tc>
                <w:tcPr>
                  <w:tcW w:w="1159" w:type="dxa"/>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outlineLvl w:val="2"/>
                    <w:rPr>
                      <w:rFonts w:hint="default" w:eastAsia="宋体"/>
                      <w:color w:val="auto"/>
                      <w:sz w:val="21"/>
                      <w:szCs w:val="21"/>
                      <w:u w:val="single"/>
                      <w:lang w:val="en-US" w:eastAsia="zh-CN"/>
                    </w:rPr>
                  </w:pPr>
                  <w:r>
                    <w:rPr>
                      <w:rFonts w:hint="eastAsia"/>
                      <w:color w:val="auto"/>
                      <w:sz w:val="21"/>
                      <w:szCs w:val="21"/>
                      <w:u w:val="single"/>
                      <w:lang w:val="en-US" w:eastAsia="zh-CN"/>
                    </w:rPr>
                    <w:t>15000</w:t>
                  </w:r>
                </w:p>
              </w:tc>
              <w:tc>
                <w:tcPr>
                  <w:tcW w:w="2646"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1391"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default"/>
                      <w:color w:val="auto"/>
                      <w:sz w:val="21"/>
                      <w:szCs w:val="21"/>
                      <w:u w:val="single"/>
                      <w:lang w:val="en-US" w:eastAsia="zh-CN"/>
                    </w:rPr>
                  </w:pPr>
                  <w:r>
                    <w:rPr>
                      <w:rFonts w:hint="eastAsia"/>
                      <w:color w:val="auto"/>
                      <w:sz w:val="21"/>
                      <w:szCs w:val="21"/>
                      <w:u w:val="single"/>
                      <w:lang w:val="en-US" w:eastAsia="zh-CN"/>
                    </w:rPr>
                    <w:t>15000</w:t>
                  </w:r>
                </w:p>
              </w:tc>
              <w:tc>
                <w:tcPr>
                  <w:tcW w:w="2772" w:type="dxa"/>
                  <w:vAlign w:val="center"/>
                </w:tcPr>
                <w:p>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outlineLvl w:val="2"/>
                    <w:rPr>
                      <w:rFonts w:hint="eastAsia" w:eastAsia="宋体"/>
                      <w:color w:val="auto"/>
                      <w:sz w:val="21"/>
                      <w:szCs w:val="21"/>
                      <w:u w:val="single"/>
                      <w:lang w:val="en-US" w:eastAsia="zh-CN"/>
                    </w:rPr>
                  </w:pPr>
                  <w:r>
                    <w:rPr>
                      <w:rFonts w:hint="eastAsia"/>
                      <w:color w:val="auto"/>
                      <w:sz w:val="21"/>
                      <w:szCs w:val="21"/>
                      <w:u w:val="single"/>
                      <w:lang w:val="en-US" w:eastAsia="zh-CN"/>
                    </w:rPr>
                    <w:t>/</w:t>
                  </w:r>
                </w:p>
              </w:tc>
            </w:tr>
          </w:tbl>
          <w:p>
            <w:pPr>
              <w:pStyle w:val="2"/>
              <w:keepNext w:val="0"/>
              <w:keepLines w:val="0"/>
              <w:numPr>
                <w:ilvl w:val="0"/>
                <w:numId w:val="0"/>
              </w:numPr>
              <w:suppressLineNumbers w:val="0"/>
              <w:spacing w:before="0" w:beforeAutospacing="0" w:after="0" w:afterAutospacing="0" w:line="360" w:lineRule="auto"/>
              <w:ind w:left="0" w:leftChars="0" w:right="0" w:firstLine="480"/>
              <w:jc w:val="left"/>
              <w:rPr>
                <w:rFonts w:hint="eastAsia"/>
                <w:color w:val="auto"/>
                <w:u w:val="single"/>
                <w:lang w:val="en-US" w:eastAsia="zh-CN"/>
              </w:rPr>
            </w:pPr>
          </w:p>
          <w:p>
            <w:pPr>
              <w:keepNext w:val="0"/>
              <w:keepLines w:val="0"/>
              <w:numPr>
                <w:ilvl w:val="0"/>
                <w:numId w:val="0"/>
              </w:numPr>
              <w:suppressLineNumbers w:val="0"/>
              <w:spacing w:before="0" w:beforeAutospacing="0" w:after="0" w:afterAutospacing="0" w:line="360" w:lineRule="auto"/>
              <w:ind w:right="0"/>
              <w:rPr>
                <w:rFonts w:hint="default" w:ascii="Times New Roman" w:hAnsi="Times New Roman" w:eastAsia="宋体"/>
                <w:b/>
                <w:color w:val="auto"/>
                <w:kern w:val="0"/>
                <w:sz w:val="24"/>
                <w:szCs w:val="24"/>
                <w:lang w:val="en-US" w:eastAsia="zh-CN"/>
              </w:rPr>
            </w:pPr>
            <w:r>
              <w:rPr>
                <w:rFonts w:hint="eastAsia"/>
                <w:b/>
                <w:color w:val="auto"/>
                <w:kern w:val="0"/>
                <w:sz w:val="24"/>
                <w:szCs w:val="24"/>
                <w:lang w:val="en-US" w:eastAsia="zh-CN"/>
              </w:rPr>
              <w:t>2、运营期</w:t>
            </w:r>
            <w:r>
              <w:rPr>
                <w:rFonts w:hint="eastAsia" w:ascii="Times New Roman" w:hAnsi="Times New Roman"/>
                <w:b/>
                <w:color w:val="auto"/>
                <w:kern w:val="0"/>
                <w:sz w:val="24"/>
                <w:szCs w:val="24"/>
              </w:rPr>
              <w:t>主要污染工序</w:t>
            </w:r>
            <w:r>
              <w:rPr>
                <w:rFonts w:hint="eastAsia" w:ascii="Times New Roman" w:hAnsi="Times New Roman"/>
                <w:b/>
                <w:color w:val="auto"/>
                <w:kern w:val="0"/>
                <w:sz w:val="24"/>
                <w:szCs w:val="24"/>
                <w:lang w:val="en-US" w:eastAsia="zh-CN"/>
              </w:rPr>
              <w:t>与污染源强核算</w:t>
            </w:r>
          </w:p>
          <w:p>
            <w:pPr>
              <w:pStyle w:val="2"/>
              <w:keepNext w:val="0"/>
              <w:keepLines w:val="0"/>
              <w:numPr>
                <w:ilvl w:val="0"/>
                <w:numId w:val="0"/>
              </w:numPr>
              <w:suppressLineNumbers w:val="0"/>
              <w:spacing w:before="0" w:beforeAutospacing="0" w:after="0" w:afterAutospacing="0" w:line="360" w:lineRule="auto"/>
              <w:ind w:right="0"/>
              <w:rPr>
                <w:rFonts w:hint="eastAsia"/>
                <w:b/>
                <w:bCs/>
                <w:color w:val="auto"/>
                <w:szCs w:val="20"/>
                <w:lang w:val="en-US" w:eastAsia="zh-CN"/>
              </w:rPr>
            </w:pPr>
            <w:r>
              <w:rPr>
                <w:rFonts w:hint="eastAsia"/>
                <w:b/>
                <w:bCs/>
                <w:color w:val="auto"/>
                <w:sz w:val="24"/>
                <w:szCs w:val="24"/>
                <w:lang w:val="en-US" w:eastAsia="zh-CN"/>
              </w:rPr>
              <w:t>2.1</w:t>
            </w:r>
            <w:r>
              <w:rPr>
                <w:b/>
                <w:bCs/>
                <w:color w:val="auto"/>
                <w:sz w:val="24"/>
              </w:rPr>
              <w:t>营运期废气</w:t>
            </w:r>
          </w:p>
          <w:p>
            <w:pPr>
              <w:pStyle w:val="2"/>
              <w:keepNext w:val="0"/>
              <w:keepLines w:val="0"/>
              <w:numPr>
                <w:ilvl w:val="0"/>
                <w:numId w:val="0"/>
              </w:numPr>
              <w:suppressLineNumbers w:val="0"/>
              <w:spacing w:before="0" w:beforeAutospacing="0" w:after="0" w:afterAutospacing="0" w:line="360" w:lineRule="auto"/>
              <w:ind w:left="0" w:leftChars="0" w:right="0" w:firstLine="480"/>
              <w:jc w:val="left"/>
              <w:rPr>
                <w:rFonts w:hint="eastAsia" w:eastAsiaTheme="minorEastAsia"/>
                <w:color w:val="auto"/>
                <w:sz w:val="24"/>
                <w:szCs w:val="24"/>
                <w:lang w:val="en-US" w:eastAsia="zh-CN"/>
              </w:rPr>
            </w:pPr>
            <w:r>
              <w:rPr>
                <w:rFonts w:hint="eastAsia"/>
                <w:color w:val="auto"/>
                <w:szCs w:val="20"/>
                <w:lang w:val="en-US" w:eastAsia="zh-CN"/>
              </w:rPr>
              <w:t xml:space="preserve">  项目营运期产生的大气污染物主要是原料运输、卸载产生的少量粉尘；原料粉碎过程产生的粉尘；烘干阶段产生的粉尘、SO</w:t>
            </w:r>
            <w:r>
              <w:rPr>
                <w:rFonts w:hint="eastAsia"/>
                <w:color w:val="auto"/>
                <w:szCs w:val="20"/>
                <w:vertAlign w:val="subscript"/>
                <w:lang w:val="en-US" w:eastAsia="zh-CN"/>
              </w:rPr>
              <w:t>2</w:t>
            </w:r>
            <w:r>
              <w:rPr>
                <w:rFonts w:hint="eastAsia"/>
                <w:color w:val="auto"/>
                <w:szCs w:val="20"/>
                <w:lang w:val="en-US" w:eastAsia="zh-CN"/>
              </w:rPr>
              <w:t>、NO</w:t>
            </w:r>
            <w:r>
              <w:rPr>
                <w:rFonts w:hint="eastAsia"/>
                <w:color w:val="auto"/>
                <w:szCs w:val="20"/>
                <w:vertAlign w:val="subscript"/>
                <w:lang w:val="en-US" w:eastAsia="zh-CN"/>
              </w:rPr>
              <w:t>X</w:t>
            </w:r>
            <w:r>
              <w:rPr>
                <w:rFonts w:hint="eastAsia"/>
                <w:color w:val="auto"/>
                <w:szCs w:val="20"/>
                <w:lang w:val="en-US" w:eastAsia="zh-CN"/>
              </w:rPr>
              <w:t>；制棒工序产生的粉尘，炭化炉炭化阶段炭化产生的木煤气、烘干炉烟气。</w:t>
            </w:r>
          </w:p>
          <w:p>
            <w:pPr>
              <w:spacing w:line="360" w:lineRule="auto"/>
              <w:ind w:firstLine="480" w:firstLineChars="200"/>
              <w:jc w:val="left"/>
              <w:rPr>
                <w:color w:val="auto"/>
                <w:sz w:val="24"/>
              </w:rPr>
            </w:pPr>
            <w:r>
              <w:rPr>
                <w:color w:val="auto"/>
                <w:sz w:val="24"/>
              </w:rPr>
              <w:t>（1）</w:t>
            </w:r>
            <w:r>
              <w:rPr>
                <w:rFonts w:hint="eastAsia"/>
                <w:color w:val="auto"/>
                <w:sz w:val="24"/>
              </w:rPr>
              <w:t>运输、装卸粉尘</w:t>
            </w:r>
          </w:p>
          <w:p>
            <w:pPr>
              <w:spacing w:line="360" w:lineRule="auto"/>
              <w:ind w:firstLine="480" w:firstLineChars="200"/>
              <w:jc w:val="left"/>
              <w:rPr>
                <w:rFonts w:hint="eastAsia"/>
                <w:color w:val="auto"/>
                <w:sz w:val="24"/>
                <w:szCs w:val="28"/>
                <w:u w:val="single"/>
              </w:rPr>
            </w:pPr>
            <w:r>
              <w:rPr>
                <w:color w:val="auto"/>
                <w:sz w:val="24"/>
              </w:rPr>
              <w:t>原料卸车在厂房内进行，项目原料含水率在40%左右，湿度较高，储存过程中采取加盖篷布等方式降低无组织粉尘产生量，原料卸车、储存过程产生的无组织粉尘很少</w:t>
            </w:r>
            <w:r>
              <w:rPr>
                <w:rFonts w:hint="eastAsia"/>
                <w:color w:val="auto"/>
                <w:sz w:val="24"/>
                <w:lang w:val="en-US" w:eastAsia="zh-CN"/>
              </w:rPr>
              <w:t>。</w:t>
            </w:r>
            <w:r>
              <w:rPr>
                <w:rFonts w:ascii="宋体" w:hAnsi="宋体"/>
                <w:color w:val="auto"/>
                <w:sz w:val="24"/>
                <w:szCs w:val="28"/>
                <w:u w:val="single"/>
              </w:rPr>
              <w:t>本项目产生的扬尘约为</w:t>
            </w:r>
            <w:r>
              <w:rPr>
                <w:rFonts w:hint="eastAsia"/>
                <w:color w:val="auto"/>
                <w:sz w:val="24"/>
                <w:szCs w:val="28"/>
                <w:u w:val="single"/>
              </w:rPr>
              <w:t>0.</w:t>
            </w:r>
            <w:r>
              <w:rPr>
                <w:rFonts w:hint="eastAsia"/>
                <w:color w:val="auto"/>
                <w:sz w:val="24"/>
                <w:szCs w:val="28"/>
                <w:u w:val="single"/>
                <w:lang w:val="en-US" w:eastAsia="zh-CN"/>
              </w:rPr>
              <w:t>3</w:t>
            </w:r>
            <w:r>
              <w:rPr>
                <w:color w:val="auto"/>
                <w:sz w:val="24"/>
                <w:szCs w:val="28"/>
                <w:u w:val="single"/>
              </w:rPr>
              <w:t>t/a</w:t>
            </w:r>
            <w:r>
              <w:rPr>
                <w:rFonts w:hint="eastAsia"/>
                <w:color w:val="auto"/>
                <w:sz w:val="24"/>
                <w:szCs w:val="28"/>
                <w:u w:val="single"/>
              </w:rPr>
              <w:t>。项目原料仓库，四面封闭</w:t>
            </w:r>
            <w:r>
              <w:rPr>
                <w:rFonts w:ascii="宋体" w:hAnsi="宋体"/>
                <w:color w:val="auto"/>
                <w:sz w:val="24"/>
                <w:szCs w:val="28"/>
                <w:u w:val="single"/>
              </w:rPr>
              <w:t>，同时原料含水率较高，每隔</w:t>
            </w:r>
            <w:r>
              <w:rPr>
                <w:color w:val="auto"/>
                <w:sz w:val="24"/>
                <w:szCs w:val="28"/>
                <w:u w:val="single"/>
              </w:rPr>
              <w:t>2~3</w:t>
            </w:r>
            <w:r>
              <w:rPr>
                <w:rFonts w:ascii="宋体" w:hAnsi="宋体"/>
                <w:color w:val="auto"/>
                <w:sz w:val="24"/>
                <w:szCs w:val="28"/>
                <w:u w:val="single"/>
              </w:rPr>
              <w:t>小时洒水一次</w:t>
            </w:r>
            <w:r>
              <w:rPr>
                <w:rFonts w:hint="eastAsia" w:ascii="宋体" w:hAnsi="宋体"/>
                <w:color w:val="auto"/>
                <w:sz w:val="24"/>
                <w:szCs w:val="28"/>
                <w:u w:val="single"/>
              </w:rPr>
              <w:t>，在此</w:t>
            </w:r>
            <w:r>
              <w:rPr>
                <w:rFonts w:ascii="宋体" w:hAnsi="宋体"/>
                <w:color w:val="auto"/>
                <w:sz w:val="24"/>
                <w:szCs w:val="28"/>
                <w:u w:val="single"/>
              </w:rPr>
              <w:t>基础上粉尘可以</w:t>
            </w:r>
            <w:r>
              <w:rPr>
                <w:rFonts w:hint="eastAsia" w:ascii="宋体" w:hAnsi="宋体"/>
                <w:color w:val="auto"/>
                <w:sz w:val="24"/>
                <w:szCs w:val="28"/>
                <w:u w:val="single"/>
              </w:rPr>
              <w:t>减少</w:t>
            </w:r>
            <w:r>
              <w:rPr>
                <w:color w:val="auto"/>
                <w:sz w:val="24"/>
                <w:szCs w:val="28"/>
                <w:u w:val="single"/>
              </w:rPr>
              <w:t>70</w:t>
            </w:r>
            <w:r>
              <w:rPr>
                <w:rFonts w:ascii="宋体" w:hAnsi="宋体"/>
                <w:color w:val="auto"/>
                <w:sz w:val="24"/>
                <w:szCs w:val="28"/>
                <w:u w:val="single"/>
              </w:rPr>
              <w:t>％，则此粉尘排放量为</w:t>
            </w:r>
            <w:r>
              <w:rPr>
                <w:rFonts w:hint="eastAsia"/>
                <w:color w:val="auto"/>
                <w:sz w:val="24"/>
                <w:szCs w:val="28"/>
                <w:u w:val="single"/>
              </w:rPr>
              <w:t>0.</w:t>
            </w:r>
            <w:r>
              <w:rPr>
                <w:rFonts w:hint="eastAsia"/>
                <w:color w:val="auto"/>
                <w:sz w:val="24"/>
                <w:szCs w:val="28"/>
                <w:u w:val="single"/>
                <w:lang w:val="en-US" w:eastAsia="zh-CN"/>
              </w:rPr>
              <w:t>09</w:t>
            </w:r>
            <w:r>
              <w:rPr>
                <w:color w:val="auto"/>
                <w:sz w:val="24"/>
                <w:szCs w:val="28"/>
                <w:u w:val="single"/>
              </w:rPr>
              <w:t>t</w:t>
            </w:r>
            <w:r>
              <w:rPr>
                <w:rFonts w:hint="eastAsia"/>
                <w:color w:val="auto"/>
                <w:sz w:val="24"/>
                <w:szCs w:val="28"/>
                <w:u w:val="single"/>
              </w:rPr>
              <w:t>。</w:t>
            </w:r>
          </w:p>
          <w:p>
            <w:pPr>
              <w:spacing w:line="360" w:lineRule="auto"/>
              <w:ind w:firstLine="480" w:firstLineChars="200"/>
              <w:rPr>
                <w:color w:val="auto"/>
                <w:sz w:val="24"/>
                <w:szCs w:val="28"/>
                <w:u w:val="single"/>
              </w:rPr>
            </w:pPr>
            <w:r>
              <w:rPr>
                <w:rFonts w:hint="eastAsia"/>
                <w:color w:val="auto"/>
                <w:sz w:val="24"/>
                <w:szCs w:val="28"/>
                <w:u w:val="single"/>
              </w:rPr>
              <w:t>拟采取的措施：</w:t>
            </w:r>
          </w:p>
          <w:p>
            <w:pPr>
              <w:spacing w:line="360" w:lineRule="auto"/>
              <w:ind w:firstLine="480" w:firstLineChars="200"/>
              <w:rPr>
                <w:color w:val="auto"/>
                <w:sz w:val="24"/>
                <w:szCs w:val="28"/>
                <w:u w:val="single"/>
              </w:rPr>
            </w:pPr>
            <w:r>
              <w:rPr>
                <w:color w:val="auto"/>
                <w:sz w:val="24"/>
                <w:szCs w:val="28"/>
                <w:u w:val="single"/>
              </w:rPr>
              <w:fldChar w:fldCharType="begin"/>
            </w:r>
            <w:r>
              <w:rPr>
                <w:color w:val="auto"/>
                <w:sz w:val="24"/>
                <w:szCs w:val="28"/>
                <w:u w:val="single"/>
              </w:rPr>
              <w:instrText xml:space="preserve"> </w:instrText>
            </w:r>
            <w:r>
              <w:rPr>
                <w:rFonts w:hint="eastAsia"/>
                <w:color w:val="auto"/>
                <w:sz w:val="24"/>
                <w:szCs w:val="28"/>
                <w:u w:val="single"/>
              </w:rPr>
              <w:instrText xml:space="preserve">= 1 \* GB3</w:instrText>
            </w:r>
            <w:r>
              <w:rPr>
                <w:color w:val="auto"/>
                <w:sz w:val="24"/>
                <w:szCs w:val="28"/>
                <w:u w:val="single"/>
              </w:rPr>
              <w:instrText xml:space="preserve"> </w:instrText>
            </w:r>
            <w:r>
              <w:rPr>
                <w:color w:val="auto"/>
                <w:sz w:val="24"/>
                <w:szCs w:val="28"/>
                <w:u w:val="single"/>
              </w:rPr>
              <w:fldChar w:fldCharType="separate"/>
            </w:r>
            <w:r>
              <w:rPr>
                <w:rFonts w:hint="eastAsia"/>
                <w:color w:val="auto"/>
                <w:sz w:val="24"/>
                <w:szCs w:val="28"/>
                <w:u w:val="single"/>
              </w:rPr>
              <w:t>①</w:t>
            </w:r>
            <w:r>
              <w:rPr>
                <w:color w:val="auto"/>
                <w:sz w:val="24"/>
                <w:szCs w:val="28"/>
                <w:u w:val="single"/>
              </w:rPr>
              <w:fldChar w:fldCharType="end"/>
            </w:r>
            <w:r>
              <w:rPr>
                <w:rFonts w:hint="eastAsia"/>
                <w:color w:val="auto"/>
                <w:sz w:val="24"/>
                <w:szCs w:val="28"/>
                <w:u w:val="single"/>
              </w:rPr>
              <w:t>原料堆场及周边道路洒水降尘；</w:t>
            </w:r>
          </w:p>
          <w:p>
            <w:pPr>
              <w:spacing w:line="360" w:lineRule="auto"/>
              <w:ind w:firstLine="480" w:firstLineChars="200"/>
              <w:rPr>
                <w:color w:val="auto"/>
                <w:sz w:val="24"/>
                <w:szCs w:val="28"/>
                <w:u w:val="single"/>
              </w:rPr>
            </w:pPr>
            <w:r>
              <w:rPr>
                <w:color w:val="auto"/>
                <w:sz w:val="24"/>
                <w:szCs w:val="28"/>
                <w:u w:val="single"/>
              </w:rPr>
              <w:fldChar w:fldCharType="begin"/>
            </w:r>
            <w:r>
              <w:rPr>
                <w:color w:val="auto"/>
                <w:sz w:val="24"/>
                <w:szCs w:val="28"/>
                <w:u w:val="single"/>
              </w:rPr>
              <w:instrText xml:space="preserve"> </w:instrText>
            </w:r>
            <w:r>
              <w:rPr>
                <w:rFonts w:hint="eastAsia"/>
                <w:color w:val="auto"/>
                <w:sz w:val="24"/>
                <w:szCs w:val="28"/>
                <w:u w:val="single"/>
              </w:rPr>
              <w:instrText xml:space="preserve">= 2 \* GB3</w:instrText>
            </w:r>
            <w:r>
              <w:rPr>
                <w:color w:val="auto"/>
                <w:sz w:val="24"/>
                <w:szCs w:val="28"/>
                <w:u w:val="single"/>
              </w:rPr>
              <w:instrText xml:space="preserve"> </w:instrText>
            </w:r>
            <w:r>
              <w:rPr>
                <w:color w:val="auto"/>
                <w:sz w:val="24"/>
                <w:szCs w:val="28"/>
                <w:u w:val="single"/>
              </w:rPr>
              <w:fldChar w:fldCharType="separate"/>
            </w:r>
            <w:r>
              <w:rPr>
                <w:rFonts w:hint="eastAsia"/>
                <w:color w:val="auto"/>
                <w:sz w:val="24"/>
                <w:szCs w:val="28"/>
                <w:u w:val="single"/>
              </w:rPr>
              <w:t>②</w:t>
            </w:r>
            <w:r>
              <w:rPr>
                <w:color w:val="auto"/>
                <w:sz w:val="24"/>
                <w:szCs w:val="28"/>
                <w:u w:val="single"/>
              </w:rPr>
              <w:fldChar w:fldCharType="end"/>
            </w:r>
            <w:r>
              <w:rPr>
                <w:rFonts w:hint="eastAsia"/>
                <w:color w:val="auto"/>
                <w:sz w:val="24"/>
                <w:szCs w:val="28"/>
                <w:u w:val="single"/>
              </w:rPr>
              <w:t>原料输送时，采用袋装原料，车辆加盖遮布，减少粉尘产生；</w:t>
            </w:r>
          </w:p>
          <w:p>
            <w:pPr>
              <w:spacing w:line="360" w:lineRule="auto"/>
              <w:ind w:firstLine="480" w:firstLineChars="200"/>
              <w:rPr>
                <w:color w:val="auto"/>
                <w:sz w:val="24"/>
                <w:szCs w:val="28"/>
                <w:u w:val="single"/>
              </w:rPr>
            </w:pPr>
            <w:r>
              <w:rPr>
                <w:color w:val="auto"/>
                <w:sz w:val="24"/>
                <w:szCs w:val="28"/>
                <w:u w:val="single"/>
              </w:rPr>
              <w:fldChar w:fldCharType="begin"/>
            </w:r>
            <w:r>
              <w:rPr>
                <w:color w:val="auto"/>
                <w:sz w:val="24"/>
                <w:szCs w:val="28"/>
                <w:u w:val="single"/>
              </w:rPr>
              <w:instrText xml:space="preserve"> </w:instrText>
            </w:r>
            <w:r>
              <w:rPr>
                <w:rFonts w:hint="eastAsia"/>
                <w:color w:val="auto"/>
                <w:sz w:val="24"/>
                <w:szCs w:val="28"/>
                <w:u w:val="single"/>
              </w:rPr>
              <w:instrText xml:space="preserve">= 3 \* GB3</w:instrText>
            </w:r>
            <w:r>
              <w:rPr>
                <w:color w:val="auto"/>
                <w:sz w:val="24"/>
                <w:szCs w:val="28"/>
                <w:u w:val="single"/>
              </w:rPr>
              <w:instrText xml:space="preserve"> </w:instrText>
            </w:r>
            <w:r>
              <w:rPr>
                <w:color w:val="auto"/>
                <w:sz w:val="24"/>
                <w:szCs w:val="28"/>
                <w:u w:val="single"/>
              </w:rPr>
              <w:fldChar w:fldCharType="separate"/>
            </w:r>
            <w:r>
              <w:rPr>
                <w:rFonts w:hint="eastAsia"/>
                <w:color w:val="auto"/>
                <w:sz w:val="24"/>
                <w:szCs w:val="28"/>
                <w:u w:val="single"/>
              </w:rPr>
              <w:t>③</w:t>
            </w:r>
            <w:r>
              <w:rPr>
                <w:color w:val="auto"/>
                <w:sz w:val="24"/>
                <w:szCs w:val="28"/>
                <w:u w:val="single"/>
              </w:rPr>
              <w:fldChar w:fldCharType="end"/>
            </w:r>
            <w:r>
              <w:rPr>
                <w:rFonts w:hint="eastAsia"/>
                <w:color w:val="auto"/>
                <w:sz w:val="24"/>
                <w:szCs w:val="28"/>
                <w:u w:val="single"/>
              </w:rPr>
              <w:t>区内种植滤尘效果较好的乔木。</w:t>
            </w:r>
          </w:p>
          <w:p>
            <w:pPr>
              <w:spacing w:line="360" w:lineRule="auto"/>
              <w:ind w:firstLine="480" w:firstLineChars="200"/>
              <w:rPr>
                <w:rFonts w:hint="eastAsia"/>
                <w:color w:val="auto"/>
                <w:sz w:val="24"/>
                <w:szCs w:val="28"/>
                <w:lang w:val="en-US" w:eastAsia="zh-CN"/>
              </w:rPr>
            </w:pPr>
            <w:r>
              <w:rPr>
                <w:rFonts w:hint="eastAsia"/>
                <w:color w:val="auto"/>
                <w:sz w:val="24"/>
                <w:szCs w:val="28"/>
                <w:u w:val="single"/>
              </w:rPr>
              <w:t>经采取上述措施后，此类粉尘不会对周边环境产生太大影响。</w:t>
            </w:r>
          </w:p>
          <w:p>
            <w:pPr>
              <w:spacing w:line="360" w:lineRule="auto"/>
              <w:ind w:firstLine="480" w:firstLineChars="200"/>
              <w:jc w:val="left"/>
              <w:rPr>
                <w:color w:val="auto"/>
                <w:sz w:val="24"/>
              </w:rPr>
            </w:pPr>
            <w:r>
              <w:rPr>
                <w:color w:val="auto"/>
                <w:sz w:val="24"/>
              </w:rPr>
              <w:t>（2）粉碎粉尘</w:t>
            </w:r>
          </w:p>
          <w:p>
            <w:pPr>
              <w:spacing w:line="360" w:lineRule="auto"/>
              <w:ind w:firstLine="480" w:firstLineChars="200"/>
              <w:jc w:val="both"/>
              <w:rPr>
                <w:rFonts w:hint="eastAsia"/>
                <w:color w:val="auto"/>
                <w:sz w:val="24"/>
                <w:lang w:eastAsia="zh-CN"/>
              </w:rPr>
            </w:pPr>
            <w:r>
              <w:rPr>
                <w:rFonts w:hAnsi="宋体"/>
                <w:color w:val="auto"/>
                <w:sz w:val="24"/>
              </w:rPr>
              <w:t>烘干后的物料经固气分离装置收集，由底部出口进入粉碎机（为密闭设备）粉碎，粉碎后的物料由风机输送至</w:t>
            </w:r>
            <w:r>
              <w:rPr>
                <w:rFonts w:hint="eastAsia" w:hAnsi="宋体"/>
                <w:color w:val="auto"/>
                <w:sz w:val="24"/>
                <w:lang w:eastAsia="zh-CN"/>
              </w:rPr>
              <w:t>旋风分离器中进行固气分离。物料经旋风分离器底下</w:t>
            </w:r>
            <w:r>
              <w:rPr>
                <w:rFonts w:hAnsi="宋体"/>
                <w:color w:val="auto"/>
                <w:sz w:val="24"/>
              </w:rPr>
              <w:t>料仓</w:t>
            </w:r>
            <w:r>
              <w:rPr>
                <w:rFonts w:hint="eastAsia" w:hAnsi="宋体"/>
                <w:color w:val="auto"/>
                <w:sz w:val="24"/>
                <w:lang w:eastAsia="zh-CN"/>
              </w:rPr>
              <w:t>输送至制棒机</w:t>
            </w:r>
            <w:r>
              <w:rPr>
                <w:rFonts w:hAnsi="宋体"/>
                <w:color w:val="auto"/>
                <w:sz w:val="24"/>
              </w:rPr>
              <w:t>内，粉碎产生的粉尘由管道收集后</w:t>
            </w:r>
            <w:r>
              <w:rPr>
                <w:rFonts w:hint="eastAsia"/>
                <w:color w:val="auto"/>
                <w:sz w:val="24"/>
                <w:lang w:eastAsia="zh-CN"/>
              </w:rPr>
              <w:t>排入水雾除尘器</w:t>
            </w:r>
            <w:r>
              <w:rPr>
                <w:rFonts w:hint="eastAsia"/>
                <w:color w:val="auto"/>
                <w:sz w:val="24"/>
                <w:lang w:val="en-US" w:eastAsia="zh-CN"/>
              </w:rPr>
              <w:t>+静电除尘器</w:t>
            </w:r>
            <w:r>
              <w:rPr>
                <w:color w:val="auto"/>
                <w:sz w:val="24"/>
              </w:rPr>
              <w:t>处理后经</w:t>
            </w:r>
            <w:r>
              <w:rPr>
                <w:rFonts w:hint="eastAsia"/>
                <w:color w:val="auto"/>
                <w:sz w:val="24"/>
                <w:lang w:val="en-US" w:eastAsia="zh-CN"/>
              </w:rPr>
              <w:t>15</w:t>
            </w:r>
            <w:r>
              <w:rPr>
                <w:color w:val="auto"/>
                <w:sz w:val="24"/>
              </w:rPr>
              <w:t>m排气筒排放</w:t>
            </w:r>
            <w:r>
              <w:rPr>
                <w:rFonts w:hint="eastAsia"/>
                <w:color w:val="auto"/>
                <w:sz w:val="24"/>
                <w:lang w:eastAsia="zh-CN"/>
              </w:rPr>
              <w:t>。</w:t>
            </w:r>
          </w:p>
          <w:p>
            <w:pPr>
              <w:spacing w:line="360" w:lineRule="auto"/>
              <w:ind w:firstLine="480" w:firstLineChars="200"/>
              <w:jc w:val="both"/>
              <w:rPr>
                <w:rFonts w:hint="eastAsia" w:eastAsia="宋体"/>
                <w:color w:val="auto"/>
                <w:sz w:val="24"/>
                <w:lang w:eastAsia="zh-CN"/>
              </w:rPr>
            </w:pPr>
            <w:r>
              <w:rPr>
                <w:color w:val="auto"/>
                <w:sz w:val="24"/>
              </w:rPr>
              <w:t>该项目粉碎下料工序会产生少量粉尘，类比《</w:t>
            </w:r>
            <w:r>
              <w:rPr>
                <w:rFonts w:hint="eastAsia"/>
                <w:color w:val="auto"/>
                <w:sz w:val="24"/>
              </w:rPr>
              <w:t>郴州邑林生物能源有限公司年产3000吨机制炭项目环境影响报告表</w:t>
            </w:r>
            <w:r>
              <w:rPr>
                <w:color w:val="auto"/>
                <w:sz w:val="24"/>
              </w:rPr>
              <w:t>》，本项目粉尘量按30g/t原料计算，则粉碎粉尘产生量约0.45t/a。</w:t>
            </w:r>
            <w:r>
              <w:rPr>
                <w:rFonts w:hint="eastAsia"/>
                <w:color w:val="auto"/>
                <w:sz w:val="24"/>
              </w:rPr>
              <w:t>水雾</w:t>
            </w:r>
            <w:r>
              <w:rPr>
                <w:rFonts w:hint="eastAsia"/>
                <w:color w:val="auto"/>
                <w:sz w:val="24"/>
                <w:lang w:eastAsia="zh-CN"/>
              </w:rPr>
              <w:t>除尘器</w:t>
            </w:r>
            <w:r>
              <w:rPr>
                <w:color w:val="auto"/>
                <w:sz w:val="24"/>
              </w:rPr>
              <w:t>除尘效率取9</w:t>
            </w:r>
            <w:r>
              <w:rPr>
                <w:rFonts w:hint="eastAsia"/>
                <w:color w:val="auto"/>
                <w:sz w:val="24"/>
                <w:lang w:val="en-US" w:eastAsia="zh-CN"/>
              </w:rPr>
              <w:t>0</w:t>
            </w:r>
            <w:r>
              <w:rPr>
                <w:color w:val="auto"/>
                <w:sz w:val="24"/>
              </w:rPr>
              <w:t>％</w:t>
            </w:r>
            <w:r>
              <w:rPr>
                <w:rFonts w:hint="eastAsia"/>
                <w:color w:val="auto"/>
                <w:sz w:val="24"/>
                <w:lang w:eastAsia="zh-CN"/>
              </w:rPr>
              <w:t>、静电除尘器的处理效率取</w:t>
            </w:r>
            <w:r>
              <w:rPr>
                <w:rFonts w:hint="eastAsia"/>
                <w:color w:val="auto"/>
                <w:sz w:val="24"/>
                <w:lang w:val="en-US" w:eastAsia="zh-CN"/>
              </w:rPr>
              <w:t>95%，粉尘排放量为0.0023t/a</w:t>
            </w:r>
            <w:r>
              <w:rPr>
                <w:rFonts w:hint="eastAsia"/>
                <w:color w:val="auto"/>
                <w:sz w:val="24"/>
                <w:lang w:eastAsia="zh-CN"/>
              </w:rPr>
              <w:t>。</w:t>
            </w:r>
          </w:p>
          <w:p>
            <w:pPr>
              <w:numPr>
                <w:ilvl w:val="0"/>
                <w:numId w:val="6"/>
              </w:numPr>
              <w:spacing w:line="360" w:lineRule="auto"/>
              <w:ind w:firstLine="480" w:firstLineChars="200"/>
              <w:jc w:val="left"/>
              <w:rPr>
                <w:color w:val="auto"/>
                <w:sz w:val="24"/>
              </w:rPr>
            </w:pPr>
            <w:r>
              <w:rPr>
                <w:color w:val="auto"/>
                <w:sz w:val="24"/>
              </w:rPr>
              <w:t>制棒废气</w:t>
            </w:r>
          </w:p>
          <w:p>
            <w:pPr>
              <w:spacing w:line="360" w:lineRule="auto"/>
              <w:ind w:firstLine="480" w:firstLineChars="200"/>
              <w:jc w:val="left"/>
              <w:rPr>
                <w:b/>
                <w:bCs/>
                <w:color w:val="auto"/>
                <w:szCs w:val="21"/>
              </w:rPr>
            </w:pPr>
            <w:r>
              <w:rPr>
                <w:color w:val="auto"/>
                <w:sz w:val="24"/>
                <w:u w:val="none"/>
              </w:rPr>
              <w:t>本</w:t>
            </w:r>
            <w:r>
              <w:rPr>
                <w:rFonts w:hint="eastAsia"/>
                <w:color w:val="auto"/>
                <w:sz w:val="24"/>
                <w:u w:val="none"/>
              </w:rPr>
              <w:t>工序产生的粉尘主要是制棒机制棒时产生的粉尘</w:t>
            </w:r>
            <w:r>
              <w:rPr>
                <w:color w:val="auto"/>
                <w:sz w:val="24"/>
                <w:u w:val="none"/>
              </w:rPr>
              <w:t>，</w:t>
            </w:r>
            <w:r>
              <w:rPr>
                <w:rFonts w:hint="eastAsia"/>
                <w:color w:val="auto"/>
                <w:sz w:val="24"/>
                <w:u w:val="none"/>
              </w:rPr>
              <w:t>根据业主提供资料和</w:t>
            </w:r>
            <w:r>
              <w:rPr>
                <w:color w:val="auto"/>
                <w:sz w:val="24"/>
                <w:u w:val="none"/>
              </w:rPr>
              <w:t>类比</w:t>
            </w:r>
            <w:r>
              <w:rPr>
                <w:rFonts w:hint="eastAsia"/>
                <w:color w:val="auto"/>
                <w:sz w:val="24"/>
                <w:u w:val="none"/>
              </w:rPr>
              <w:t>同类项目，制棒成型阶段产生的粉尘为年产量的0.26%</w:t>
            </w:r>
            <w:r>
              <w:rPr>
                <w:color w:val="auto"/>
                <w:sz w:val="24"/>
                <w:u w:val="none"/>
              </w:rPr>
              <w:t>，</w:t>
            </w:r>
            <w:r>
              <w:rPr>
                <w:rFonts w:hint="eastAsia"/>
                <w:color w:val="auto"/>
                <w:sz w:val="24"/>
                <w:u w:val="none"/>
              </w:rPr>
              <w:t>项目年产机制木炭</w:t>
            </w:r>
            <w:r>
              <w:rPr>
                <w:rFonts w:hint="eastAsia"/>
                <w:color w:val="auto"/>
                <w:sz w:val="24"/>
                <w:u w:val="none"/>
                <w:lang w:val="en-US" w:eastAsia="zh-CN"/>
              </w:rPr>
              <w:t>3</w:t>
            </w:r>
            <w:r>
              <w:rPr>
                <w:rFonts w:hint="eastAsia"/>
                <w:color w:val="auto"/>
                <w:sz w:val="24"/>
                <w:u w:val="none"/>
              </w:rPr>
              <w:t>000t，因此本工序</w:t>
            </w:r>
            <w:r>
              <w:rPr>
                <w:color w:val="auto"/>
                <w:sz w:val="24"/>
                <w:u w:val="none"/>
              </w:rPr>
              <w:t>粉尘产生量约为</w:t>
            </w:r>
            <w:r>
              <w:rPr>
                <w:rFonts w:hint="eastAsia"/>
                <w:color w:val="auto"/>
                <w:sz w:val="24"/>
                <w:u w:val="none"/>
                <w:lang w:val="en-US" w:eastAsia="zh-CN"/>
              </w:rPr>
              <w:t>7.8</w:t>
            </w:r>
            <w:r>
              <w:rPr>
                <w:color w:val="auto"/>
                <w:sz w:val="24"/>
                <w:u w:val="none"/>
              </w:rPr>
              <w:t>t/a，制棒设备在出料口处安装集气罩（集气罩效率不小于90%）对含尘废气进行收集，</w:t>
            </w:r>
            <w:r>
              <w:rPr>
                <w:rFonts w:hint="eastAsia"/>
                <w:color w:val="auto"/>
                <w:sz w:val="24"/>
                <w:u w:val="none"/>
              </w:rPr>
              <w:t>则经集气罩收集到的粉尘量为</w:t>
            </w:r>
            <w:r>
              <w:rPr>
                <w:rFonts w:hint="eastAsia"/>
                <w:color w:val="auto"/>
                <w:sz w:val="24"/>
                <w:u w:val="none"/>
                <w:lang w:val="en-US" w:eastAsia="zh-CN"/>
              </w:rPr>
              <w:t>7.02</w:t>
            </w:r>
            <w:r>
              <w:rPr>
                <w:rFonts w:hint="eastAsia"/>
                <w:color w:val="auto"/>
                <w:sz w:val="24"/>
                <w:u w:val="none"/>
              </w:rPr>
              <w:t>t/a。收集到的粉尘经风机通入</w:t>
            </w:r>
            <w:r>
              <w:rPr>
                <w:color w:val="auto"/>
                <w:sz w:val="24"/>
              </w:rPr>
              <w:t>烘干炉</w:t>
            </w:r>
            <w:r>
              <w:rPr>
                <w:rFonts w:hint="eastAsia"/>
                <w:color w:val="auto"/>
                <w:sz w:val="24"/>
                <w:u w:val="none"/>
              </w:rPr>
              <w:t>内作为生物质燃料燃烧使用，未收集的粉尘量为</w:t>
            </w:r>
            <w:r>
              <w:rPr>
                <w:rFonts w:hint="eastAsia"/>
                <w:color w:val="auto"/>
                <w:sz w:val="24"/>
                <w:u w:val="single"/>
              </w:rPr>
              <w:t>0.</w:t>
            </w:r>
            <w:r>
              <w:rPr>
                <w:rFonts w:hint="eastAsia"/>
                <w:color w:val="auto"/>
                <w:sz w:val="24"/>
                <w:u w:val="single"/>
                <w:lang w:val="en-US" w:eastAsia="zh-CN"/>
              </w:rPr>
              <w:t>78</w:t>
            </w:r>
            <w:r>
              <w:rPr>
                <w:rFonts w:hint="eastAsia"/>
                <w:color w:val="auto"/>
                <w:sz w:val="24"/>
                <w:u w:val="single"/>
              </w:rPr>
              <w:t>t/a</w:t>
            </w:r>
            <w:r>
              <w:rPr>
                <w:rFonts w:hint="eastAsia"/>
                <w:color w:val="auto"/>
                <w:sz w:val="24"/>
                <w:u w:val="none"/>
              </w:rPr>
              <w:t>，无组织排放于车间内</w:t>
            </w:r>
            <w:r>
              <w:rPr>
                <w:color w:val="auto"/>
                <w:sz w:val="24"/>
              </w:rPr>
              <w:t>。</w:t>
            </w:r>
          </w:p>
          <w:p>
            <w:pPr>
              <w:spacing w:line="360" w:lineRule="auto"/>
              <w:ind w:firstLine="480" w:firstLineChars="200"/>
              <w:jc w:val="left"/>
              <w:rPr>
                <w:color w:val="auto"/>
                <w:sz w:val="24"/>
              </w:rPr>
            </w:pPr>
            <w:r>
              <w:rPr>
                <w:color w:val="auto"/>
                <w:sz w:val="24"/>
              </w:rPr>
              <w:t>（4）炭化废气</w:t>
            </w:r>
          </w:p>
          <w:p>
            <w:pPr>
              <w:adjustRightInd w:val="0"/>
              <w:snapToGrid w:val="0"/>
              <w:spacing w:line="360" w:lineRule="auto"/>
              <w:ind w:firstLine="480" w:firstLineChars="200"/>
              <w:rPr>
                <w:color w:val="auto"/>
                <w:sz w:val="24"/>
              </w:rPr>
            </w:pPr>
            <w:r>
              <w:rPr>
                <w:color w:val="auto"/>
                <w:kern w:val="0"/>
                <w:sz w:val="24"/>
              </w:rPr>
              <w:t>炭化又称干馏，为</w:t>
            </w:r>
            <w:r>
              <w:rPr>
                <w:color w:val="auto"/>
                <w:sz w:val="24"/>
              </w:rPr>
              <w:t>将半成品在缺氧的条件下干馏成木炭的过程；其工作原理是半成品在缺氧的条件下燃烧（或表面自燃）而分解生成可燃气体（炭化气），黑色物质-机制炭。机制炭则由炭化炉推出，部分焦油蒸汽随炭化气逸出。炭化气为含CO</w:t>
            </w:r>
            <w:r>
              <w:rPr>
                <w:color w:val="auto"/>
                <w:sz w:val="24"/>
                <w:vertAlign w:val="subscript"/>
              </w:rPr>
              <w:t>2</w:t>
            </w:r>
            <w:r>
              <w:rPr>
                <w:color w:val="auto"/>
                <w:sz w:val="24"/>
              </w:rPr>
              <w:t>、CO、甲烷、乙烯、H</w:t>
            </w:r>
            <w:r>
              <w:rPr>
                <w:color w:val="auto"/>
                <w:sz w:val="24"/>
                <w:vertAlign w:val="subscript"/>
              </w:rPr>
              <w:t>2</w:t>
            </w:r>
            <w:r>
              <w:rPr>
                <w:color w:val="auto"/>
                <w:sz w:val="24"/>
              </w:rPr>
              <w:t>等不可凝成分和可冷凝的焦油、木醋酸蒸汽，木煤气成分、热值与城市人工煤气相似，故称木煤气，热值为12~20MJ/m</w:t>
            </w:r>
            <w:r>
              <w:rPr>
                <w:color w:val="auto"/>
                <w:sz w:val="24"/>
                <w:vertAlign w:val="superscript"/>
              </w:rPr>
              <w:t>3</w:t>
            </w:r>
            <w:r>
              <w:rPr>
                <w:color w:val="auto"/>
                <w:sz w:val="24"/>
              </w:rPr>
              <w:t>，属于中热值可燃气，木煤气中可燃性组分有甲烷、乙烯、H</w:t>
            </w:r>
            <w:r>
              <w:rPr>
                <w:color w:val="auto"/>
                <w:sz w:val="24"/>
                <w:vertAlign w:val="subscript"/>
              </w:rPr>
              <w:t>2</w:t>
            </w:r>
            <w:r>
              <w:rPr>
                <w:color w:val="auto"/>
                <w:sz w:val="24"/>
              </w:rPr>
              <w:t>等，可燃性组分占炭化气总质量的34~37%，其中CO约占25%，甲烷约占9%，乙烯约占1.5%，H</w:t>
            </w:r>
            <w:r>
              <w:rPr>
                <w:color w:val="auto"/>
                <w:sz w:val="24"/>
                <w:vertAlign w:val="subscript"/>
              </w:rPr>
              <w:t>2</w:t>
            </w:r>
            <w:r>
              <w:rPr>
                <w:color w:val="auto"/>
                <w:sz w:val="24"/>
              </w:rPr>
              <w:t>约占0.2%，其余大都为CO</w:t>
            </w:r>
            <w:r>
              <w:rPr>
                <w:color w:val="auto"/>
                <w:sz w:val="24"/>
                <w:vertAlign w:val="subscript"/>
              </w:rPr>
              <w:t>2</w:t>
            </w:r>
            <w:r>
              <w:rPr>
                <w:color w:val="auto"/>
                <w:sz w:val="24"/>
              </w:rPr>
              <w:t>，占60%以上，是一种优质煤气。</w:t>
            </w:r>
          </w:p>
          <w:p>
            <w:pPr>
              <w:adjustRightInd w:val="0"/>
              <w:snapToGrid w:val="0"/>
              <w:spacing w:line="360" w:lineRule="auto"/>
              <w:ind w:firstLine="480" w:firstLineChars="200"/>
              <w:rPr>
                <w:color w:val="auto"/>
                <w:sz w:val="24"/>
              </w:rPr>
            </w:pPr>
            <w:r>
              <w:rPr>
                <w:color w:val="auto"/>
                <w:sz w:val="24"/>
              </w:rPr>
              <w:t>根据曲伟业2011年6月发表在《黑龙江环境通报》上的文章《木炭窑废气治理方法研究》“木煤气：含有CO</w:t>
            </w:r>
            <w:r>
              <w:rPr>
                <w:color w:val="auto"/>
                <w:sz w:val="24"/>
                <w:vertAlign w:val="subscript"/>
              </w:rPr>
              <w:t>2</w:t>
            </w:r>
            <w:r>
              <w:rPr>
                <w:color w:val="auto"/>
                <w:sz w:val="24"/>
              </w:rPr>
              <w:t>、CO、甲烷、乙烯等物质的不能冷凝的气体。产生量约为原料的15%”。本项目原料（15000t）经粉碎烘干后，</w:t>
            </w:r>
            <w:r>
              <w:rPr>
                <w:rFonts w:hint="eastAsia"/>
                <w:color w:val="auto"/>
                <w:sz w:val="24"/>
                <w:u w:val="single"/>
                <w:lang w:eastAsia="zh-CN"/>
              </w:rPr>
              <w:t>类比《郴州邑林生物能源有限公司年产3000吨机制炭项目环境影响报告表》，原料经粉碎烘干后原料</w:t>
            </w:r>
            <w:r>
              <w:rPr>
                <w:color w:val="auto"/>
                <w:sz w:val="24"/>
              </w:rPr>
              <w:t>水分由40%降为10%，进入炭化窑的干燥料约重10000t，则木煤气产生量约为1500t/a。密度约0.5kg/Nm</w:t>
            </w:r>
            <w:r>
              <w:rPr>
                <w:color w:val="auto"/>
                <w:sz w:val="24"/>
                <w:vertAlign w:val="superscript"/>
              </w:rPr>
              <w:t>3</w:t>
            </w:r>
            <w:r>
              <w:rPr>
                <w:color w:val="auto"/>
                <w:sz w:val="24"/>
              </w:rPr>
              <w:t>，则木煤气产生量为300万m</w:t>
            </w:r>
            <w:r>
              <w:rPr>
                <w:color w:val="auto"/>
                <w:sz w:val="24"/>
                <w:vertAlign w:val="superscript"/>
              </w:rPr>
              <w:t>3</w:t>
            </w:r>
            <w:r>
              <w:rPr>
                <w:color w:val="auto"/>
                <w:sz w:val="24"/>
              </w:rPr>
              <w:t>。</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kern w:val="0"/>
                <w:sz w:val="24"/>
                <w:szCs w:val="32"/>
              </w:rPr>
            </w:pPr>
            <w:r>
              <w:rPr>
                <w:rFonts w:hint="eastAsia"/>
                <w:color w:val="auto"/>
                <w:kern w:val="0"/>
                <w:sz w:val="24"/>
                <w:szCs w:val="32"/>
              </w:rPr>
              <w:t>目前国内炭化尾气处理采用的方法主要有冷凝法和焚烧法两种方法。</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kern w:val="0"/>
                <w:sz w:val="24"/>
                <w:szCs w:val="32"/>
              </w:rPr>
            </w:pPr>
            <w:r>
              <w:rPr>
                <w:rFonts w:hint="eastAsia"/>
                <w:color w:val="auto"/>
                <w:kern w:val="0"/>
                <w:sz w:val="24"/>
                <w:szCs w:val="32"/>
              </w:rPr>
              <w:t>A、冷凝法：利用冷却方法将炭化尾气中蒸汽状态的污染物冷凝分离出来，部分沸点较高的</w:t>
            </w:r>
            <w:r>
              <w:rPr>
                <w:rFonts w:hint="eastAsia"/>
                <w:color w:val="auto"/>
                <w:kern w:val="0"/>
                <w:sz w:val="24"/>
                <w:szCs w:val="32"/>
                <w:lang w:eastAsia="zh-CN"/>
              </w:rPr>
              <w:t>木</w:t>
            </w:r>
            <w:r>
              <w:rPr>
                <w:rFonts w:hint="eastAsia"/>
                <w:color w:val="auto"/>
                <w:kern w:val="0"/>
                <w:sz w:val="24"/>
                <w:szCs w:val="32"/>
              </w:rPr>
              <w:t>焦油、</w:t>
            </w:r>
            <w:r>
              <w:rPr>
                <w:rFonts w:hint="eastAsia"/>
                <w:color w:val="auto"/>
                <w:kern w:val="0"/>
                <w:sz w:val="24"/>
                <w:szCs w:val="32"/>
                <w:lang w:eastAsia="zh-CN"/>
              </w:rPr>
              <w:t>木</w:t>
            </w:r>
            <w:r>
              <w:rPr>
                <w:rFonts w:hint="eastAsia"/>
                <w:color w:val="auto"/>
                <w:kern w:val="0"/>
                <w:sz w:val="24"/>
                <w:szCs w:val="32"/>
              </w:rPr>
              <w:t>醋液初步冷凝成液体，经收集管流入收集桶，冷凝后的烟气（主要为可燃气）向上排出。</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kern w:val="0"/>
                <w:sz w:val="24"/>
                <w:szCs w:val="32"/>
              </w:rPr>
            </w:pPr>
            <w:r>
              <w:rPr>
                <w:rFonts w:hint="eastAsia"/>
                <w:color w:val="auto"/>
                <w:kern w:val="0"/>
                <w:sz w:val="24"/>
                <w:szCs w:val="32"/>
              </w:rPr>
              <w:t>B、焚烧法：炭化尾气通过焚烧装置高温分解进行无害化焚烧处理，</w:t>
            </w:r>
            <w:r>
              <w:rPr>
                <w:rFonts w:hint="eastAsia"/>
                <w:color w:val="auto"/>
                <w:kern w:val="0"/>
                <w:sz w:val="24"/>
                <w:szCs w:val="32"/>
                <w:lang w:eastAsia="zh-CN"/>
              </w:rPr>
              <w:t>木</w:t>
            </w:r>
            <w:r>
              <w:rPr>
                <w:rFonts w:hint="eastAsia"/>
                <w:color w:val="auto"/>
                <w:kern w:val="0"/>
                <w:sz w:val="24"/>
                <w:szCs w:val="32"/>
              </w:rPr>
              <w:t>焦油和</w:t>
            </w:r>
            <w:r>
              <w:rPr>
                <w:rFonts w:hint="eastAsia"/>
                <w:color w:val="auto"/>
                <w:kern w:val="0"/>
                <w:sz w:val="24"/>
                <w:szCs w:val="32"/>
                <w:lang w:eastAsia="zh-CN"/>
              </w:rPr>
              <w:t>木</w:t>
            </w:r>
            <w:r>
              <w:rPr>
                <w:rFonts w:hint="eastAsia"/>
                <w:color w:val="auto"/>
                <w:kern w:val="0"/>
                <w:sz w:val="24"/>
                <w:szCs w:val="32"/>
              </w:rPr>
              <w:t>醋液是一种含有烃类、酚类较高的有机化合物，沸点为200~220℃，炭化热解温度为160~450℃， 因此在炭化过程中是以气态形式存在；可燃气主要成分为CO</w:t>
            </w:r>
            <w:r>
              <w:rPr>
                <w:rFonts w:hint="eastAsia"/>
                <w:color w:val="auto"/>
                <w:kern w:val="0"/>
                <w:sz w:val="24"/>
                <w:szCs w:val="32"/>
                <w:lang w:eastAsia="zh-CN"/>
              </w:rPr>
              <w:t>、</w:t>
            </w:r>
            <w:r>
              <w:rPr>
                <w:rFonts w:hint="eastAsia"/>
                <w:color w:val="auto"/>
                <w:kern w:val="0"/>
                <w:sz w:val="24"/>
                <w:szCs w:val="32"/>
              </w:rPr>
              <w:t>CH</w:t>
            </w:r>
            <w:r>
              <w:rPr>
                <w:rFonts w:hint="eastAsia"/>
                <w:color w:val="auto"/>
                <w:kern w:val="0"/>
                <w:sz w:val="24"/>
                <w:szCs w:val="32"/>
                <w:vertAlign w:val="subscript"/>
              </w:rPr>
              <w:t>4</w:t>
            </w:r>
            <w:r>
              <w:rPr>
                <w:rFonts w:hint="eastAsia"/>
                <w:color w:val="auto"/>
                <w:kern w:val="0"/>
                <w:sz w:val="24"/>
                <w:szCs w:val="32"/>
              </w:rPr>
              <w:t>等。</w:t>
            </w:r>
            <w:r>
              <w:rPr>
                <w:rFonts w:hint="eastAsia"/>
                <w:color w:val="auto"/>
                <w:kern w:val="0"/>
                <w:sz w:val="24"/>
                <w:szCs w:val="32"/>
                <w:lang w:eastAsia="zh-CN"/>
              </w:rPr>
              <w:t>在</w:t>
            </w:r>
            <w:r>
              <w:rPr>
                <w:rFonts w:hint="eastAsia"/>
                <w:color w:val="auto"/>
                <w:kern w:val="0"/>
                <w:sz w:val="24"/>
                <w:szCs w:val="32"/>
              </w:rPr>
              <w:t>氧气充足的情况下，炭化尾气高温燃烧后生成CO</w:t>
            </w:r>
            <w:r>
              <w:rPr>
                <w:rFonts w:hint="eastAsia"/>
                <w:color w:val="auto"/>
                <w:kern w:val="0"/>
                <w:sz w:val="24"/>
                <w:szCs w:val="32"/>
                <w:vertAlign w:val="subscript"/>
              </w:rPr>
              <w:t>2</w:t>
            </w:r>
            <w:r>
              <w:rPr>
                <w:rFonts w:hint="eastAsia"/>
                <w:color w:val="auto"/>
                <w:kern w:val="0"/>
                <w:sz w:val="24"/>
                <w:szCs w:val="32"/>
              </w:rPr>
              <w:t>和H</w:t>
            </w:r>
            <w:r>
              <w:rPr>
                <w:rFonts w:hint="eastAsia"/>
                <w:color w:val="auto"/>
                <w:kern w:val="0"/>
                <w:sz w:val="24"/>
                <w:szCs w:val="32"/>
                <w:vertAlign w:val="subscript"/>
              </w:rPr>
              <w:t>2</w:t>
            </w:r>
            <w:r>
              <w:rPr>
                <w:rFonts w:hint="eastAsia"/>
                <w:color w:val="auto"/>
                <w:kern w:val="0"/>
                <w:sz w:val="24"/>
                <w:szCs w:val="32"/>
              </w:rPr>
              <w:t>O。</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kern w:val="0"/>
                <w:sz w:val="24"/>
                <w:szCs w:val="32"/>
              </w:rPr>
            </w:pPr>
            <w:r>
              <w:rPr>
                <w:rFonts w:hint="eastAsia"/>
                <w:color w:val="auto"/>
                <w:kern w:val="0"/>
                <w:sz w:val="24"/>
                <w:szCs w:val="32"/>
              </w:rPr>
              <w:t>本项目采取焚烧法处理炭化废气，炭化废气经保温烟道引至烘干机燃烧炉充分燃烧，有效利用可燃气，同时利用燃烧产生的高温分解粗</w:t>
            </w:r>
            <w:r>
              <w:rPr>
                <w:rFonts w:hint="eastAsia"/>
                <w:color w:val="auto"/>
                <w:kern w:val="0"/>
                <w:sz w:val="24"/>
                <w:szCs w:val="32"/>
                <w:lang w:eastAsia="zh-CN"/>
              </w:rPr>
              <w:t>木</w:t>
            </w:r>
            <w:r>
              <w:rPr>
                <w:rFonts w:hint="eastAsia"/>
                <w:color w:val="auto"/>
                <w:kern w:val="0"/>
                <w:sz w:val="24"/>
                <w:szCs w:val="32"/>
              </w:rPr>
              <w:t>焦油和粗</w:t>
            </w:r>
            <w:r>
              <w:rPr>
                <w:rFonts w:hint="eastAsia"/>
                <w:color w:val="auto"/>
                <w:kern w:val="0"/>
                <w:sz w:val="24"/>
                <w:szCs w:val="32"/>
                <w:lang w:eastAsia="zh-CN"/>
              </w:rPr>
              <w:t>木</w:t>
            </w:r>
            <w:r>
              <w:rPr>
                <w:rFonts w:hint="eastAsia"/>
                <w:color w:val="auto"/>
                <w:kern w:val="0"/>
                <w:sz w:val="24"/>
                <w:szCs w:val="32"/>
              </w:rPr>
              <w:t>醋液，炭化废气经完全燃烧后仅生成二氧化碳和水，基本不会改变烘干机燃烧炉原有大气污染物的排放情况。</w:t>
            </w:r>
          </w:p>
          <w:p>
            <w:pPr>
              <w:adjustRightInd w:val="0"/>
              <w:snapToGrid w:val="0"/>
              <w:spacing w:line="360" w:lineRule="auto"/>
              <w:ind w:left="420" w:leftChars="200"/>
              <w:rPr>
                <w:color w:val="auto"/>
                <w:sz w:val="24"/>
              </w:rPr>
            </w:pPr>
            <w:r>
              <w:rPr>
                <w:color w:val="auto"/>
                <w:sz w:val="24"/>
                <w:szCs w:val="32"/>
              </w:rPr>
              <w:t>（5）烘干废气</w:t>
            </w:r>
          </w:p>
          <w:p>
            <w:pPr>
              <w:adjustRightInd w:val="0"/>
              <w:snapToGrid w:val="0"/>
              <w:spacing w:line="360" w:lineRule="auto"/>
              <w:ind w:firstLine="480" w:firstLineChars="200"/>
              <w:rPr>
                <w:color w:val="auto"/>
                <w:sz w:val="24"/>
              </w:rPr>
            </w:pPr>
            <w:r>
              <w:rPr>
                <w:color w:val="auto"/>
                <w:sz w:val="24"/>
              </w:rPr>
              <w:t>烘干工序燃用炭化过程中产生的木煤气，添加少量</w:t>
            </w:r>
            <w:r>
              <w:rPr>
                <w:rFonts w:hint="eastAsia"/>
                <w:color w:val="auto"/>
                <w:sz w:val="24"/>
                <w:lang w:eastAsia="zh-CN"/>
              </w:rPr>
              <w:t>生物质燃料</w:t>
            </w:r>
            <w:r>
              <w:rPr>
                <w:color w:val="auto"/>
                <w:sz w:val="24"/>
              </w:rPr>
              <w:t>作为燃料引燃烘干机配套烘干炉中的木煤气，原料烘干过程中与燃烧烟气混合，产生烘干粉尘，烘干废气由燃烧废气（炭化气燃烧废气、生物质燃烧废气）和烘干粉尘组成。</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烘干粉尘</w:t>
            </w:r>
          </w:p>
          <w:p>
            <w:pPr>
              <w:pStyle w:val="54"/>
              <w:spacing w:line="360" w:lineRule="auto"/>
              <w:ind w:firstLine="480"/>
              <w:jc w:val="both"/>
              <w:rPr>
                <w:rFonts w:ascii="Times New Roman" w:eastAsia="宋体"/>
                <w:color w:val="auto"/>
                <w:sz w:val="24"/>
                <w:szCs w:val="24"/>
              </w:rPr>
            </w:pPr>
            <w:r>
              <w:rPr>
                <w:rFonts w:ascii="Times New Roman" w:eastAsia="宋体"/>
                <w:color w:val="auto"/>
                <w:sz w:val="24"/>
              </w:rPr>
              <w:t>烘干炉中物料在风力作用下会产生粉尘，随烘干烟气一同排出，夹带粉尘的废气（烘干粉尘）</w:t>
            </w:r>
            <w:r>
              <w:rPr>
                <w:rFonts w:hint="eastAsia" w:ascii="Times New Roman" w:eastAsia="宋体"/>
                <w:color w:val="auto"/>
                <w:sz w:val="24"/>
                <w:lang w:eastAsia="zh-CN"/>
              </w:rPr>
              <w:t>经旋风分离器固气分离后</w:t>
            </w:r>
            <w:r>
              <w:rPr>
                <w:rFonts w:ascii="Times New Roman" w:eastAsia="宋体"/>
                <w:color w:val="auto"/>
                <w:sz w:val="24"/>
              </w:rPr>
              <w:t>引入</w:t>
            </w:r>
            <w:r>
              <w:rPr>
                <w:rFonts w:hint="eastAsia" w:ascii="Times New Roman" w:eastAsia="宋体"/>
                <w:color w:val="auto"/>
                <w:sz w:val="24"/>
              </w:rPr>
              <w:t>水雾</w:t>
            </w:r>
            <w:r>
              <w:rPr>
                <w:rFonts w:hint="eastAsia" w:ascii="Times New Roman" w:eastAsia="宋体"/>
                <w:color w:val="auto"/>
                <w:sz w:val="24"/>
                <w:lang w:eastAsia="zh-CN"/>
              </w:rPr>
              <w:t>除尘器</w:t>
            </w:r>
            <w:r>
              <w:rPr>
                <w:rFonts w:hint="eastAsia" w:ascii="Times New Roman" w:eastAsia="宋体"/>
                <w:color w:val="auto"/>
                <w:sz w:val="24"/>
                <w:lang w:val="en-US" w:eastAsia="zh-CN"/>
              </w:rPr>
              <w:t>+静电除尘器</w:t>
            </w:r>
            <w:r>
              <w:rPr>
                <w:rFonts w:ascii="Times New Roman" w:eastAsia="宋体"/>
                <w:color w:val="auto"/>
                <w:sz w:val="24"/>
              </w:rPr>
              <w:t>处理后通过</w:t>
            </w:r>
            <w:r>
              <w:rPr>
                <w:rFonts w:hint="eastAsia" w:ascii="Times New Roman" w:eastAsia="宋体"/>
                <w:color w:val="auto"/>
                <w:sz w:val="24"/>
                <w:lang w:val="en-US" w:eastAsia="zh-CN"/>
              </w:rPr>
              <w:t>15</w:t>
            </w:r>
            <w:r>
              <w:rPr>
                <w:rFonts w:ascii="Times New Roman" w:eastAsia="宋体"/>
                <w:color w:val="auto"/>
                <w:sz w:val="24"/>
              </w:rPr>
              <w:t>m高排气筒排放。参考《逸散性工业粉尘控制技术》对谷物干燥时的粉尘产生系数调查，按2.0kg/t原料计算产尘量，本项目进行烘</w:t>
            </w:r>
            <w:r>
              <w:rPr>
                <w:rFonts w:ascii="Times New Roman" w:eastAsia="宋体"/>
                <w:color w:val="auto"/>
                <w:sz w:val="24"/>
              </w:rPr>
              <w:t>干的物料约为15000t/a，则烘干过程产尘量约30t/a。</w:t>
            </w:r>
            <w:r>
              <w:rPr>
                <w:rFonts w:hint="eastAsia" w:ascii="Times New Roman" w:eastAsia="宋体"/>
                <w:color w:val="auto"/>
                <w:sz w:val="24"/>
              </w:rPr>
              <w:t>水雾除尘器除尘效率取90%，静电除尘器除尘效率取95%，</w:t>
            </w:r>
            <w:r>
              <w:rPr>
                <w:rFonts w:ascii="Times New Roman" w:eastAsia="宋体"/>
                <w:color w:val="auto"/>
                <w:sz w:val="24"/>
                <w:szCs w:val="24"/>
              </w:rPr>
              <w:t>处理后粉尘排放量约为</w:t>
            </w:r>
            <w:r>
              <w:rPr>
                <w:rFonts w:hint="eastAsia" w:ascii="Times New Roman" w:eastAsia="宋体"/>
                <w:color w:val="auto"/>
                <w:sz w:val="24"/>
                <w:szCs w:val="24"/>
                <w:u w:val="single"/>
                <w:lang w:val="en-US" w:eastAsia="zh-CN"/>
              </w:rPr>
              <w:t>0.15</w:t>
            </w:r>
            <w:r>
              <w:rPr>
                <w:rFonts w:ascii="Times New Roman" w:eastAsia="宋体"/>
                <w:color w:val="auto"/>
                <w:sz w:val="24"/>
                <w:szCs w:val="24"/>
              </w:rPr>
              <w:t>t/a（</w:t>
            </w:r>
            <w:r>
              <w:rPr>
                <w:rFonts w:hint="eastAsia" w:ascii="Times New Roman" w:eastAsia="宋体"/>
                <w:color w:val="auto"/>
                <w:sz w:val="24"/>
                <w:szCs w:val="24"/>
                <w:u w:val="single"/>
                <w:lang w:val="en-US" w:eastAsia="zh-CN"/>
              </w:rPr>
              <w:t>0.021</w:t>
            </w:r>
            <w:r>
              <w:rPr>
                <w:rFonts w:ascii="Times New Roman" w:eastAsia="宋体"/>
                <w:color w:val="auto"/>
                <w:sz w:val="24"/>
                <w:szCs w:val="24"/>
              </w:rPr>
              <w:t>kg/h）。</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木煤气燃烧废气</w:t>
            </w:r>
          </w:p>
          <w:p>
            <w:pPr>
              <w:spacing w:line="360" w:lineRule="auto"/>
              <w:ind w:firstLine="480" w:firstLineChars="200"/>
              <w:rPr>
                <w:rFonts w:ascii="Times New Roman" w:hAnsi="Times New Roman" w:eastAsia="宋体" w:cs="Times New Roman"/>
                <w:b/>
                <w:color w:val="auto"/>
                <w:sz w:val="21"/>
                <w:szCs w:val="21"/>
              </w:rPr>
            </w:pPr>
            <w:r>
              <w:rPr>
                <w:color w:val="auto"/>
                <w:sz w:val="24"/>
              </w:rPr>
              <w:t>木煤气燃烧废气污染物参照煤气进行核算，根据《第一次全国污染源普查工业污染源产排污系数手册（第十分册：4430热力生产和供应行业 工业锅炉（热力生产和供应行业）产排污系数表）、《环境保护实用数据手册》，计算本项目木煤气燃烧废气产污情况。</w:t>
            </w:r>
          </w:p>
          <w:p>
            <w:pPr>
              <w:pStyle w:val="8"/>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5-4</w:t>
            </w:r>
            <w:r>
              <w:rPr>
                <w:rFonts w:ascii="Times New Roman" w:hAnsi="Times New Roman" w:eastAsia="宋体" w:cs="Times New Roman"/>
                <w:b/>
                <w:color w:val="auto"/>
                <w:sz w:val="21"/>
                <w:szCs w:val="21"/>
              </w:rPr>
              <w:t xml:space="preserve">  木煤气燃烧产排污系数表</w:t>
            </w:r>
          </w:p>
          <w:tbl>
            <w:tblPr>
              <w:tblStyle w:val="22"/>
              <w:tblW w:w="907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1"/>
              <w:gridCol w:w="1042"/>
              <w:gridCol w:w="862"/>
              <w:gridCol w:w="807"/>
              <w:gridCol w:w="1355"/>
              <w:gridCol w:w="2514"/>
              <w:gridCol w:w="13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141"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042"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w:t>
                  </w:r>
                </w:p>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862"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807"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规模等级</w:t>
                  </w:r>
                </w:p>
              </w:tc>
              <w:tc>
                <w:tcPr>
                  <w:tcW w:w="1355"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w:t>
                  </w:r>
                </w:p>
              </w:tc>
              <w:tc>
                <w:tcPr>
                  <w:tcW w:w="251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35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w:t>
                  </w:r>
                </w:p>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1141" w:type="dxa"/>
                  <w:vMerge w:val="restart"/>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蒸气/热</w:t>
                  </w:r>
                </w:p>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水/其他</w:t>
                  </w:r>
                </w:p>
              </w:tc>
              <w:tc>
                <w:tcPr>
                  <w:tcW w:w="1042" w:type="dxa"/>
                  <w:vMerge w:val="restart"/>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木煤气</w:t>
                  </w:r>
                </w:p>
              </w:tc>
              <w:tc>
                <w:tcPr>
                  <w:tcW w:w="862" w:type="dxa"/>
                  <w:vMerge w:val="restart"/>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室燃炉</w:t>
                  </w:r>
                </w:p>
              </w:tc>
              <w:tc>
                <w:tcPr>
                  <w:tcW w:w="807" w:type="dxa"/>
                  <w:vMerge w:val="restart"/>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w:t>
                  </w:r>
                </w:p>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1355"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工业废气量</w:t>
                  </w:r>
                </w:p>
              </w:tc>
              <w:tc>
                <w:tcPr>
                  <w:tcW w:w="251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标立方米/万立方米-原料</w:t>
                  </w:r>
                </w:p>
              </w:tc>
              <w:tc>
                <w:tcPr>
                  <w:tcW w:w="135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58943.09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141" w:type="dxa"/>
                  <w:vMerge w:val="continue"/>
                  <w:noWrap w:val="0"/>
                  <w:vAlign w:val="center"/>
                </w:tcPr>
                <w:p>
                  <w:pPr>
                    <w:pStyle w:val="53"/>
                    <w:rPr>
                      <w:rFonts w:hint="default" w:ascii="Times New Roman" w:hAnsi="Times New Roman" w:eastAsia="宋体" w:cs="Times New Roman"/>
                      <w:color w:val="auto"/>
                      <w:sz w:val="21"/>
                      <w:szCs w:val="21"/>
                    </w:rPr>
                  </w:pPr>
                </w:p>
              </w:tc>
              <w:tc>
                <w:tcPr>
                  <w:tcW w:w="1042" w:type="dxa"/>
                  <w:vMerge w:val="continue"/>
                  <w:noWrap w:val="0"/>
                  <w:vAlign w:val="center"/>
                </w:tcPr>
                <w:p>
                  <w:pPr>
                    <w:pStyle w:val="53"/>
                    <w:rPr>
                      <w:rFonts w:hint="default" w:ascii="Times New Roman" w:hAnsi="Times New Roman" w:eastAsia="宋体" w:cs="Times New Roman"/>
                      <w:color w:val="auto"/>
                      <w:sz w:val="21"/>
                      <w:szCs w:val="21"/>
                    </w:rPr>
                  </w:pPr>
                </w:p>
              </w:tc>
              <w:tc>
                <w:tcPr>
                  <w:tcW w:w="862" w:type="dxa"/>
                  <w:vMerge w:val="continue"/>
                  <w:noWrap w:val="0"/>
                  <w:vAlign w:val="center"/>
                </w:tcPr>
                <w:p>
                  <w:pPr>
                    <w:pStyle w:val="53"/>
                    <w:rPr>
                      <w:rFonts w:hint="default" w:ascii="Times New Roman" w:hAnsi="Times New Roman" w:eastAsia="宋体" w:cs="Times New Roman"/>
                      <w:color w:val="auto"/>
                      <w:sz w:val="21"/>
                      <w:szCs w:val="21"/>
                    </w:rPr>
                  </w:pPr>
                </w:p>
              </w:tc>
              <w:tc>
                <w:tcPr>
                  <w:tcW w:w="807" w:type="dxa"/>
                  <w:vMerge w:val="continue"/>
                  <w:noWrap w:val="0"/>
                  <w:vAlign w:val="center"/>
                </w:tcPr>
                <w:p>
                  <w:pPr>
                    <w:pStyle w:val="53"/>
                    <w:rPr>
                      <w:rFonts w:hint="default" w:ascii="Times New Roman" w:hAnsi="Times New Roman" w:eastAsia="宋体" w:cs="Times New Roman"/>
                      <w:color w:val="auto"/>
                      <w:sz w:val="21"/>
                      <w:szCs w:val="21"/>
                    </w:rPr>
                  </w:pPr>
                </w:p>
              </w:tc>
              <w:tc>
                <w:tcPr>
                  <w:tcW w:w="1355"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w:t>
                  </w:r>
                </w:p>
              </w:tc>
              <w:tc>
                <w:tcPr>
                  <w:tcW w:w="251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千克/万立方米-原料</w:t>
                  </w:r>
                </w:p>
              </w:tc>
              <w:tc>
                <w:tcPr>
                  <w:tcW w:w="135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0.02S</w:t>
                  </w:r>
                  <w:r>
                    <w:rPr>
                      <w:rFonts w:hint="default" w:ascii="Times New Roman" w:hAnsi="Times New Roman" w:eastAsia="宋体" w:cs="Times New Roman"/>
                      <w:color w:val="auto"/>
                      <w:sz w:val="21"/>
                      <w:szCs w:val="21"/>
                      <w:vertAlign w:val="superscript"/>
                    </w:rPr>
                    <w:fldChar w:fldCharType="begin"/>
                  </w:r>
                  <w:r>
                    <w:rPr>
                      <w:rFonts w:hint="default" w:ascii="Times New Roman" w:hAnsi="Times New Roman" w:eastAsia="宋体" w:cs="Times New Roman"/>
                      <w:color w:val="auto"/>
                      <w:sz w:val="21"/>
                      <w:szCs w:val="21"/>
                      <w:vertAlign w:val="superscript"/>
                    </w:rPr>
                    <w:instrText xml:space="preserve"> = 1 \* GB3 </w:instrText>
                  </w:r>
                  <w:r>
                    <w:rPr>
                      <w:rFonts w:hint="default" w:ascii="Times New Roman" w:hAnsi="Times New Roman" w:eastAsia="宋体" w:cs="Times New Roman"/>
                      <w:color w:val="auto"/>
                      <w:sz w:val="21"/>
                      <w:szCs w:val="21"/>
                      <w:vertAlign w:val="superscript"/>
                    </w:rPr>
                    <w:fldChar w:fldCharType="separate"/>
                  </w:r>
                  <w:r>
                    <w:rPr>
                      <w:rFonts w:hint="default" w:ascii="Times New Roman" w:hAnsi="Times New Roman" w:eastAsia="宋体" w:cs="Times New Roman"/>
                      <w:color w:val="auto"/>
                      <w:sz w:val="21"/>
                      <w:szCs w:val="21"/>
                      <w:vertAlign w:val="superscript"/>
                    </w:rPr>
                    <w:t>①</w:t>
                  </w:r>
                  <w:r>
                    <w:rPr>
                      <w:rFonts w:hint="default" w:ascii="Times New Roman" w:hAnsi="Times New Roman" w:eastAsia="宋体" w:cs="Times New Roman"/>
                      <w:color w:val="auto"/>
                      <w:sz w:val="21"/>
                      <w:szCs w:val="21"/>
                      <w:vertAlign w:val="superscript"/>
                    </w:rPr>
                    <w:fldChar w:fldCharType="end"/>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141" w:type="dxa"/>
                  <w:vMerge w:val="continue"/>
                  <w:noWrap w:val="0"/>
                  <w:vAlign w:val="center"/>
                </w:tcPr>
                <w:p>
                  <w:pPr>
                    <w:pStyle w:val="53"/>
                    <w:rPr>
                      <w:rFonts w:hint="default" w:ascii="Times New Roman" w:hAnsi="Times New Roman" w:eastAsia="宋体" w:cs="Times New Roman"/>
                      <w:color w:val="auto"/>
                      <w:sz w:val="21"/>
                      <w:szCs w:val="21"/>
                    </w:rPr>
                  </w:pPr>
                </w:p>
              </w:tc>
              <w:tc>
                <w:tcPr>
                  <w:tcW w:w="1042" w:type="dxa"/>
                  <w:vMerge w:val="continue"/>
                  <w:noWrap w:val="0"/>
                  <w:vAlign w:val="center"/>
                </w:tcPr>
                <w:p>
                  <w:pPr>
                    <w:pStyle w:val="53"/>
                    <w:rPr>
                      <w:rFonts w:hint="default" w:ascii="Times New Roman" w:hAnsi="Times New Roman" w:eastAsia="宋体" w:cs="Times New Roman"/>
                      <w:color w:val="auto"/>
                      <w:sz w:val="21"/>
                      <w:szCs w:val="21"/>
                    </w:rPr>
                  </w:pPr>
                </w:p>
              </w:tc>
              <w:tc>
                <w:tcPr>
                  <w:tcW w:w="862" w:type="dxa"/>
                  <w:vMerge w:val="continue"/>
                  <w:noWrap w:val="0"/>
                  <w:vAlign w:val="center"/>
                </w:tcPr>
                <w:p>
                  <w:pPr>
                    <w:pStyle w:val="53"/>
                    <w:rPr>
                      <w:rFonts w:hint="default" w:ascii="Times New Roman" w:hAnsi="Times New Roman" w:eastAsia="宋体" w:cs="Times New Roman"/>
                      <w:color w:val="auto"/>
                      <w:sz w:val="21"/>
                      <w:szCs w:val="21"/>
                    </w:rPr>
                  </w:pPr>
                </w:p>
              </w:tc>
              <w:tc>
                <w:tcPr>
                  <w:tcW w:w="807" w:type="dxa"/>
                  <w:vMerge w:val="continue"/>
                  <w:noWrap w:val="0"/>
                  <w:vAlign w:val="center"/>
                </w:tcPr>
                <w:p>
                  <w:pPr>
                    <w:pStyle w:val="53"/>
                    <w:rPr>
                      <w:rFonts w:hint="default" w:ascii="Times New Roman" w:hAnsi="Times New Roman" w:eastAsia="宋体" w:cs="Times New Roman"/>
                      <w:color w:val="auto"/>
                      <w:sz w:val="21"/>
                      <w:szCs w:val="21"/>
                    </w:rPr>
                  </w:pPr>
                </w:p>
              </w:tc>
              <w:tc>
                <w:tcPr>
                  <w:tcW w:w="1355"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氮氧化物</w:t>
                  </w:r>
                </w:p>
              </w:tc>
              <w:tc>
                <w:tcPr>
                  <w:tcW w:w="251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千克/万立方米-原料</w:t>
                  </w:r>
                </w:p>
              </w:tc>
              <w:tc>
                <w:tcPr>
                  <w:tcW w:w="135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41" w:type="dxa"/>
                  <w:vMerge w:val="continue"/>
                  <w:noWrap w:val="0"/>
                  <w:vAlign w:val="center"/>
                </w:tcPr>
                <w:p>
                  <w:pPr>
                    <w:pStyle w:val="53"/>
                    <w:rPr>
                      <w:rFonts w:hint="default" w:ascii="Times New Roman" w:hAnsi="Times New Roman" w:eastAsia="宋体" w:cs="Times New Roman"/>
                      <w:color w:val="auto"/>
                      <w:sz w:val="21"/>
                      <w:szCs w:val="21"/>
                    </w:rPr>
                  </w:pPr>
                </w:p>
              </w:tc>
              <w:tc>
                <w:tcPr>
                  <w:tcW w:w="1042" w:type="dxa"/>
                  <w:vMerge w:val="continue"/>
                  <w:noWrap w:val="0"/>
                  <w:vAlign w:val="center"/>
                </w:tcPr>
                <w:p>
                  <w:pPr>
                    <w:pStyle w:val="53"/>
                    <w:rPr>
                      <w:rFonts w:hint="default" w:ascii="Times New Roman" w:hAnsi="Times New Roman" w:eastAsia="宋体" w:cs="Times New Roman"/>
                      <w:color w:val="auto"/>
                      <w:sz w:val="21"/>
                      <w:szCs w:val="21"/>
                    </w:rPr>
                  </w:pPr>
                </w:p>
              </w:tc>
              <w:tc>
                <w:tcPr>
                  <w:tcW w:w="862" w:type="dxa"/>
                  <w:vMerge w:val="continue"/>
                  <w:noWrap w:val="0"/>
                  <w:vAlign w:val="center"/>
                </w:tcPr>
                <w:p>
                  <w:pPr>
                    <w:pStyle w:val="53"/>
                    <w:rPr>
                      <w:rFonts w:hint="default" w:ascii="Times New Roman" w:hAnsi="Times New Roman" w:eastAsia="宋体" w:cs="Times New Roman"/>
                      <w:color w:val="auto"/>
                      <w:sz w:val="21"/>
                      <w:szCs w:val="21"/>
                    </w:rPr>
                  </w:pPr>
                </w:p>
              </w:tc>
              <w:tc>
                <w:tcPr>
                  <w:tcW w:w="807" w:type="dxa"/>
                  <w:vMerge w:val="continue"/>
                  <w:noWrap w:val="0"/>
                  <w:vAlign w:val="center"/>
                </w:tcPr>
                <w:p>
                  <w:pPr>
                    <w:pStyle w:val="53"/>
                    <w:rPr>
                      <w:rFonts w:hint="default" w:ascii="Times New Roman" w:hAnsi="Times New Roman" w:eastAsia="宋体" w:cs="Times New Roman"/>
                      <w:color w:val="auto"/>
                      <w:sz w:val="21"/>
                      <w:szCs w:val="21"/>
                    </w:rPr>
                  </w:pPr>
                </w:p>
              </w:tc>
              <w:tc>
                <w:tcPr>
                  <w:tcW w:w="1355"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51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千克/万立方米-原料</w:t>
                  </w:r>
                </w:p>
              </w:tc>
              <w:tc>
                <w:tcPr>
                  <w:tcW w:w="1354" w:type="dxa"/>
                  <w:noWrap w:val="0"/>
                  <w:vAlign w:val="center"/>
                </w:tcPr>
                <w:p>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r>
          </w:tbl>
          <w:p>
            <w:pPr>
              <w:pStyle w:val="20"/>
              <w:ind w:firstLine="181"/>
              <w:jc w:val="left"/>
              <w:rPr>
                <w:color w:val="auto"/>
                <w:sz w:val="18"/>
                <w:szCs w:val="18"/>
              </w:rPr>
            </w:pPr>
            <w:r>
              <w:rPr>
                <w:b/>
                <w:color w:val="auto"/>
                <w:sz w:val="18"/>
                <w:szCs w:val="18"/>
              </w:rPr>
              <w:t>注：</w:t>
            </w:r>
            <w:r>
              <w:rPr>
                <w:color w:val="auto"/>
                <w:sz w:val="18"/>
                <w:szCs w:val="18"/>
              </w:rPr>
              <w:fldChar w:fldCharType="begin"/>
            </w:r>
            <w:r>
              <w:rPr>
                <w:color w:val="auto"/>
                <w:sz w:val="18"/>
                <w:szCs w:val="18"/>
              </w:rPr>
              <w:instrText xml:space="preserve"> = 1 \* GB3 </w:instrText>
            </w:r>
            <w:r>
              <w:rPr>
                <w:color w:val="auto"/>
                <w:sz w:val="18"/>
                <w:szCs w:val="18"/>
              </w:rPr>
              <w:fldChar w:fldCharType="separate"/>
            </w:r>
            <w:r>
              <w:rPr>
                <w:rFonts w:hint="eastAsia" w:ascii="宋体" w:hAnsi="宋体" w:cs="宋体"/>
                <w:color w:val="auto"/>
                <w:sz w:val="18"/>
                <w:szCs w:val="18"/>
              </w:rPr>
              <w:t>①</w:t>
            </w:r>
            <w:r>
              <w:rPr>
                <w:color w:val="auto"/>
                <w:sz w:val="18"/>
                <w:szCs w:val="18"/>
              </w:rPr>
              <w:fldChar w:fldCharType="end"/>
            </w:r>
            <w:r>
              <w:rPr>
                <w:color w:val="auto"/>
                <w:sz w:val="18"/>
                <w:szCs w:val="18"/>
              </w:rPr>
              <w:t>二氧化硫的产排污系数是以含硫量（S）的形式表示的，其中含硫量（S）是指燃气收到基硫分含量，单位为毫克/立方米。</w:t>
            </w:r>
            <w:r>
              <w:rPr>
                <w:color w:val="auto"/>
                <w:sz w:val="18"/>
                <w:szCs w:val="18"/>
                <w:u w:val="single"/>
              </w:rPr>
              <w:t>本项目炭化气含硫量质量百分比参照生物质0.1%，折算为燃气收到基硫分含量为200毫克/立方米</w:t>
            </w:r>
            <w:r>
              <w:rPr>
                <w:rFonts w:hint="eastAsia"/>
                <w:color w:val="auto"/>
                <w:sz w:val="18"/>
                <w:szCs w:val="18"/>
                <w:u w:val="single"/>
                <w:lang w:eastAsia="zh-CN"/>
              </w:rPr>
              <w:t>，即</w:t>
            </w:r>
            <w:r>
              <w:rPr>
                <w:rFonts w:hint="eastAsia"/>
                <w:color w:val="auto"/>
                <w:sz w:val="18"/>
                <w:szCs w:val="18"/>
                <w:u w:val="single"/>
                <w:lang w:val="en-US" w:eastAsia="zh-CN"/>
              </w:rPr>
              <w:t>S=200</w:t>
            </w:r>
            <w:r>
              <w:rPr>
                <w:color w:val="auto"/>
                <w:sz w:val="18"/>
                <w:szCs w:val="18"/>
                <w:u w:val="single"/>
              </w:rPr>
              <w:t>。</w:t>
            </w:r>
          </w:p>
          <w:p>
            <w:pPr>
              <w:pStyle w:val="20"/>
              <w:ind w:firstLine="180"/>
              <w:jc w:val="left"/>
              <w:rPr>
                <w:color w:val="auto"/>
                <w:sz w:val="18"/>
                <w:szCs w:val="18"/>
              </w:rPr>
            </w:pPr>
            <w:r>
              <w:rPr>
                <w:color w:val="auto"/>
                <w:sz w:val="18"/>
                <w:szCs w:val="18"/>
              </w:rPr>
              <w:fldChar w:fldCharType="begin"/>
            </w:r>
            <w:r>
              <w:rPr>
                <w:color w:val="auto"/>
                <w:sz w:val="18"/>
                <w:szCs w:val="18"/>
              </w:rPr>
              <w:instrText xml:space="preserve"> = 2 \* GB3 </w:instrText>
            </w:r>
            <w:r>
              <w:rPr>
                <w:color w:val="auto"/>
                <w:sz w:val="18"/>
                <w:szCs w:val="18"/>
              </w:rPr>
              <w:fldChar w:fldCharType="separate"/>
            </w:r>
            <w:r>
              <w:rPr>
                <w:rFonts w:hint="eastAsia" w:ascii="宋体" w:hAnsi="宋体" w:cs="宋体"/>
                <w:color w:val="auto"/>
                <w:sz w:val="18"/>
                <w:szCs w:val="18"/>
              </w:rPr>
              <w:t>②</w:t>
            </w:r>
            <w:r>
              <w:rPr>
                <w:color w:val="auto"/>
                <w:sz w:val="18"/>
                <w:szCs w:val="18"/>
              </w:rPr>
              <w:fldChar w:fldCharType="end"/>
            </w:r>
            <w:r>
              <w:rPr>
                <w:color w:val="auto"/>
                <w:sz w:val="18"/>
                <w:szCs w:val="18"/>
              </w:rPr>
              <w:t>因与主要成分为N</w:t>
            </w:r>
            <w:r>
              <w:rPr>
                <w:color w:val="auto"/>
                <w:sz w:val="18"/>
                <w:szCs w:val="18"/>
                <w:vertAlign w:val="subscript"/>
              </w:rPr>
              <w:t>2</w:t>
            </w:r>
            <w:r>
              <w:rPr>
                <w:color w:val="auto"/>
                <w:sz w:val="18"/>
                <w:szCs w:val="18"/>
              </w:rPr>
              <w:t>的工业煤气中不同，木煤气中主要成分为CO</w:t>
            </w:r>
            <w:r>
              <w:rPr>
                <w:color w:val="auto"/>
                <w:sz w:val="18"/>
                <w:szCs w:val="18"/>
                <w:vertAlign w:val="subscript"/>
              </w:rPr>
              <w:t>2</w:t>
            </w:r>
            <w:r>
              <w:rPr>
                <w:color w:val="auto"/>
                <w:sz w:val="18"/>
                <w:szCs w:val="18"/>
              </w:rPr>
              <w:t>，氮氧化物主要来源于燃烧过程中引入空气，产排污系数参照天然气。</w:t>
            </w:r>
          </w:p>
          <w:p>
            <w:pPr>
              <w:pStyle w:val="20"/>
              <w:ind w:firstLine="180"/>
              <w:jc w:val="left"/>
              <w:rPr>
                <w:color w:val="auto"/>
                <w:sz w:val="18"/>
                <w:szCs w:val="18"/>
              </w:rPr>
            </w:pPr>
            <w:r>
              <w:rPr>
                <w:color w:val="auto"/>
                <w:sz w:val="18"/>
                <w:szCs w:val="18"/>
              </w:rPr>
              <w:fldChar w:fldCharType="begin"/>
            </w:r>
            <w:r>
              <w:rPr>
                <w:color w:val="auto"/>
                <w:sz w:val="18"/>
                <w:szCs w:val="18"/>
              </w:rPr>
              <w:instrText xml:space="preserve"> = 3 \* GB3 </w:instrText>
            </w:r>
            <w:r>
              <w:rPr>
                <w:color w:val="auto"/>
                <w:sz w:val="18"/>
                <w:szCs w:val="18"/>
              </w:rPr>
              <w:fldChar w:fldCharType="separate"/>
            </w:r>
            <w:r>
              <w:rPr>
                <w:rFonts w:hint="eastAsia" w:ascii="宋体" w:hAnsi="宋体" w:cs="宋体"/>
                <w:color w:val="auto"/>
                <w:sz w:val="18"/>
                <w:szCs w:val="18"/>
              </w:rPr>
              <w:t>③</w:t>
            </w:r>
            <w:r>
              <w:rPr>
                <w:color w:val="auto"/>
                <w:sz w:val="18"/>
                <w:szCs w:val="18"/>
              </w:rPr>
              <w:fldChar w:fldCharType="end"/>
            </w:r>
            <w:r>
              <w:rPr>
                <w:color w:val="auto"/>
                <w:sz w:val="18"/>
                <w:szCs w:val="18"/>
              </w:rPr>
              <w:t>烟尘产污系数参考《环境保护实用数据手册》，取2.4千克/万立方米-原料。</w:t>
            </w:r>
          </w:p>
          <w:p>
            <w:pPr>
              <w:snapToGrid w:val="0"/>
              <w:spacing w:line="320" w:lineRule="exact"/>
              <w:ind w:firstLine="180" w:firstLineChars="100"/>
              <w:rPr>
                <w:color w:val="auto"/>
                <w:sz w:val="18"/>
                <w:szCs w:val="18"/>
              </w:rPr>
            </w:pPr>
            <w:r>
              <w:rPr>
                <w:color w:val="auto"/>
                <w:sz w:val="18"/>
                <w:szCs w:val="18"/>
              </w:rPr>
              <w:fldChar w:fldCharType="begin"/>
            </w:r>
            <w:r>
              <w:rPr>
                <w:color w:val="auto"/>
                <w:sz w:val="18"/>
                <w:szCs w:val="18"/>
              </w:rPr>
              <w:instrText xml:space="preserve"> = 4 \* GB3 \* MERGEFORMAT </w:instrText>
            </w:r>
            <w:r>
              <w:rPr>
                <w:color w:val="auto"/>
                <w:sz w:val="18"/>
                <w:szCs w:val="18"/>
              </w:rPr>
              <w:fldChar w:fldCharType="separate"/>
            </w:r>
            <w:r>
              <w:rPr>
                <w:color w:val="auto"/>
                <w:sz w:val="18"/>
                <w:szCs w:val="18"/>
              </w:rPr>
              <w:t>④</w:t>
            </w:r>
            <w:r>
              <w:rPr>
                <w:color w:val="auto"/>
                <w:sz w:val="18"/>
                <w:szCs w:val="18"/>
              </w:rPr>
              <w:fldChar w:fldCharType="end"/>
            </w:r>
            <w:r>
              <w:rPr>
                <w:color w:val="auto"/>
                <w:sz w:val="18"/>
                <w:szCs w:val="18"/>
              </w:rPr>
              <w:t>根据《第一次全国污染源普查工业污染源产排污系数手册（第十分册：4430热力生产和供应行业 工业锅炉（热力生产和供应行业）产排污系数表）湿法除尘法：是使含尘烟气与水密切接触，利用水滴和尘粒的惯性碰撞及其他作用捕集尘粒。现在常用的有冲击浴式除尘器、管式</w:t>
            </w:r>
            <w:r>
              <w:rPr>
                <w:rFonts w:hint="eastAsia"/>
                <w:color w:val="auto"/>
                <w:sz w:val="18"/>
                <w:szCs w:val="18"/>
              </w:rPr>
              <w:t>水雾</w:t>
            </w:r>
            <w:r>
              <w:rPr>
                <w:color w:val="auto"/>
                <w:sz w:val="18"/>
                <w:szCs w:val="18"/>
              </w:rPr>
              <w:t>除尘器、立式及卧式旋风</w:t>
            </w:r>
            <w:r>
              <w:rPr>
                <w:rFonts w:hint="eastAsia"/>
                <w:color w:val="auto"/>
                <w:sz w:val="18"/>
                <w:szCs w:val="18"/>
              </w:rPr>
              <w:t>水雾</w:t>
            </w:r>
            <w:r>
              <w:rPr>
                <w:color w:val="auto"/>
                <w:sz w:val="18"/>
                <w:szCs w:val="18"/>
              </w:rPr>
              <w:t>除尘器（含文丘里</w:t>
            </w:r>
            <w:r>
              <w:rPr>
                <w:rFonts w:hint="eastAsia"/>
                <w:color w:val="auto"/>
                <w:sz w:val="18"/>
                <w:szCs w:val="18"/>
              </w:rPr>
              <w:t>水雾</w:t>
            </w:r>
            <w:r>
              <w:rPr>
                <w:color w:val="auto"/>
                <w:sz w:val="18"/>
                <w:szCs w:val="18"/>
              </w:rPr>
              <w:t>除尘器）等。因为二氧化硫在水中有一定的溶解度，所以湿法除尘法对排放烟气中的二氧化硫有一定的去除效果；取15％。</w:t>
            </w:r>
          </w:p>
          <w:p>
            <w:pPr>
              <w:adjustRightInd w:val="0"/>
              <w:snapToGrid w:val="0"/>
              <w:spacing w:line="360" w:lineRule="auto"/>
              <w:ind w:firstLine="480" w:firstLineChars="200"/>
              <w:rPr>
                <w:rFonts w:ascii="Times New Roman" w:hAnsi="Times New Roman" w:eastAsia="宋体" w:cs="Times New Roman"/>
                <w:color w:val="auto"/>
                <w:sz w:val="24"/>
              </w:rPr>
            </w:pPr>
          </w:p>
          <w:p>
            <w:pPr>
              <w:adjustRightInd w:val="0"/>
              <w:snapToGrid w:val="0"/>
              <w:spacing w:line="360" w:lineRule="auto"/>
              <w:ind w:firstLine="480" w:firstLineChars="200"/>
              <w:rPr>
                <w:color w:val="auto"/>
                <w:sz w:val="24"/>
              </w:rPr>
            </w:pPr>
            <w:r>
              <w:rPr>
                <w:color w:val="auto"/>
                <w:sz w:val="24"/>
              </w:rPr>
              <w:t>木煤气燃烧废气污染物产生情况：木煤气燃烧量为</w:t>
            </w:r>
            <w:r>
              <w:rPr>
                <w:rFonts w:hint="eastAsia"/>
                <w:color w:val="auto"/>
                <w:sz w:val="24"/>
                <w:lang w:val="en-US" w:eastAsia="zh-CN"/>
              </w:rPr>
              <w:t>300</w:t>
            </w:r>
            <w:r>
              <w:rPr>
                <w:color w:val="auto"/>
                <w:sz w:val="24"/>
              </w:rPr>
              <w:t>万m</w:t>
            </w:r>
            <w:r>
              <w:rPr>
                <w:color w:val="auto"/>
                <w:sz w:val="24"/>
                <w:vertAlign w:val="superscript"/>
              </w:rPr>
              <w:t>3</w:t>
            </w:r>
            <w:r>
              <w:rPr>
                <w:rFonts w:hint="eastAsia"/>
                <w:color w:val="auto"/>
                <w:sz w:val="24"/>
                <w:vertAlign w:val="baseline"/>
                <w:lang w:val="en-US" w:eastAsia="zh-CN"/>
              </w:rPr>
              <w:t>/a</w:t>
            </w:r>
            <w:r>
              <w:rPr>
                <w:color w:val="auto"/>
                <w:sz w:val="24"/>
              </w:rPr>
              <w:t>，燃烧废气产生量为</w:t>
            </w:r>
            <w:r>
              <w:rPr>
                <w:rFonts w:hint="eastAsia"/>
                <w:color w:val="auto"/>
                <w:sz w:val="24"/>
                <w:lang w:val="en-US" w:eastAsia="zh-CN"/>
              </w:rPr>
              <w:t>1768.29</w:t>
            </w:r>
            <w:r>
              <w:rPr>
                <w:color w:val="auto"/>
                <w:sz w:val="24"/>
              </w:rPr>
              <w:t>万Nm</w:t>
            </w:r>
            <w:r>
              <w:rPr>
                <w:color w:val="auto"/>
                <w:sz w:val="24"/>
                <w:vertAlign w:val="superscript"/>
              </w:rPr>
              <w:t>3</w:t>
            </w:r>
            <w:r>
              <w:rPr>
                <w:color w:val="auto"/>
                <w:sz w:val="24"/>
              </w:rPr>
              <w:t>/a，其中污染物年产生量分别为SO</w:t>
            </w:r>
            <w:r>
              <w:rPr>
                <w:color w:val="auto"/>
                <w:sz w:val="24"/>
                <w:vertAlign w:val="subscript"/>
              </w:rPr>
              <w:t>2</w:t>
            </w:r>
            <w:r>
              <w:rPr>
                <w:color w:val="auto"/>
                <w:sz w:val="24"/>
              </w:rPr>
              <w:t>：</w:t>
            </w:r>
            <w:r>
              <w:rPr>
                <w:rFonts w:hint="eastAsia"/>
                <w:color w:val="auto"/>
                <w:sz w:val="24"/>
                <w:lang w:val="en-US" w:eastAsia="zh-CN"/>
              </w:rPr>
              <w:t>1.2</w:t>
            </w:r>
            <w:r>
              <w:rPr>
                <w:color w:val="auto"/>
                <w:sz w:val="24"/>
              </w:rPr>
              <w:t>t/a、氮氧化物：</w:t>
            </w:r>
            <w:r>
              <w:rPr>
                <w:rFonts w:hint="eastAsia"/>
                <w:color w:val="auto"/>
                <w:sz w:val="24"/>
                <w:lang w:val="en-US" w:eastAsia="zh-CN"/>
              </w:rPr>
              <w:t>1.89</w:t>
            </w:r>
            <w:r>
              <w:rPr>
                <w:color w:val="auto"/>
                <w:sz w:val="24"/>
              </w:rPr>
              <w:t>t/a、颗粒物：</w:t>
            </w:r>
            <w:r>
              <w:rPr>
                <w:rFonts w:hint="eastAsia"/>
                <w:color w:val="auto"/>
                <w:sz w:val="24"/>
                <w:lang w:val="en-US" w:eastAsia="zh-CN"/>
              </w:rPr>
              <w:t>0.72</w:t>
            </w:r>
            <w:r>
              <w:rPr>
                <w:color w:val="auto"/>
                <w:sz w:val="24"/>
              </w:rPr>
              <w:t>t/a，</w:t>
            </w:r>
            <w:r>
              <w:rPr>
                <w:rFonts w:hint="eastAsia"/>
                <w:color w:val="auto"/>
                <w:sz w:val="24"/>
              </w:rPr>
              <w:t>水雾</w:t>
            </w:r>
            <w:r>
              <w:rPr>
                <w:color w:val="auto"/>
                <w:sz w:val="24"/>
              </w:rPr>
              <w:t>除尘器除尘效率取90%</w:t>
            </w:r>
            <w:r>
              <w:rPr>
                <w:rFonts w:hint="eastAsia"/>
                <w:color w:val="auto"/>
                <w:sz w:val="24"/>
                <w:lang w:eastAsia="zh-CN"/>
              </w:rPr>
              <w:t>，静电除尘器</w:t>
            </w:r>
            <w:r>
              <w:rPr>
                <w:color w:val="auto"/>
                <w:sz w:val="24"/>
              </w:rPr>
              <w:t>除尘</w:t>
            </w:r>
            <w:r>
              <w:rPr>
                <w:rFonts w:hint="eastAsia"/>
                <w:color w:val="auto"/>
                <w:sz w:val="24"/>
                <w:lang w:eastAsia="zh-CN"/>
              </w:rPr>
              <w:t>效率取</w:t>
            </w:r>
            <w:r>
              <w:rPr>
                <w:rFonts w:hint="eastAsia"/>
                <w:color w:val="auto"/>
                <w:sz w:val="24"/>
                <w:lang w:val="en-US" w:eastAsia="zh-CN"/>
              </w:rPr>
              <w:t>95%</w:t>
            </w:r>
            <w:r>
              <w:rPr>
                <w:color w:val="auto"/>
                <w:sz w:val="24"/>
              </w:rPr>
              <w:t>，除SO</w:t>
            </w:r>
            <w:r>
              <w:rPr>
                <w:color w:val="auto"/>
                <w:sz w:val="24"/>
                <w:vertAlign w:val="subscript"/>
              </w:rPr>
              <w:t>2</w:t>
            </w:r>
            <w:r>
              <w:rPr>
                <w:color w:val="auto"/>
                <w:sz w:val="24"/>
              </w:rPr>
              <w:t>效率取15%，排放量分别为SO</w:t>
            </w:r>
            <w:r>
              <w:rPr>
                <w:color w:val="auto"/>
                <w:sz w:val="24"/>
                <w:vertAlign w:val="subscript"/>
              </w:rPr>
              <w:t>2</w:t>
            </w:r>
            <w:r>
              <w:rPr>
                <w:color w:val="auto"/>
                <w:sz w:val="24"/>
              </w:rPr>
              <w:t>：</w:t>
            </w:r>
            <w:r>
              <w:rPr>
                <w:rFonts w:hint="eastAsia"/>
                <w:color w:val="auto"/>
                <w:sz w:val="24"/>
                <w:lang w:val="en-US" w:eastAsia="zh-CN"/>
              </w:rPr>
              <w:t>1.02</w:t>
            </w:r>
            <w:r>
              <w:rPr>
                <w:color w:val="auto"/>
                <w:sz w:val="24"/>
              </w:rPr>
              <w:t>t/a、氮氧化物：</w:t>
            </w:r>
            <w:r>
              <w:rPr>
                <w:rFonts w:hint="eastAsia"/>
                <w:color w:val="auto"/>
                <w:sz w:val="24"/>
                <w:lang w:val="en-US" w:eastAsia="zh-CN"/>
              </w:rPr>
              <w:t>1.89</w:t>
            </w:r>
            <w:r>
              <w:rPr>
                <w:color w:val="auto"/>
                <w:sz w:val="24"/>
              </w:rPr>
              <w:t>t/a、颗粒物：0.0</w:t>
            </w:r>
            <w:r>
              <w:rPr>
                <w:rFonts w:hint="eastAsia"/>
                <w:color w:val="auto"/>
                <w:sz w:val="24"/>
                <w:lang w:val="en-US" w:eastAsia="zh-CN"/>
              </w:rPr>
              <w:t>0</w:t>
            </w:r>
            <w:r>
              <w:rPr>
                <w:color w:val="auto"/>
                <w:sz w:val="24"/>
              </w:rPr>
              <w:t>3</w:t>
            </w:r>
            <w:r>
              <w:rPr>
                <w:rFonts w:hint="eastAsia"/>
                <w:color w:val="auto"/>
                <w:sz w:val="24"/>
                <w:lang w:val="en-US" w:eastAsia="zh-CN"/>
              </w:rPr>
              <w:t>6</w:t>
            </w:r>
            <w:r>
              <w:rPr>
                <w:color w:val="auto"/>
                <w:sz w:val="24"/>
              </w:rPr>
              <w:t>t/a。</w:t>
            </w:r>
          </w:p>
          <w:p>
            <w:pPr>
              <w:spacing w:line="360" w:lineRule="auto"/>
              <w:ind w:firstLine="480" w:firstLineChars="200"/>
              <w:rPr>
                <w:color w:val="auto"/>
                <w:sz w:val="24"/>
              </w:rPr>
            </w:pPr>
            <w:r>
              <w:rPr>
                <w:color w:val="auto"/>
                <w:sz w:val="24"/>
              </w:rPr>
              <w:fldChar w:fldCharType="begin"/>
            </w:r>
            <w:r>
              <w:rPr>
                <w:color w:val="auto"/>
                <w:sz w:val="24"/>
              </w:rPr>
              <w:instrText xml:space="preserve"> = 3 \* GB3 \* MERGEFORMAT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生物质燃烧废气</w:t>
            </w:r>
          </w:p>
          <w:p>
            <w:pPr>
              <w:spacing w:line="360" w:lineRule="auto"/>
              <w:ind w:firstLine="480" w:firstLineChars="200"/>
              <w:rPr>
                <w:rFonts w:ascii="Times New Roman" w:hAnsi="Times New Roman" w:eastAsia="宋体" w:cs="Times New Roman"/>
                <w:b/>
                <w:color w:val="auto"/>
                <w:sz w:val="21"/>
                <w:szCs w:val="21"/>
              </w:rPr>
            </w:pPr>
            <w:r>
              <w:rPr>
                <w:color w:val="auto"/>
                <w:sz w:val="24"/>
              </w:rPr>
              <w:t>根据建设方提供资料，</w:t>
            </w:r>
            <w:r>
              <w:rPr>
                <w:rFonts w:hint="eastAsia"/>
                <w:color w:val="auto"/>
                <w:sz w:val="24"/>
                <w:u w:val="single"/>
                <w:lang w:eastAsia="zh-CN"/>
              </w:rPr>
              <w:t>炭化窑烟气引入烘干机内，烘干机主要利用炭化窑烟气余热烘干原材料，生物质燃料使用较少，生物质燃料用</w:t>
            </w:r>
            <w:r>
              <w:rPr>
                <w:color w:val="auto"/>
                <w:sz w:val="24"/>
                <w:u w:val="single"/>
              </w:rPr>
              <w:t>量</w:t>
            </w:r>
            <w:r>
              <w:rPr>
                <w:rFonts w:hint="eastAsia"/>
                <w:color w:val="auto"/>
                <w:sz w:val="24"/>
                <w:u w:val="single"/>
                <w:lang w:eastAsia="zh-CN"/>
              </w:rPr>
              <w:t>约</w:t>
            </w:r>
            <w:r>
              <w:rPr>
                <w:color w:val="auto"/>
                <w:sz w:val="24"/>
                <w:u w:val="single"/>
              </w:rPr>
              <w:t>为</w:t>
            </w:r>
            <w:r>
              <w:rPr>
                <w:rFonts w:hint="eastAsia"/>
                <w:color w:val="auto"/>
                <w:sz w:val="24"/>
                <w:u w:val="single"/>
                <w:lang w:val="en-US" w:eastAsia="zh-CN"/>
              </w:rPr>
              <w:t>150</w:t>
            </w:r>
            <w:r>
              <w:rPr>
                <w:color w:val="auto"/>
                <w:sz w:val="24"/>
                <w:u w:val="single"/>
              </w:rPr>
              <w:t>t/a。</w:t>
            </w:r>
            <w:r>
              <w:rPr>
                <w:color w:val="auto"/>
                <w:sz w:val="24"/>
              </w:rPr>
              <w:t>生物质燃料灰分、含硫量均较低，各</w:t>
            </w:r>
            <w:r>
              <w:rPr>
                <w:color w:val="auto"/>
                <w:kern w:val="0"/>
                <w:sz w:val="24"/>
              </w:rPr>
              <w:t>成分含量见下表。</w:t>
            </w:r>
          </w:p>
          <w:p>
            <w:pPr>
              <w:pStyle w:val="8"/>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5-5</w:t>
            </w:r>
            <w:r>
              <w:rPr>
                <w:rFonts w:ascii="Times New Roman" w:hAnsi="Times New Roman" w:eastAsia="宋体" w:cs="Times New Roman"/>
                <w:b/>
                <w:color w:val="auto"/>
                <w:sz w:val="21"/>
                <w:szCs w:val="21"/>
              </w:rPr>
              <w:t xml:space="preserve">  生物质成分含量一览表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187"/>
              <w:gridCol w:w="1187"/>
              <w:gridCol w:w="1187"/>
              <w:gridCol w:w="1188"/>
              <w:gridCol w:w="1277"/>
              <w:gridCol w:w="1371"/>
              <w:gridCol w:w="16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1187" w:type="dxa"/>
                  <w:vMerge w:val="restart"/>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项目</w:t>
                  </w:r>
                </w:p>
              </w:tc>
              <w:tc>
                <w:tcPr>
                  <w:tcW w:w="7854" w:type="dxa"/>
                  <w:gridSpan w:val="6"/>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成分（%）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1187" w:type="dxa"/>
                  <w:vMerge w:val="continue"/>
                  <w:noWrap w:val="0"/>
                  <w:vAlign w:val="center"/>
                </w:tcPr>
                <w:p>
                  <w:pPr>
                    <w:widowControl/>
                    <w:jc w:val="left"/>
                    <w:rPr>
                      <w:color w:val="auto"/>
                      <w:kern w:val="0"/>
                      <w:szCs w:val="21"/>
                    </w:rPr>
                  </w:pPr>
                </w:p>
              </w:tc>
              <w:tc>
                <w:tcPr>
                  <w:tcW w:w="1187"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S</w:t>
                  </w:r>
                </w:p>
              </w:tc>
              <w:tc>
                <w:tcPr>
                  <w:tcW w:w="1187"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C</w:t>
                  </w:r>
                </w:p>
              </w:tc>
              <w:tc>
                <w:tcPr>
                  <w:tcW w:w="1188"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H</w:t>
                  </w:r>
                </w:p>
              </w:tc>
              <w:tc>
                <w:tcPr>
                  <w:tcW w:w="1277"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O</w:t>
                  </w:r>
                </w:p>
              </w:tc>
              <w:tc>
                <w:tcPr>
                  <w:tcW w:w="1371"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N</w:t>
                  </w:r>
                </w:p>
              </w:tc>
              <w:tc>
                <w:tcPr>
                  <w:tcW w:w="1644"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灰分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1187"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含量</w:t>
                  </w:r>
                </w:p>
              </w:tc>
              <w:tc>
                <w:tcPr>
                  <w:tcW w:w="1187"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0.08-0.12</w:t>
                  </w:r>
                </w:p>
              </w:tc>
              <w:tc>
                <w:tcPr>
                  <w:tcW w:w="1187"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50</w:t>
                  </w:r>
                </w:p>
              </w:tc>
              <w:tc>
                <w:tcPr>
                  <w:tcW w:w="1188"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6.4</w:t>
                  </w:r>
                </w:p>
              </w:tc>
              <w:tc>
                <w:tcPr>
                  <w:tcW w:w="1277"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42.6</w:t>
                  </w:r>
                </w:p>
              </w:tc>
              <w:tc>
                <w:tcPr>
                  <w:tcW w:w="1371"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0.1-0.2</w:t>
                  </w:r>
                </w:p>
              </w:tc>
              <w:tc>
                <w:tcPr>
                  <w:tcW w:w="1644" w:type="dxa"/>
                  <w:noWrap w:val="0"/>
                  <w:tcMar>
                    <w:top w:w="0" w:type="dxa"/>
                    <w:left w:w="108" w:type="dxa"/>
                    <w:bottom w:w="0" w:type="dxa"/>
                    <w:right w:w="108" w:type="dxa"/>
                  </w:tcMar>
                  <w:vAlign w:val="center"/>
                </w:tcPr>
                <w:p>
                  <w:pPr>
                    <w:widowControl/>
                    <w:spacing w:line="320" w:lineRule="atLeast"/>
                    <w:jc w:val="center"/>
                    <w:rPr>
                      <w:color w:val="auto"/>
                      <w:kern w:val="0"/>
                      <w:szCs w:val="21"/>
                    </w:rPr>
                  </w:pPr>
                  <w:r>
                    <w:rPr>
                      <w:color w:val="auto"/>
                      <w:kern w:val="0"/>
                      <w:szCs w:val="21"/>
                    </w:rPr>
                    <w:t>0.3-3.6</w:t>
                  </w:r>
                </w:p>
              </w:tc>
            </w:tr>
          </w:tbl>
          <w:p>
            <w:pPr>
              <w:spacing w:line="360" w:lineRule="auto"/>
              <w:ind w:firstLine="480" w:firstLineChars="200"/>
              <w:rPr>
                <w:color w:val="auto"/>
              </w:rPr>
            </w:pPr>
            <w:r>
              <w:rPr>
                <w:color w:val="auto"/>
                <w:sz w:val="24"/>
              </w:rPr>
              <w:t>根据《第一次全国污染源普查工业污染源产排污系数手册（第十分册：4430热力生产和供应行业 工业锅炉（热力生产和供应行业）产排污系数表-生物质工业锅炉，计算本项目</w:t>
            </w:r>
            <w:r>
              <w:rPr>
                <w:rFonts w:hint="eastAsia"/>
                <w:color w:val="auto"/>
                <w:sz w:val="24"/>
                <w:lang w:eastAsia="zh-CN"/>
              </w:rPr>
              <w:t>生物质</w:t>
            </w:r>
            <w:r>
              <w:rPr>
                <w:color w:val="auto"/>
                <w:sz w:val="24"/>
              </w:rPr>
              <w:t>燃烧废气产污情况</w:t>
            </w:r>
          </w:p>
          <w:p>
            <w:pPr>
              <w:pStyle w:val="8"/>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5-6</w:t>
            </w:r>
            <w:r>
              <w:rPr>
                <w:rFonts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eastAsia="zh-CN"/>
              </w:rPr>
              <w:t>生物质</w:t>
            </w:r>
            <w:r>
              <w:rPr>
                <w:rFonts w:ascii="Times New Roman" w:hAnsi="Times New Roman" w:eastAsia="宋体" w:cs="Times New Roman"/>
                <w:b/>
                <w:color w:val="auto"/>
                <w:sz w:val="21"/>
                <w:szCs w:val="21"/>
              </w:rPr>
              <w:t>燃烧产排污系数表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1038"/>
              <w:gridCol w:w="859"/>
              <w:gridCol w:w="804"/>
              <w:gridCol w:w="1350"/>
              <w:gridCol w:w="2504"/>
              <w:gridCol w:w="13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7" w:type="dxa"/>
                  <w:noWrap w:val="0"/>
                  <w:vAlign w:val="center"/>
                </w:tcPr>
                <w:p>
                  <w:pPr>
                    <w:pStyle w:val="53"/>
                    <w:rPr>
                      <w:color w:val="auto"/>
                      <w:sz w:val="21"/>
                      <w:szCs w:val="21"/>
                    </w:rPr>
                  </w:pPr>
                  <w:r>
                    <w:rPr>
                      <w:color w:val="auto"/>
                      <w:sz w:val="21"/>
                      <w:szCs w:val="21"/>
                    </w:rPr>
                    <w:t>产品</w:t>
                  </w:r>
                </w:p>
                <w:p>
                  <w:pPr>
                    <w:pStyle w:val="53"/>
                    <w:rPr>
                      <w:color w:val="auto"/>
                      <w:sz w:val="21"/>
                      <w:szCs w:val="21"/>
                    </w:rPr>
                  </w:pPr>
                  <w:r>
                    <w:rPr>
                      <w:color w:val="auto"/>
                      <w:sz w:val="21"/>
                      <w:szCs w:val="21"/>
                    </w:rPr>
                    <w:t>名称</w:t>
                  </w:r>
                </w:p>
              </w:tc>
              <w:tc>
                <w:tcPr>
                  <w:tcW w:w="1038" w:type="dxa"/>
                  <w:noWrap w:val="0"/>
                  <w:vAlign w:val="center"/>
                </w:tcPr>
                <w:p>
                  <w:pPr>
                    <w:pStyle w:val="53"/>
                    <w:rPr>
                      <w:color w:val="auto"/>
                      <w:sz w:val="21"/>
                      <w:szCs w:val="21"/>
                    </w:rPr>
                  </w:pPr>
                  <w:r>
                    <w:rPr>
                      <w:color w:val="auto"/>
                      <w:sz w:val="21"/>
                      <w:szCs w:val="21"/>
                    </w:rPr>
                    <w:t>原料</w:t>
                  </w:r>
                </w:p>
                <w:p>
                  <w:pPr>
                    <w:pStyle w:val="53"/>
                    <w:rPr>
                      <w:color w:val="auto"/>
                      <w:sz w:val="21"/>
                      <w:szCs w:val="21"/>
                    </w:rPr>
                  </w:pPr>
                  <w:r>
                    <w:rPr>
                      <w:color w:val="auto"/>
                      <w:sz w:val="21"/>
                      <w:szCs w:val="21"/>
                    </w:rPr>
                    <w:t>名称</w:t>
                  </w:r>
                </w:p>
              </w:tc>
              <w:tc>
                <w:tcPr>
                  <w:tcW w:w="859" w:type="dxa"/>
                  <w:noWrap w:val="0"/>
                  <w:vAlign w:val="center"/>
                </w:tcPr>
                <w:p>
                  <w:pPr>
                    <w:pStyle w:val="53"/>
                    <w:rPr>
                      <w:color w:val="auto"/>
                      <w:sz w:val="21"/>
                      <w:szCs w:val="21"/>
                    </w:rPr>
                  </w:pPr>
                  <w:r>
                    <w:rPr>
                      <w:color w:val="auto"/>
                      <w:sz w:val="21"/>
                      <w:szCs w:val="21"/>
                    </w:rPr>
                    <w:t>工艺</w:t>
                  </w:r>
                </w:p>
                <w:p>
                  <w:pPr>
                    <w:pStyle w:val="53"/>
                    <w:rPr>
                      <w:color w:val="auto"/>
                      <w:sz w:val="21"/>
                      <w:szCs w:val="21"/>
                    </w:rPr>
                  </w:pPr>
                  <w:r>
                    <w:rPr>
                      <w:color w:val="auto"/>
                      <w:sz w:val="21"/>
                      <w:szCs w:val="21"/>
                    </w:rPr>
                    <w:t>名称</w:t>
                  </w:r>
                </w:p>
              </w:tc>
              <w:tc>
                <w:tcPr>
                  <w:tcW w:w="804" w:type="dxa"/>
                  <w:noWrap w:val="0"/>
                  <w:vAlign w:val="center"/>
                </w:tcPr>
                <w:p>
                  <w:pPr>
                    <w:pStyle w:val="53"/>
                    <w:rPr>
                      <w:color w:val="auto"/>
                      <w:sz w:val="21"/>
                      <w:szCs w:val="21"/>
                    </w:rPr>
                  </w:pPr>
                  <w:r>
                    <w:rPr>
                      <w:color w:val="auto"/>
                      <w:sz w:val="21"/>
                      <w:szCs w:val="21"/>
                    </w:rPr>
                    <w:t>规模等级</w:t>
                  </w:r>
                </w:p>
              </w:tc>
              <w:tc>
                <w:tcPr>
                  <w:tcW w:w="1350" w:type="dxa"/>
                  <w:noWrap w:val="0"/>
                  <w:vAlign w:val="center"/>
                </w:tcPr>
                <w:p>
                  <w:pPr>
                    <w:pStyle w:val="53"/>
                    <w:rPr>
                      <w:color w:val="auto"/>
                      <w:sz w:val="21"/>
                      <w:szCs w:val="21"/>
                    </w:rPr>
                  </w:pPr>
                  <w:r>
                    <w:rPr>
                      <w:color w:val="auto"/>
                      <w:sz w:val="21"/>
                      <w:szCs w:val="21"/>
                    </w:rPr>
                    <w:t>污染物</w:t>
                  </w:r>
                </w:p>
                <w:p>
                  <w:pPr>
                    <w:pStyle w:val="53"/>
                    <w:rPr>
                      <w:color w:val="auto"/>
                      <w:sz w:val="21"/>
                      <w:szCs w:val="21"/>
                    </w:rPr>
                  </w:pPr>
                  <w:r>
                    <w:rPr>
                      <w:color w:val="auto"/>
                      <w:sz w:val="21"/>
                      <w:szCs w:val="21"/>
                    </w:rPr>
                    <w:t>指标</w:t>
                  </w:r>
                </w:p>
              </w:tc>
              <w:tc>
                <w:tcPr>
                  <w:tcW w:w="2504" w:type="dxa"/>
                  <w:noWrap w:val="0"/>
                  <w:vAlign w:val="center"/>
                </w:tcPr>
                <w:p>
                  <w:pPr>
                    <w:pStyle w:val="53"/>
                    <w:rPr>
                      <w:color w:val="auto"/>
                      <w:sz w:val="21"/>
                      <w:szCs w:val="21"/>
                    </w:rPr>
                  </w:pPr>
                  <w:r>
                    <w:rPr>
                      <w:color w:val="auto"/>
                      <w:sz w:val="21"/>
                      <w:szCs w:val="21"/>
                    </w:rPr>
                    <w:t>单位</w:t>
                  </w:r>
                </w:p>
              </w:tc>
              <w:tc>
                <w:tcPr>
                  <w:tcW w:w="1349" w:type="dxa"/>
                  <w:noWrap w:val="0"/>
                  <w:vAlign w:val="center"/>
                </w:tcPr>
                <w:p>
                  <w:pPr>
                    <w:pStyle w:val="53"/>
                    <w:rPr>
                      <w:color w:val="auto"/>
                      <w:sz w:val="21"/>
                      <w:szCs w:val="21"/>
                    </w:rPr>
                  </w:pPr>
                  <w:r>
                    <w:rPr>
                      <w:color w:val="auto"/>
                      <w:sz w:val="21"/>
                      <w:szCs w:val="21"/>
                    </w:rPr>
                    <w:t>产污</w:t>
                  </w:r>
                </w:p>
                <w:p>
                  <w:pPr>
                    <w:pStyle w:val="53"/>
                    <w:rPr>
                      <w:color w:val="auto"/>
                      <w:sz w:val="21"/>
                      <w:szCs w:val="21"/>
                    </w:rPr>
                  </w:pPr>
                  <w:r>
                    <w:rPr>
                      <w:color w:val="auto"/>
                      <w:sz w:val="21"/>
                      <w:szCs w:val="21"/>
                    </w:rPr>
                    <w:t>系数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37" w:type="dxa"/>
                  <w:vMerge w:val="restart"/>
                  <w:noWrap w:val="0"/>
                  <w:vAlign w:val="center"/>
                </w:tcPr>
                <w:p>
                  <w:pPr>
                    <w:pStyle w:val="53"/>
                    <w:rPr>
                      <w:color w:val="auto"/>
                      <w:sz w:val="21"/>
                      <w:szCs w:val="21"/>
                    </w:rPr>
                  </w:pPr>
                  <w:r>
                    <w:rPr>
                      <w:color w:val="auto"/>
                      <w:sz w:val="21"/>
                      <w:szCs w:val="21"/>
                    </w:rPr>
                    <w:t>蒸气/热</w:t>
                  </w:r>
                </w:p>
                <w:p>
                  <w:pPr>
                    <w:pStyle w:val="53"/>
                    <w:rPr>
                      <w:color w:val="auto"/>
                      <w:sz w:val="21"/>
                      <w:szCs w:val="21"/>
                    </w:rPr>
                  </w:pPr>
                  <w:r>
                    <w:rPr>
                      <w:color w:val="auto"/>
                      <w:sz w:val="21"/>
                      <w:szCs w:val="21"/>
                    </w:rPr>
                    <w:t>水/其他</w:t>
                  </w:r>
                </w:p>
              </w:tc>
              <w:tc>
                <w:tcPr>
                  <w:tcW w:w="1038" w:type="dxa"/>
                  <w:vMerge w:val="restart"/>
                  <w:noWrap w:val="0"/>
                  <w:vAlign w:val="center"/>
                </w:tcPr>
                <w:p>
                  <w:pPr>
                    <w:pStyle w:val="53"/>
                    <w:rPr>
                      <w:rFonts w:hint="eastAsia" w:eastAsia="宋体"/>
                      <w:color w:val="auto"/>
                      <w:sz w:val="21"/>
                      <w:szCs w:val="21"/>
                      <w:lang w:eastAsia="zh-CN"/>
                    </w:rPr>
                  </w:pPr>
                  <w:r>
                    <w:rPr>
                      <w:rFonts w:hint="eastAsia"/>
                      <w:color w:val="auto"/>
                      <w:sz w:val="21"/>
                      <w:szCs w:val="21"/>
                      <w:lang w:eastAsia="zh-CN"/>
                    </w:rPr>
                    <w:t>生物质（木材、木屑、甘蔗渣压块等）</w:t>
                  </w:r>
                </w:p>
              </w:tc>
              <w:tc>
                <w:tcPr>
                  <w:tcW w:w="859" w:type="dxa"/>
                  <w:vMerge w:val="restart"/>
                  <w:noWrap w:val="0"/>
                  <w:vAlign w:val="center"/>
                </w:tcPr>
                <w:p>
                  <w:pPr>
                    <w:pStyle w:val="53"/>
                    <w:rPr>
                      <w:color w:val="auto"/>
                      <w:sz w:val="21"/>
                      <w:szCs w:val="21"/>
                    </w:rPr>
                  </w:pPr>
                  <w:r>
                    <w:rPr>
                      <w:rFonts w:hint="eastAsia"/>
                      <w:color w:val="auto"/>
                      <w:sz w:val="21"/>
                      <w:szCs w:val="21"/>
                      <w:lang w:eastAsia="zh-CN"/>
                    </w:rPr>
                    <w:t>层燃炉</w:t>
                  </w:r>
                </w:p>
              </w:tc>
              <w:tc>
                <w:tcPr>
                  <w:tcW w:w="804" w:type="dxa"/>
                  <w:vMerge w:val="restart"/>
                  <w:noWrap w:val="0"/>
                  <w:vAlign w:val="center"/>
                </w:tcPr>
                <w:p>
                  <w:pPr>
                    <w:pStyle w:val="53"/>
                    <w:rPr>
                      <w:color w:val="auto"/>
                      <w:sz w:val="21"/>
                      <w:szCs w:val="21"/>
                    </w:rPr>
                  </w:pPr>
                  <w:r>
                    <w:rPr>
                      <w:color w:val="auto"/>
                      <w:sz w:val="21"/>
                      <w:szCs w:val="21"/>
                    </w:rPr>
                    <w:t>所有</w:t>
                  </w:r>
                </w:p>
                <w:p>
                  <w:pPr>
                    <w:pStyle w:val="53"/>
                    <w:rPr>
                      <w:color w:val="auto"/>
                      <w:sz w:val="21"/>
                      <w:szCs w:val="21"/>
                    </w:rPr>
                  </w:pPr>
                  <w:r>
                    <w:rPr>
                      <w:color w:val="auto"/>
                      <w:sz w:val="21"/>
                      <w:szCs w:val="21"/>
                    </w:rPr>
                    <w:t>规模</w:t>
                  </w:r>
                </w:p>
              </w:tc>
              <w:tc>
                <w:tcPr>
                  <w:tcW w:w="1350" w:type="dxa"/>
                  <w:noWrap w:val="0"/>
                  <w:vAlign w:val="center"/>
                </w:tcPr>
                <w:p>
                  <w:pPr>
                    <w:pStyle w:val="53"/>
                    <w:rPr>
                      <w:color w:val="auto"/>
                      <w:sz w:val="21"/>
                      <w:szCs w:val="21"/>
                    </w:rPr>
                  </w:pPr>
                  <w:r>
                    <w:rPr>
                      <w:color w:val="auto"/>
                      <w:sz w:val="21"/>
                      <w:szCs w:val="21"/>
                    </w:rPr>
                    <w:t>工业废气量</w:t>
                  </w:r>
                </w:p>
              </w:tc>
              <w:tc>
                <w:tcPr>
                  <w:tcW w:w="2504" w:type="dxa"/>
                  <w:noWrap w:val="0"/>
                  <w:vAlign w:val="center"/>
                </w:tcPr>
                <w:p>
                  <w:pPr>
                    <w:pStyle w:val="53"/>
                    <w:rPr>
                      <w:color w:val="auto"/>
                      <w:sz w:val="21"/>
                      <w:szCs w:val="21"/>
                    </w:rPr>
                  </w:pPr>
                  <w:r>
                    <w:rPr>
                      <w:color w:val="auto"/>
                      <w:sz w:val="21"/>
                      <w:szCs w:val="21"/>
                    </w:rPr>
                    <w:t>标立方米/</w:t>
                  </w:r>
                  <w:r>
                    <w:rPr>
                      <w:rFonts w:hint="eastAsia"/>
                      <w:color w:val="auto"/>
                      <w:sz w:val="21"/>
                      <w:szCs w:val="21"/>
                      <w:lang w:eastAsia="zh-CN"/>
                    </w:rPr>
                    <w:t>吨</w:t>
                  </w:r>
                  <w:r>
                    <w:rPr>
                      <w:color w:val="auto"/>
                      <w:sz w:val="21"/>
                      <w:szCs w:val="21"/>
                    </w:rPr>
                    <w:t>-原料</w:t>
                  </w:r>
                </w:p>
              </w:tc>
              <w:tc>
                <w:tcPr>
                  <w:tcW w:w="1349" w:type="dxa"/>
                  <w:noWrap w:val="0"/>
                  <w:vAlign w:val="center"/>
                </w:tcPr>
                <w:p>
                  <w:pPr>
                    <w:pStyle w:val="5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6240.28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7" w:type="dxa"/>
                  <w:vMerge w:val="continue"/>
                  <w:noWrap w:val="0"/>
                  <w:vAlign w:val="center"/>
                </w:tcPr>
                <w:p>
                  <w:pPr>
                    <w:pStyle w:val="53"/>
                    <w:rPr>
                      <w:color w:val="auto"/>
                      <w:sz w:val="21"/>
                      <w:szCs w:val="21"/>
                    </w:rPr>
                  </w:pPr>
                </w:p>
              </w:tc>
              <w:tc>
                <w:tcPr>
                  <w:tcW w:w="1038" w:type="dxa"/>
                  <w:vMerge w:val="continue"/>
                  <w:noWrap w:val="0"/>
                  <w:vAlign w:val="center"/>
                </w:tcPr>
                <w:p>
                  <w:pPr>
                    <w:pStyle w:val="53"/>
                    <w:rPr>
                      <w:color w:val="auto"/>
                      <w:sz w:val="21"/>
                      <w:szCs w:val="21"/>
                    </w:rPr>
                  </w:pPr>
                </w:p>
              </w:tc>
              <w:tc>
                <w:tcPr>
                  <w:tcW w:w="859" w:type="dxa"/>
                  <w:vMerge w:val="continue"/>
                  <w:noWrap w:val="0"/>
                  <w:vAlign w:val="center"/>
                </w:tcPr>
                <w:p>
                  <w:pPr>
                    <w:pStyle w:val="53"/>
                    <w:rPr>
                      <w:color w:val="auto"/>
                      <w:sz w:val="21"/>
                      <w:szCs w:val="21"/>
                    </w:rPr>
                  </w:pPr>
                </w:p>
              </w:tc>
              <w:tc>
                <w:tcPr>
                  <w:tcW w:w="804" w:type="dxa"/>
                  <w:vMerge w:val="continue"/>
                  <w:noWrap w:val="0"/>
                  <w:vAlign w:val="center"/>
                </w:tcPr>
                <w:p>
                  <w:pPr>
                    <w:pStyle w:val="53"/>
                    <w:rPr>
                      <w:color w:val="auto"/>
                      <w:sz w:val="21"/>
                      <w:szCs w:val="21"/>
                    </w:rPr>
                  </w:pPr>
                </w:p>
              </w:tc>
              <w:tc>
                <w:tcPr>
                  <w:tcW w:w="1350" w:type="dxa"/>
                  <w:noWrap w:val="0"/>
                  <w:vAlign w:val="center"/>
                </w:tcPr>
                <w:p>
                  <w:pPr>
                    <w:pStyle w:val="53"/>
                    <w:rPr>
                      <w:color w:val="auto"/>
                      <w:sz w:val="21"/>
                      <w:szCs w:val="21"/>
                    </w:rPr>
                  </w:pPr>
                  <w:r>
                    <w:rPr>
                      <w:color w:val="auto"/>
                      <w:sz w:val="21"/>
                      <w:szCs w:val="21"/>
                    </w:rPr>
                    <w:t>二氧化硫</w:t>
                  </w:r>
                </w:p>
              </w:tc>
              <w:tc>
                <w:tcPr>
                  <w:tcW w:w="2504" w:type="dxa"/>
                  <w:noWrap w:val="0"/>
                  <w:vAlign w:val="center"/>
                </w:tcPr>
                <w:p>
                  <w:pPr>
                    <w:pStyle w:val="53"/>
                    <w:rPr>
                      <w:color w:val="auto"/>
                      <w:sz w:val="21"/>
                      <w:szCs w:val="21"/>
                    </w:rPr>
                  </w:pPr>
                  <w:r>
                    <w:rPr>
                      <w:color w:val="auto"/>
                      <w:sz w:val="21"/>
                      <w:szCs w:val="21"/>
                    </w:rPr>
                    <w:t>千克/</w:t>
                  </w:r>
                  <w:r>
                    <w:rPr>
                      <w:rFonts w:hint="eastAsia"/>
                      <w:color w:val="auto"/>
                      <w:sz w:val="21"/>
                      <w:szCs w:val="21"/>
                      <w:lang w:eastAsia="zh-CN"/>
                    </w:rPr>
                    <w:t>吨</w:t>
                  </w:r>
                  <w:r>
                    <w:rPr>
                      <w:color w:val="auto"/>
                      <w:sz w:val="21"/>
                      <w:szCs w:val="21"/>
                    </w:rPr>
                    <w:t>-原料</w:t>
                  </w:r>
                </w:p>
              </w:tc>
              <w:tc>
                <w:tcPr>
                  <w:tcW w:w="1349" w:type="dxa"/>
                  <w:noWrap w:val="0"/>
                  <w:vAlign w:val="center"/>
                </w:tcPr>
                <w:p>
                  <w:pPr>
                    <w:pStyle w:val="53"/>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w:t>
                  </w:r>
                  <w:r>
                    <w:rPr>
                      <w:rFonts w:hint="default" w:ascii="Times New Roman" w:hAnsi="Times New Roman" w:cs="Times New Roman"/>
                      <w:color w:val="auto"/>
                      <w:sz w:val="21"/>
                      <w:szCs w:val="21"/>
                    </w:rPr>
                    <w:t>S</w:t>
                  </w:r>
                  <w:r>
                    <w:rPr>
                      <w:rFonts w:hint="default" w:ascii="Times New Roman" w:hAnsi="Times New Roman" w:cs="Times New Roman"/>
                      <w:color w:val="auto"/>
                      <w:sz w:val="21"/>
                      <w:szCs w:val="21"/>
                      <w:vertAlign w:val="superscript"/>
                    </w:rPr>
                    <w:fldChar w:fldCharType="begin"/>
                  </w:r>
                  <w:r>
                    <w:rPr>
                      <w:rFonts w:hint="default" w:ascii="Times New Roman" w:hAnsi="Times New Roman" w:cs="Times New Roman"/>
                      <w:color w:val="auto"/>
                      <w:sz w:val="21"/>
                      <w:szCs w:val="21"/>
                      <w:vertAlign w:val="superscript"/>
                    </w:rPr>
                    <w:instrText xml:space="preserve"> = 1 \* GB3 </w:instrText>
                  </w:r>
                  <w:r>
                    <w:rPr>
                      <w:rFonts w:hint="default" w:ascii="Times New Roman" w:hAnsi="Times New Roman" w:cs="Times New Roman"/>
                      <w:color w:val="auto"/>
                      <w:sz w:val="21"/>
                      <w:szCs w:val="21"/>
                      <w:vertAlign w:val="superscript"/>
                    </w:rPr>
                    <w:fldChar w:fldCharType="separate"/>
                  </w:r>
                  <w:r>
                    <w:rPr>
                      <w:rFonts w:hint="default" w:ascii="Times New Roman" w:hAnsi="Times New Roman" w:cs="Times New Roman"/>
                      <w:color w:val="auto"/>
                      <w:sz w:val="21"/>
                      <w:szCs w:val="21"/>
                      <w:vertAlign w:val="superscript"/>
                    </w:rPr>
                    <w:t>①</w:t>
                  </w:r>
                  <w:r>
                    <w:rPr>
                      <w:rFonts w:hint="default" w:ascii="Times New Roman" w:hAnsi="Times New Roman" w:cs="Times New Roman"/>
                      <w:color w:val="auto"/>
                      <w:sz w:val="21"/>
                      <w:szCs w:val="21"/>
                      <w:vertAlign w:val="superscript"/>
                    </w:rPr>
                    <w:fldChar w:fldCharType="end"/>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7" w:type="dxa"/>
                  <w:vMerge w:val="continue"/>
                  <w:noWrap w:val="0"/>
                  <w:vAlign w:val="center"/>
                </w:tcPr>
                <w:p>
                  <w:pPr>
                    <w:pStyle w:val="53"/>
                    <w:rPr>
                      <w:color w:val="auto"/>
                      <w:sz w:val="21"/>
                      <w:szCs w:val="21"/>
                    </w:rPr>
                  </w:pPr>
                </w:p>
              </w:tc>
              <w:tc>
                <w:tcPr>
                  <w:tcW w:w="1038" w:type="dxa"/>
                  <w:vMerge w:val="continue"/>
                  <w:noWrap w:val="0"/>
                  <w:vAlign w:val="center"/>
                </w:tcPr>
                <w:p>
                  <w:pPr>
                    <w:pStyle w:val="53"/>
                    <w:rPr>
                      <w:color w:val="auto"/>
                      <w:sz w:val="21"/>
                      <w:szCs w:val="21"/>
                    </w:rPr>
                  </w:pPr>
                </w:p>
              </w:tc>
              <w:tc>
                <w:tcPr>
                  <w:tcW w:w="859" w:type="dxa"/>
                  <w:vMerge w:val="continue"/>
                  <w:noWrap w:val="0"/>
                  <w:vAlign w:val="center"/>
                </w:tcPr>
                <w:p>
                  <w:pPr>
                    <w:pStyle w:val="53"/>
                    <w:rPr>
                      <w:color w:val="auto"/>
                      <w:sz w:val="21"/>
                      <w:szCs w:val="21"/>
                    </w:rPr>
                  </w:pPr>
                </w:p>
              </w:tc>
              <w:tc>
                <w:tcPr>
                  <w:tcW w:w="804" w:type="dxa"/>
                  <w:vMerge w:val="continue"/>
                  <w:noWrap w:val="0"/>
                  <w:vAlign w:val="center"/>
                </w:tcPr>
                <w:p>
                  <w:pPr>
                    <w:pStyle w:val="53"/>
                    <w:rPr>
                      <w:color w:val="auto"/>
                      <w:sz w:val="21"/>
                      <w:szCs w:val="21"/>
                    </w:rPr>
                  </w:pPr>
                </w:p>
              </w:tc>
              <w:tc>
                <w:tcPr>
                  <w:tcW w:w="1350" w:type="dxa"/>
                  <w:noWrap w:val="0"/>
                  <w:vAlign w:val="center"/>
                </w:tcPr>
                <w:p>
                  <w:pPr>
                    <w:pStyle w:val="53"/>
                    <w:rPr>
                      <w:color w:val="auto"/>
                      <w:sz w:val="21"/>
                      <w:szCs w:val="21"/>
                    </w:rPr>
                  </w:pPr>
                  <w:r>
                    <w:rPr>
                      <w:color w:val="auto"/>
                      <w:sz w:val="21"/>
                      <w:szCs w:val="21"/>
                    </w:rPr>
                    <w:t>氮氧化物</w:t>
                  </w:r>
                </w:p>
              </w:tc>
              <w:tc>
                <w:tcPr>
                  <w:tcW w:w="2504" w:type="dxa"/>
                  <w:noWrap w:val="0"/>
                  <w:vAlign w:val="center"/>
                </w:tcPr>
                <w:p>
                  <w:pPr>
                    <w:pStyle w:val="53"/>
                    <w:rPr>
                      <w:color w:val="auto"/>
                      <w:sz w:val="21"/>
                      <w:szCs w:val="21"/>
                    </w:rPr>
                  </w:pPr>
                  <w:r>
                    <w:rPr>
                      <w:color w:val="auto"/>
                      <w:sz w:val="21"/>
                      <w:szCs w:val="21"/>
                    </w:rPr>
                    <w:t>千克/</w:t>
                  </w:r>
                  <w:r>
                    <w:rPr>
                      <w:rFonts w:hint="eastAsia"/>
                      <w:color w:val="auto"/>
                      <w:sz w:val="21"/>
                      <w:szCs w:val="21"/>
                      <w:lang w:eastAsia="zh-CN"/>
                    </w:rPr>
                    <w:t>吨</w:t>
                  </w:r>
                  <w:r>
                    <w:rPr>
                      <w:color w:val="auto"/>
                      <w:sz w:val="21"/>
                      <w:szCs w:val="21"/>
                    </w:rPr>
                    <w:t>-原料</w:t>
                  </w:r>
                </w:p>
              </w:tc>
              <w:tc>
                <w:tcPr>
                  <w:tcW w:w="1349" w:type="dxa"/>
                  <w:noWrap w:val="0"/>
                  <w:vAlign w:val="center"/>
                </w:tcPr>
                <w:p>
                  <w:pPr>
                    <w:pStyle w:val="5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7" w:type="dxa"/>
                  <w:vMerge w:val="continue"/>
                  <w:noWrap w:val="0"/>
                  <w:vAlign w:val="center"/>
                </w:tcPr>
                <w:p>
                  <w:pPr>
                    <w:pStyle w:val="53"/>
                    <w:rPr>
                      <w:color w:val="auto"/>
                      <w:sz w:val="21"/>
                      <w:szCs w:val="21"/>
                    </w:rPr>
                  </w:pPr>
                </w:p>
              </w:tc>
              <w:tc>
                <w:tcPr>
                  <w:tcW w:w="1038" w:type="dxa"/>
                  <w:vMerge w:val="continue"/>
                  <w:noWrap w:val="0"/>
                  <w:vAlign w:val="center"/>
                </w:tcPr>
                <w:p>
                  <w:pPr>
                    <w:pStyle w:val="53"/>
                    <w:rPr>
                      <w:color w:val="auto"/>
                      <w:sz w:val="21"/>
                      <w:szCs w:val="21"/>
                    </w:rPr>
                  </w:pPr>
                </w:p>
              </w:tc>
              <w:tc>
                <w:tcPr>
                  <w:tcW w:w="859" w:type="dxa"/>
                  <w:vMerge w:val="continue"/>
                  <w:noWrap w:val="0"/>
                  <w:vAlign w:val="center"/>
                </w:tcPr>
                <w:p>
                  <w:pPr>
                    <w:pStyle w:val="53"/>
                    <w:rPr>
                      <w:color w:val="auto"/>
                      <w:sz w:val="21"/>
                      <w:szCs w:val="21"/>
                    </w:rPr>
                  </w:pPr>
                </w:p>
              </w:tc>
              <w:tc>
                <w:tcPr>
                  <w:tcW w:w="804" w:type="dxa"/>
                  <w:vMerge w:val="continue"/>
                  <w:noWrap w:val="0"/>
                  <w:vAlign w:val="center"/>
                </w:tcPr>
                <w:p>
                  <w:pPr>
                    <w:pStyle w:val="53"/>
                    <w:rPr>
                      <w:color w:val="auto"/>
                      <w:sz w:val="21"/>
                      <w:szCs w:val="21"/>
                    </w:rPr>
                  </w:pPr>
                </w:p>
              </w:tc>
              <w:tc>
                <w:tcPr>
                  <w:tcW w:w="1350" w:type="dxa"/>
                  <w:noWrap w:val="0"/>
                  <w:vAlign w:val="center"/>
                </w:tcPr>
                <w:p>
                  <w:pPr>
                    <w:pStyle w:val="53"/>
                    <w:rPr>
                      <w:color w:val="auto"/>
                      <w:sz w:val="21"/>
                      <w:szCs w:val="21"/>
                    </w:rPr>
                  </w:pPr>
                  <w:r>
                    <w:rPr>
                      <w:color w:val="auto"/>
                      <w:sz w:val="21"/>
                      <w:szCs w:val="21"/>
                    </w:rPr>
                    <w:t>颗粒物</w:t>
                  </w:r>
                </w:p>
              </w:tc>
              <w:tc>
                <w:tcPr>
                  <w:tcW w:w="2504" w:type="dxa"/>
                  <w:noWrap w:val="0"/>
                  <w:vAlign w:val="center"/>
                </w:tcPr>
                <w:p>
                  <w:pPr>
                    <w:pStyle w:val="53"/>
                    <w:rPr>
                      <w:color w:val="auto"/>
                      <w:sz w:val="21"/>
                      <w:szCs w:val="21"/>
                    </w:rPr>
                  </w:pPr>
                  <w:r>
                    <w:rPr>
                      <w:color w:val="auto"/>
                      <w:sz w:val="21"/>
                      <w:szCs w:val="21"/>
                    </w:rPr>
                    <w:t>千克/</w:t>
                  </w:r>
                  <w:r>
                    <w:rPr>
                      <w:rFonts w:hint="eastAsia"/>
                      <w:color w:val="auto"/>
                      <w:sz w:val="21"/>
                      <w:szCs w:val="21"/>
                      <w:lang w:eastAsia="zh-CN"/>
                    </w:rPr>
                    <w:t>吨</w:t>
                  </w:r>
                  <w:r>
                    <w:rPr>
                      <w:color w:val="auto"/>
                      <w:sz w:val="21"/>
                      <w:szCs w:val="21"/>
                    </w:rPr>
                    <w:t>-原料</w:t>
                  </w:r>
                </w:p>
              </w:tc>
              <w:tc>
                <w:tcPr>
                  <w:tcW w:w="1349" w:type="dxa"/>
                  <w:noWrap w:val="0"/>
                  <w:vAlign w:val="center"/>
                </w:tcPr>
                <w:p>
                  <w:pPr>
                    <w:pStyle w:val="5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37.6</w:t>
                  </w:r>
                </w:p>
              </w:tc>
            </w:tr>
          </w:tbl>
          <w:p>
            <w:pPr>
              <w:tabs>
                <w:tab w:val="left" w:pos="2520"/>
              </w:tabs>
              <w:spacing w:line="360" w:lineRule="auto"/>
              <w:ind w:firstLine="360" w:firstLineChars="200"/>
              <w:rPr>
                <w:color w:val="auto"/>
                <w:sz w:val="24"/>
                <w:u w:val="single"/>
              </w:rPr>
            </w:pPr>
            <w:r>
              <w:rPr>
                <w:rFonts w:ascii="Times New Roman" w:hAnsi="Times New Roman"/>
                <w:color w:val="auto"/>
                <w:sz w:val="18"/>
                <w:szCs w:val="18"/>
                <w:u w:val="single"/>
              </w:rPr>
              <w:t>注：</w:t>
            </w:r>
            <w:r>
              <w:rPr>
                <w:rFonts w:hint="eastAsia" w:ascii="宋体" w:hAnsi="宋体" w:cs="宋体"/>
                <w:color w:val="auto"/>
                <w:sz w:val="18"/>
                <w:szCs w:val="18"/>
                <w:u w:val="single"/>
              </w:rPr>
              <w:t>①</w:t>
            </w:r>
            <w:r>
              <w:rPr>
                <w:rFonts w:ascii="Times New Roman" w:hAnsi="Times New Roman"/>
                <w:color w:val="auto"/>
                <w:sz w:val="18"/>
                <w:szCs w:val="18"/>
                <w:u w:val="single"/>
              </w:rPr>
              <w:t>二氧化硫的产排污系数是以含硫量( S %)的形式表示的，其中含硫量( S % )是指生物质收到基硫分含量，以质量百分数的形式表示。例如生物质中含硫量( S %)为0. 1%，则S=0.1。</w:t>
            </w:r>
          </w:p>
          <w:p>
            <w:pPr>
              <w:spacing w:line="360" w:lineRule="auto"/>
              <w:ind w:firstLine="480" w:firstLineChars="200"/>
              <w:rPr>
                <w:color w:val="auto"/>
                <w:sz w:val="24"/>
                <w:u w:val="single"/>
                <w:vertAlign w:val="subscript"/>
              </w:rPr>
            </w:pPr>
            <w:r>
              <w:rPr>
                <w:color w:val="auto"/>
                <w:sz w:val="24"/>
                <w:u w:val="single"/>
              </w:rPr>
              <w:t>根据《第一次全国污染源普查工业污染源产排污系数手册（第十分册：4430热力生产和供应行业 工业锅炉（热力生产和供应行业）产排污系数表-生物质工业锅炉，生物质工业锅炉每燃烧1吨生物质产生工业废气</w:t>
            </w:r>
            <w:r>
              <w:rPr>
                <w:color w:val="auto"/>
                <w:kern w:val="0"/>
                <w:sz w:val="24"/>
                <w:u w:val="single"/>
              </w:rPr>
              <w:t>6240.28</w:t>
            </w:r>
            <w:r>
              <w:rPr>
                <w:color w:val="auto"/>
                <w:sz w:val="24"/>
                <w:u w:val="single"/>
              </w:rPr>
              <w:t>Nm</w:t>
            </w:r>
            <w:r>
              <w:rPr>
                <w:color w:val="auto"/>
                <w:sz w:val="24"/>
                <w:u w:val="single"/>
                <w:vertAlign w:val="superscript"/>
              </w:rPr>
              <w:t>3</w:t>
            </w:r>
            <w:r>
              <w:rPr>
                <w:color w:val="auto"/>
                <w:kern w:val="0"/>
                <w:szCs w:val="21"/>
                <w:u w:val="single"/>
              </w:rPr>
              <w:t>，</w:t>
            </w:r>
            <w:r>
              <w:rPr>
                <w:color w:val="auto"/>
                <w:kern w:val="0"/>
                <w:sz w:val="24"/>
                <w:u w:val="single"/>
              </w:rPr>
              <w:t>NO</w:t>
            </w:r>
            <w:r>
              <w:rPr>
                <w:color w:val="auto"/>
                <w:kern w:val="0"/>
                <w:sz w:val="24"/>
                <w:u w:val="single"/>
                <w:vertAlign w:val="subscript"/>
              </w:rPr>
              <w:t>X</w:t>
            </w:r>
            <w:r>
              <w:rPr>
                <w:color w:val="auto"/>
                <w:sz w:val="24"/>
                <w:u w:val="single"/>
              </w:rPr>
              <w:t>1.02kg，</w:t>
            </w:r>
            <w:r>
              <w:rPr>
                <w:color w:val="auto"/>
                <w:kern w:val="0"/>
                <w:sz w:val="24"/>
                <w:u w:val="single"/>
              </w:rPr>
              <w:t>SO</w:t>
            </w:r>
            <w:r>
              <w:rPr>
                <w:color w:val="auto"/>
                <w:kern w:val="0"/>
                <w:sz w:val="24"/>
                <w:u w:val="single"/>
                <w:vertAlign w:val="subscript"/>
              </w:rPr>
              <w:t>2</w:t>
            </w:r>
            <w:r>
              <w:rPr>
                <w:color w:val="auto"/>
                <w:sz w:val="24"/>
                <w:u w:val="single"/>
              </w:rPr>
              <w:t>17Skg（含硫率S%约0.1%</w:t>
            </w:r>
            <w:r>
              <w:rPr>
                <w:rFonts w:hint="eastAsia"/>
                <w:color w:val="auto"/>
                <w:sz w:val="24"/>
                <w:u w:val="single"/>
                <w:lang w:eastAsia="zh-CN"/>
              </w:rPr>
              <w:t>，则</w:t>
            </w:r>
            <w:r>
              <w:rPr>
                <w:rFonts w:hint="eastAsia"/>
                <w:color w:val="auto"/>
                <w:sz w:val="24"/>
                <w:u w:val="single"/>
                <w:lang w:val="en-US" w:eastAsia="zh-CN"/>
              </w:rPr>
              <w:t>S=0.1</w:t>
            </w:r>
            <w:r>
              <w:rPr>
                <w:color w:val="auto"/>
                <w:sz w:val="24"/>
                <w:u w:val="single"/>
              </w:rPr>
              <w:t>），烟尘37.6kg。则生物质燃烧废气污染物产生情况：</w:t>
            </w:r>
            <w:r>
              <w:rPr>
                <w:rFonts w:hint="eastAsia"/>
                <w:color w:val="auto"/>
                <w:sz w:val="24"/>
                <w:u w:val="single"/>
                <w:lang w:eastAsia="zh-CN"/>
              </w:rPr>
              <w:t>原料使用</w:t>
            </w:r>
            <w:r>
              <w:rPr>
                <w:color w:val="auto"/>
                <w:sz w:val="24"/>
                <w:u w:val="single"/>
              </w:rPr>
              <w:t>量为</w:t>
            </w:r>
            <w:r>
              <w:rPr>
                <w:rFonts w:hint="eastAsia"/>
                <w:color w:val="auto"/>
                <w:sz w:val="24"/>
                <w:u w:val="single"/>
                <w:lang w:val="en-US" w:eastAsia="zh-CN"/>
              </w:rPr>
              <w:t>150t/a</w:t>
            </w:r>
            <w:r>
              <w:rPr>
                <w:color w:val="auto"/>
                <w:sz w:val="24"/>
                <w:u w:val="single"/>
              </w:rPr>
              <w:t>，燃烧废气产生量为</w:t>
            </w:r>
            <w:r>
              <w:rPr>
                <w:rFonts w:hint="eastAsia"/>
                <w:color w:val="auto"/>
                <w:sz w:val="24"/>
                <w:u w:val="single"/>
                <w:lang w:val="en-US" w:eastAsia="zh-CN"/>
              </w:rPr>
              <w:t>93.6</w:t>
            </w:r>
            <w:r>
              <w:rPr>
                <w:color w:val="auto"/>
                <w:sz w:val="24"/>
                <w:u w:val="single"/>
              </w:rPr>
              <w:t>万Nm</w:t>
            </w:r>
            <w:r>
              <w:rPr>
                <w:color w:val="auto"/>
                <w:sz w:val="24"/>
                <w:u w:val="single"/>
                <w:vertAlign w:val="superscript"/>
              </w:rPr>
              <w:t>3</w:t>
            </w:r>
            <w:r>
              <w:rPr>
                <w:color w:val="auto"/>
                <w:sz w:val="24"/>
                <w:u w:val="single"/>
              </w:rPr>
              <w:t>/a，其中污染物年产生量分别为SO</w:t>
            </w:r>
            <w:r>
              <w:rPr>
                <w:color w:val="auto"/>
                <w:sz w:val="24"/>
                <w:u w:val="single"/>
                <w:vertAlign w:val="subscript"/>
              </w:rPr>
              <w:t>2</w:t>
            </w:r>
            <w:r>
              <w:rPr>
                <w:color w:val="auto"/>
                <w:sz w:val="24"/>
                <w:u w:val="single"/>
              </w:rPr>
              <w:t>：</w:t>
            </w:r>
            <w:r>
              <w:rPr>
                <w:rFonts w:hint="eastAsia"/>
                <w:color w:val="auto"/>
                <w:sz w:val="24"/>
                <w:u w:val="single"/>
                <w:lang w:val="en-US" w:eastAsia="zh-CN"/>
              </w:rPr>
              <w:t>0.255</w:t>
            </w:r>
            <w:r>
              <w:rPr>
                <w:color w:val="auto"/>
                <w:sz w:val="24"/>
                <w:u w:val="single"/>
              </w:rPr>
              <w:t>t/a、氮氧化物：</w:t>
            </w:r>
            <w:r>
              <w:rPr>
                <w:rFonts w:hint="eastAsia"/>
                <w:color w:val="auto"/>
                <w:sz w:val="24"/>
                <w:u w:val="single"/>
                <w:lang w:val="en-US" w:eastAsia="zh-CN"/>
              </w:rPr>
              <w:t>0.153</w:t>
            </w:r>
            <w:r>
              <w:rPr>
                <w:color w:val="auto"/>
                <w:sz w:val="24"/>
                <w:u w:val="single"/>
              </w:rPr>
              <w:t>t/a、颗粒物：</w:t>
            </w:r>
            <w:r>
              <w:rPr>
                <w:rFonts w:hint="eastAsia"/>
                <w:color w:val="auto"/>
                <w:sz w:val="24"/>
                <w:u w:val="single"/>
                <w:lang w:val="en-US" w:eastAsia="zh-CN"/>
              </w:rPr>
              <w:t>5.64</w:t>
            </w:r>
            <w:r>
              <w:rPr>
                <w:color w:val="auto"/>
                <w:sz w:val="24"/>
                <w:u w:val="single"/>
              </w:rPr>
              <w:t>t/a，</w:t>
            </w:r>
            <w:r>
              <w:rPr>
                <w:rFonts w:hint="eastAsia"/>
                <w:color w:val="auto"/>
                <w:sz w:val="24"/>
                <w:u w:val="single"/>
                <w:lang w:eastAsia="zh-CN"/>
              </w:rPr>
              <w:t>本项目参考《郴州邑林生物能源有限公司年产3000吨机制炭项目环境影响报告表（报批稿）》，</w:t>
            </w:r>
            <w:r>
              <w:rPr>
                <w:rFonts w:hint="eastAsia"/>
                <w:color w:val="auto"/>
                <w:sz w:val="24"/>
                <w:u w:val="single"/>
              </w:rPr>
              <w:t>水雾</w:t>
            </w:r>
            <w:r>
              <w:rPr>
                <w:color w:val="auto"/>
                <w:sz w:val="24"/>
                <w:u w:val="single"/>
              </w:rPr>
              <w:t>除尘器除尘效率取90%</w:t>
            </w:r>
            <w:r>
              <w:rPr>
                <w:rFonts w:hint="eastAsia"/>
                <w:color w:val="auto"/>
                <w:sz w:val="24"/>
                <w:u w:val="single"/>
                <w:lang w:eastAsia="zh-CN"/>
              </w:rPr>
              <w:t>，静电除尘器</w:t>
            </w:r>
            <w:r>
              <w:rPr>
                <w:color w:val="auto"/>
                <w:sz w:val="24"/>
                <w:u w:val="single"/>
              </w:rPr>
              <w:t>除尘</w:t>
            </w:r>
            <w:r>
              <w:rPr>
                <w:rFonts w:hint="eastAsia"/>
                <w:color w:val="auto"/>
                <w:sz w:val="24"/>
                <w:u w:val="single"/>
                <w:lang w:eastAsia="zh-CN"/>
              </w:rPr>
              <w:t>效率取</w:t>
            </w:r>
            <w:r>
              <w:rPr>
                <w:rFonts w:hint="eastAsia"/>
                <w:color w:val="auto"/>
                <w:sz w:val="24"/>
                <w:u w:val="single"/>
                <w:lang w:val="en-US" w:eastAsia="zh-CN"/>
              </w:rPr>
              <w:t>95%</w:t>
            </w:r>
            <w:r>
              <w:rPr>
                <w:color w:val="auto"/>
                <w:sz w:val="24"/>
                <w:u w:val="single"/>
              </w:rPr>
              <w:t>，除SO</w:t>
            </w:r>
            <w:r>
              <w:rPr>
                <w:color w:val="auto"/>
                <w:sz w:val="24"/>
                <w:u w:val="single"/>
                <w:vertAlign w:val="subscript"/>
              </w:rPr>
              <w:t>2</w:t>
            </w:r>
            <w:r>
              <w:rPr>
                <w:color w:val="auto"/>
                <w:sz w:val="24"/>
                <w:u w:val="single"/>
              </w:rPr>
              <w:t>效率取15%，排放量分别为SO</w:t>
            </w:r>
            <w:r>
              <w:rPr>
                <w:color w:val="auto"/>
                <w:sz w:val="24"/>
                <w:u w:val="single"/>
                <w:vertAlign w:val="subscript"/>
              </w:rPr>
              <w:t>2</w:t>
            </w:r>
            <w:r>
              <w:rPr>
                <w:color w:val="auto"/>
                <w:sz w:val="24"/>
                <w:u w:val="single"/>
              </w:rPr>
              <w:t>：</w:t>
            </w:r>
            <w:r>
              <w:rPr>
                <w:rFonts w:hint="eastAsia"/>
                <w:color w:val="auto"/>
                <w:sz w:val="24"/>
                <w:u w:val="single"/>
                <w:lang w:val="en-US" w:eastAsia="zh-CN"/>
              </w:rPr>
              <w:t>0.217</w:t>
            </w:r>
            <w:r>
              <w:rPr>
                <w:color w:val="auto"/>
                <w:sz w:val="24"/>
                <w:u w:val="single"/>
              </w:rPr>
              <w:t>t/a、氮氧化物：</w:t>
            </w:r>
            <w:r>
              <w:rPr>
                <w:rFonts w:hint="eastAsia"/>
                <w:color w:val="auto"/>
                <w:sz w:val="24"/>
                <w:u w:val="single"/>
                <w:lang w:val="en-US" w:eastAsia="zh-CN"/>
              </w:rPr>
              <w:t>0.153</w:t>
            </w:r>
            <w:r>
              <w:rPr>
                <w:color w:val="auto"/>
                <w:sz w:val="24"/>
                <w:u w:val="single"/>
              </w:rPr>
              <w:t>t/a、颗粒物：0.</w:t>
            </w:r>
            <w:r>
              <w:rPr>
                <w:rFonts w:hint="eastAsia"/>
                <w:color w:val="auto"/>
                <w:sz w:val="24"/>
                <w:u w:val="single"/>
                <w:lang w:val="en-US" w:eastAsia="zh-CN"/>
              </w:rPr>
              <w:t>028</w:t>
            </w:r>
            <w:r>
              <w:rPr>
                <w:color w:val="auto"/>
                <w:sz w:val="24"/>
                <w:u w:val="single"/>
              </w:rPr>
              <w:t>t/a。</w:t>
            </w:r>
          </w:p>
          <w:p>
            <w:pPr>
              <w:adjustRightInd w:val="0"/>
              <w:snapToGrid w:val="0"/>
              <w:spacing w:line="360" w:lineRule="auto"/>
              <w:ind w:firstLine="480" w:firstLineChars="200"/>
              <w:rPr>
                <w:bCs/>
                <w:color w:val="auto"/>
                <w:sz w:val="24"/>
                <w:u w:val="none"/>
              </w:rPr>
            </w:pPr>
            <w:r>
              <w:rPr>
                <w:bCs/>
                <w:color w:val="auto"/>
                <w:sz w:val="24"/>
                <w:u w:val="none"/>
              </w:rPr>
              <w:t>（5）生产废气产生及排放情况小结</w:t>
            </w:r>
          </w:p>
          <w:p>
            <w:pPr>
              <w:adjustRightInd w:val="0"/>
              <w:snapToGrid w:val="0"/>
              <w:spacing w:line="360" w:lineRule="auto"/>
              <w:ind w:firstLine="480" w:firstLineChars="200"/>
              <w:rPr>
                <w:rFonts w:ascii="Times New Roman" w:hAnsi="Times New Roman" w:eastAsia="宋体" w:cs="Times New Roman"/>
                <w:b/>
                <w:color w:val="auto"/>
                <w:sz w:val="21"/>
                <w:szCs w:val="21"/>
                <w:u w:val="none"/>
              </w:rPr>
            </w:pPr>
            <w:r>
              <w:rPr>
                <w:bCs/>
                <w:color w:val="auto"/>
                <w:sz w:val="24"/>
                <w:u w:val="none"/>
              </w:rPr>
              <w:t>本项目运营期生产废气产生及排放情况如下。</w:t>
            </w:r>
          </w:p>
          <w:p>
            <w:pPr>
              <w:pStyle w:val="8"/>
              <w:jc w:val="center"/>
              <w:rPr>
                <w:rFonts w:ascii="Times New Roman" w:hAnsi="Times New Roman" w:eastAsia="宋体" w:cs="Times New Roman"/>
                <w:b/>
                <w:color w:val="auto"/>
                <w:sz w:val="21"/>
                <w:szCs w:val="21"/>
                <w:u w:val="none"/>
              </w:rPr>
            </w:pPr>
            <w:r>
              <w:rPr>
                <w:rFonts w:ascii="Times New Roman" w:hAnsi="Times New Roman" w:eastAsia="宋体" w:cs="Times New Roman"/>
                <w:b/>
                <w:color w:val="auto"/>
                <w:sz w:val="21"/>
                <w:szCs w:val="21"/>
                <w:u w:val="none"/>
              </w:rPr>
              <w:t>表</w:t>
            </w:r>
            <w:r>
              <w:rPr>
                <w:rFonts w:hint="eastAsia" w:ascii="Times New Roman" w:hAnsi="Times New Roman" w:eastAsia="宋体" w:cs="Times New Roman"/>
                <w:b/>
                <w:color w:val="auto"/>
                <w:sz w:val="21"/>
                <w:szCs w:val="21"/>
                <w:u w:val="none"/>
                <w:lang w:val="en-US" w:eastAsia="zh-CN"/>
              </w:rPr>
              <w:t>5-7</w:t>
            </w:r>
            <w:r>
              <w:rPr>
                <w:rFonts w:ascii="Times New Roman" w:hAnsi="Times New Roman" w:eastAsia="宋体" w:cs="Times New Roman"/>
                <w:b/>
                <w:color w:val="auto"/>
                <w:sz w:val="21"/>
                <w:szCs w:val="21"/>
                <w:u w:val="none"/>
              </w:rPr>
              <w:t xml:space="preserve">  生产废气污染物产生排放情况</w:t>
            </w:r>
          </w:p>
          <w:tbl>
            <w:tblPr>
              <w:tblStyle w:val="22"/>
              <w:tblW w:w="889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0"/>
              <w:gridCol w:w="709"/>
              <w:gridCol w:w="1418"/>
              <w:gridCol w:w="1186"/>
              <w:gridCol w:w="1623"/>
              <w:gridCol w:w="791"/>
              <w:gridCol w:w="1104"/>
              <w:gridCol w:w="915"/>
              <w:gridCol w:w="8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3623" w:type="dxa"/>
                  <w:gridSpan w:val="4"/>
                  <w:vMerge w:val="restart"/>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产生情况</w:t>
                  </w:r>
                </w:p>
              </w:tc>
              <w:tc>
                <w:tcPr>
                  <w:tcW w:w="1623" w:type="dxa"/>
                  <w:vMerge w:val="restart"/>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治理措施</w:t>
                  </w:r>
                </w:p>
              </w:tc>
              <w:tc>
                <w:tcPr>
                  <w:tcW w:w="3652" w:type="dxa"/>
                  <w:gridSpan w:val="4"/>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排放情况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3623" w:type="dxa"/>
                  <w:gridSpan w:val="4"/>
                  <w:vMerge w:val="continue"/>
                  <w:noWrap w:val="0"/>
                  <w:vAlign w:val="center"/>
                </w:tcPr>
                <w:p>
                  <w:pPr>
                    <w:adjustRightInd w:val="0"/>
                    <w:snapToGrid w:val="0"/>
                    <w:jc w:val="center"/>
                    <w:rPr>
                      <w:bCs/>
                      <w:color w:val="auto"/>
                      <w:szCs w:val="21"/>
                      <w:u w:val="none"/>
                    </w:rPr>
                  </w:pPr>
                </w:p>
              </w:tc>
              <w:tc>
                <w:tcPr>
                  <w:tcW w:w="1623" w:type="dxa"/>
                  <w:vMerge w:val="continue"/>
                  <w:noWrap w:val="0"/>
                  <w:vAlign w:val="center"/>
                </w:tcPr>
                <w:p>
                  <w:pPr>
                    <w:adjustRightInd w:val="0"/>
                    <w:snapToGrid w:val="0"/>
                    <w:jc w:val="center"/>
                    <w:rPr>
                      <w:bCs/>
                      <w:color w:val="auto"/>
                      <w:szCs w:val="21"/>
                      <w:u w:val="none"/>
                    </w:rPr>
                  </w:pPr>
                </w:p>
              </w:tc>
              <w:tc>
                <w:tcPr>
                  <w:tcW w:w="791" w:type="dxa"/>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污染物</w:t>
                  </w:r>
                </w:p>
              </w:tc>
              <w:tc>
                <w:tcPr>
                  <w:tcW w:w="1104" w:type="dxa"/>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排放浓度（mg/m</w:t>
                  </w:r>
                  <w:r>
                    <w:rPr>
                      <w:bCs/>
                      <w:color w:val="auto"/>
                      <w:szCs w:val="21"/>
                      <w:u w:val="none"/>
                      <w:shd w:val="clear" w:color="auto" w:fill="FFFFFF"/>
                      <w:vertAlign w:val="superscript"/>
                    </w:rPr>
                    <w:t>3</w:t>
                  </w:r>
                  <w:r>
                    <w:rPr>
                      <w:bCs/>
                      <w:color w:val="auto"/>
                      <w:szCs w:val="21"/>
                      <w:u w:val="none"/>
                      <w:shd w:val="clear" w:color="auto" w:fill="FFFFFF"/>
                    </w:rPr>
                    <w:t>）</w:t>
                  </w:r>
                </w:p>
              </w:tc>
              <w:tc>
                <w:tcPr>
                  <w:tcW w:w="915" w:type="dxa"/>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排放速率（kg/h）</w:t>
                  </w:r>
                </w:p>
              </w:tc>
              <w:tc>
                <w:tcPr>
                  <w:tcW w:w="842" w:type="dxa"/>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310" w:type="dxa"/>
                  <w:vMerge w:val="restart"/>
                  <w:tcBorders>
                    <w:bottom w:val="single" w:color="auto" w:sz="6" w:space="0"/>
                    <w:right w:val="single" w:color="auto" w:sz="4" w:space="0"/>
                  </w:tcBorders>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有组织废气</w:t>
                  </w:r>
                </w:p>
              </w:tc>
              <w:tc>
                <w:tcPr>
                  <w:tcW w:w="709" w:type="dxa"/>
                  <w:tcBorders>
                    <w:left w:val="single" w:color="auto" w:sz="4" w:space="0"/>
                    <w:bottom w:val="single" w:color="auto" w:sz="6" w:space="0"/>
                  </w:tcBorders>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粉碎粉尘</w:t>
                  </w:r>
                </w:p>
              </w:tc>
              <w:tc>
                <w:tcPr>
                  <w:tcW w:w="1418" w:type="dxa"/>
                  <w:tcBorders>
                    <w:bottom w:val="single" w:color="auto" w:sz="6" w:space="0"/>
                  </w:tcBorders>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颗粒物：</w:t>
                  </w:r>
                  <w:r>
                    <w:rPr>
                      <w:rFonts w:hint="eastAsia"/>
                      <w:bCs/>
                      <w:color w:val="auto"/>
                      <w:szCs w:val="21"/>
                      <w:u w:val="none"/>
                      <w:shd w:val="clear" w:color="auto" w:fill="FFFFFF"/>
                      <w:lang w:val="en-US" w:eastAsia="zh-CN"/>
                    </w:rPr>
                    <w:t>0.45</w:t>
                  </w:r>
                  <w:r>
                    <w:rPr>
                      <w:bCs/>
                      <w:color w:val="auto"/>
                      <w:szCs w:val="21"/>
                      <w:u w:val="none"/>
                      <w:shd w:val="clear" w:color="auto" w:fill="FFFFFF"/>
                    </w:rPr>
                    <w:t>t/a</w:t>
                  </w:r>
                </w:p>
              </w:tc>
              <w:tc>
                <w:tcPr>
                  <w:tcW w:w="1186" w:type="dxa"/>
                  <w:vMerge w:val="restart"/>
                  <w:noWrap w:val="0"/>
                  <w:vAlign w:val="center"/>
                </w:tcPr>
                <w:p>
                  <w:pPr>
                    <w:adjustRightInd w:val="0"/>
                    <w:snapToGrid w:val="0"/>
                    <w:jc w:val="center"/>
                    <w:rPr>
                      <w:rFonts w:hint="eastAsia"/>
                      <w:color w:val="auto"/>
                      <w:u w:val="single"/>
                      <w:lang w:val="en-US" w:eastAsia="zh-CN"/>
                    </w:rPr>
                  </w:pPr>
                  <w:r>
                    <w:rPr>
                      <w:rFonts w:hint="eastAsia"/>
                      <w:color w:val="auto"/>
                      <w:u w:val="single"/>
                      <w:lang w:eastAsia="zh-CN"/>
                    </w:rPr>
                    <w:t>颗粒物：</w:t>
                  </w:r>
                  <w:r>
                    <w:rPr>
                      <w:rFonts w:hint="eastAsia"/>
                      <w:color w:val="auto"/>
                      <w:u w:val="single"/>
                      <w:lang w:val="en-US" w:eastAsia="zh-CN"/>
                    </w:rPr>
                    <w:t>36.81t/a；</w:t>
                  </w:r>
                </w:p>
                <w:p>
                  <w:pPr>
                    <w:pStyle w:val="2"/>
                    <w:rPr>
                      <w:rFonts w:hint="eastAsia"/>
                      <w:color w:val="auto"/>
                      <w:sz w:val="21"/>
                      <w:szCs w:val="21"/>
                      <w:u w:val="single"/>
                      <w:lang w:val="en-US" w:eastAsia="zh-CN"/>
                    </w:rPr>
                  </w:pPr>
                  <w:r>
                    <w:rPr>
                      <w:rFonts w:hint="eastAsia"/>
                      <w:color w:val="auto"/>
                      <w:sz w:val="21"/>
                      <w:szCs w:val="21"/>
                      <w:u w:val="single"/>
                      <w:lang w:val="en-US" w:eastAsia="zh-CN"/>
                    </w:rPr>
                    <w:t>SO</w:t>
                  </w:r>
                  <w:r>
                    <w:rPr>
                      <w:rFonts w:hint="eastAsia"/>
                      <w:color w:val="auto"/>
                      <w:sz w:val="21"/>
                      <w:szCs w:val="21"/>
                      <w:u w:val="single"/>
                      <w:vertAlign w:val="subscript"/>
                      <w:lang w:val="en-US" w:eastAsia="zh-CN"/>
                    </w:rPr>
                    <w:t>2</w:t>
                  </w:r>
                  <w:r>
                    <w:rPr>
                      <w:rFonts w:hint="eastAsia"/>
                      <w:color w:val="auto"/>
                      <w:sz w:val="21"/>
                      <w:szCs w:val="21"/>
                      <w:u w:val="single"/>
                      <w:lang w:val="en-US" w:eastAsia="zh-CN"/>
                    </w:rPr>
                    <w:t>：1.455t/a；</w:t>
                  </w:r>
                  <w:r>
                    <w:rPr>
                      <w:bCs/>
                      <w:color w:val="auto"/>
                      <w:sz w:val="21"/>
                      <w:szCs w:val="18"/>
                      <w:u w:val="single"/>
                      <w:shd w:val="clear" w:color="auto" w:fill="FFFFFF"/>
                    </w:rPr>
                    <w:t>NOx：</w:t>
                  </w:r>
                  <w:r>
                    <w:rPr>
                      <w:rFonts w:hint="eastAsia"/>
                      <w:bCs/>
                      <w:color w:val="auto"/>
                      <w:sz w:val="21"/>
                      <w:szCs w:val="18"/>
                      <w:u w:val="single"/>
                      <w:shd w:val="clear" w:color="auto" w:fill="FFFFFF"/>
                      <w:lang w:val="en-US" w:eastAsia="zh-CN"/>
                    </w:rPr>
                    <w:t>2.043</w:t>
                  </w:r>
                  <w:r>
                    <w:rPr>
                      <w:bCs/>
                      <w:color w:val="auto"/>
                      <w:sz w:val="21"/>
                      <w:szCs w:val="18"/>
                      <w:u w:val="single"/>
                      <w:shd w:val="clear" w:color="auto" w:fill="FFFFFF"/>
                    </w:rPr>
                    <w:t>t/a</w:t>
                  </w:r>
                </w:p>
                <w:p>
                  <w:pPr>
                    <w:pStyle w:val="2"/>
                    <w:rPr>
                      <w:rFonts w:hint="eastAsia"/>
                      <w:color w:val="auto"/>
                      <w:sz w:val="21"/>
                      <w:szCs w:val="21"/>
                      <w:lang w:val="en-US" w:eastAsia="zh-CN"/>
                    </w:rPr>
                  </w:pPr>
                </w:p>
                <w:p>
                  <w:pPr>
                    <w:pStyle w:val="2"/>
                    <w:rPr>
                      <w:rFonts w:hint="default"/>
                      <w:color w:val="auto"/>
                      <w:lang w:val="en-US" w:eastAsia="zh-CN"/>
                    </w:rPr>
                  </w:pPr>
                </w:p>
              </w:tc>
              <w:tc>
                <w:tcPr>
                  <w:tcW w:w="1623" w:type="dxa"/>
                  <w:vMerge w:val="restart"/>
                  <w:noWrap w:val="0"/>
                  <w:vAlign w:val="center"/>
                </w:tcPr>
                <w:p>
                  <w:pPr>
                    <w:adjustRightInd w:val="0"/>
                    <w:snapToGrid w:val="0"/>
                    <w:jc w:val="center"/>
                    <w:rPr>
                      <w:color w:val="auto"/>
                      <w:szCs w:val="21"/>
                      <w:u w:val="none"/>
                    </w:rPr>
                  </w:pPr>
                  <w:r>
                    <w:rPr>
                      <w:rFonts w:hint="eastAsia"/>
                      <w:color w:val="auto"/>
                      <w:szCs w:val="21"/>
                      <w:u w:val="none"/>
                    </w:rPr>
                    <w:t>水雾</w:t>
                  </w:r>
                  <w:r>
                    <w:rPr>
                      <w:color w:val="auto"/>
                      <w:szCs w:val="21"/>
                      <w:u w:val="none"/>
                    </w:rPr>
                    <w:t>除尘器</w:t>
                  </w:r>
                  <w:r>
                    <w:rPr>
                      <w:rFonts w:hint="eastAsia"/>
                      <w:color w:val="auto"/>
                      <w:szCs w:val="21"/>
                      <w:u w:val="none"/>
                      <w:lang w:val="en-US" w:eastAsia="zh-CN"/>
                    </w:rPr>
                    <w:t>+静电除尘器</w:t>
                  </w:r>
                  <w:r>
                    <w:rPr>
                      <w:color w:val="auto"/>
                      <w:szCs w:val="21"/>
                      <w:u w:val="none"/>
                    </w:rPr>
                    <w:t>处理后通过</w:t>
                  </w:r>
                  <w:r>
                    <w:rPr>
                      <w:rFonts w:hint="eastAsia"/>
                      <w:color w:val="auto"/>
                      <w:szCs w:val="21"/>
                      <w:u w:val="none"/>
                      <w:lang w:val="en-US" w:eastAsia="zh-CN"/>
                    </w:rPr>
                    <w:t>15</w:t>
                  </w:r>
                  <w:r>
                    <w:rPr>
                      <w:color w:val="auto"/>
                      <w:szCs w:val="21"/>
                      <w:u w:val="none"/>
                    </w:rPr>
                    <w:t>m高排气筒</w:t>
                  </w:r>
                </w:p>
                <w:p>
                  <w:pPr>
                    <w:adjustRightInd w:val="0"/>
                    <w:snapToGrid w:val="0"/>
                    <w:jc w:val="center"/>
                    <w:rPr>
                      <w:color w:val="auto"/>
                      <w:szCs w:val="21"/>
                      <w:u w:val="none"/>
                    </w:rPr>
                  </w:pPr>
                  <w:r>
                    <w:rPr>
                      <w:color w:val="auto"/>
                      <w:szCs w:val="21"/>
                      <w:u w:val="none"/>
                    </w:rPr>
                    <w:t>（</w:t>
                  </w:r>
                  <w:r>
                    <w:rPr>
                      <w:rFonts w:hint="default"/>
                      <w:color w:val="auto"/>
                      <w:sz w:val="19"/>
                      <w:szCs w:val="20"/>
                    </w:rPr>
                    <w:t>水</w:t>
                  </w:r>
                  <w:r>
                    <w:rPr>
                      <w:rFonts w:hint="eastAsia"/>
                      <w:color w:val="auto"/>
                      <w:sz w:val="19"/>
                      <w:szCs w:val="20"/>
                      <w:lang w:eastAsia="zh-CN"/>
                    </w:rPr>
                    <w:t>雾</w:t>
                  </w:r>
                  <w:r>
                    <w:rPr>
                      <w:rFonts w:hint="eastAsia"/>
                      <w:color w:val="auto"/>
                      <w:szCs w:val="21"/>
                      <w:u w:val="none"/>
                    </w:rPr>
                    <w:t>除尘器除尘效率取90%，静电除尘器除尘效率取95%</w:t>
                  </w:r>
                  <w:r>
                    <w:rPr>
                      <w:color w:val="auto"/>
                      <w:szCs w:val="21"/>
                      <w:u w:val="none"/>
                    </w:rPr>
                    <w:t>，风机风量</w:t>
                  </w:r>
                  <w:r>
                    <w:rPr>
                      <w:rFonts w:hint="eastAsia"/>
                      <w:color w:val="auto"/>
                      <w:szCs w:val="21"/>
                      <w:u w:val="none"/>
                      <w:lang w:val="en-US" w:eastAsia="zh-CN"/>
                    </w:rPr>
                    <w:t>27</w:t>
                  </w:r>
                  <w:r>
                    <w:rPr>
                      <w:color w:val="auto"/>
                      <w:szCs w:val="21"/>
                      <w:u w:val="none"/>
                    </w:rPr>
                    <w:t>000m</w:t>
                  </w:r>
                  <w:r>
                    <w:rPr>
                      <w:color w:val="auto"/>
                      <w:szCs w:val="21"/>
                      <w:u w:val="none"/>
                      <w:vertAlign w:val="superscript"/>
                    </w:rPr>
                    <w:t>3</w:t>
                  </w:r>
                  <w:r>
                    <w:rPr>
                      <w:color w:val="auto"/>
                      <w:szCs w:val="21"/>
                      <w:u w:val="none"/>
                    </w:rPr>
                    <w:t>/h）</w:t>
                  </w:r>
                </w:p>
              </w:tc>
              <w:tc>
                <w:tcPr>
                  <w:tcW w:w="791" w:type="dxa"/>
                  <w:vMerge w:val="restart"/>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颗粒物</w:t>
                  </w:r>
                </w:p>
              </w:tc>
              <w:tc>
                <w:tcPr>
                  <w:tcW w:w="1104" w:type="dxa"/>
                  <w:vMerge w:val="restart"/>
                  <w:noWrap w:val="0"/>
                  <w:vAlign w:val="center"/>
                </w:tcPr>
                <w:p>
                  <w:pPr>
                    <w:adjustRightInd w:val="0"/>
                    <w:snapToGrid w:val="0"/>
                    <w:jc w:val="center"/>
                    <w:rPr>
                      <w:rFonts w:hint="default" w:eastAsia="宋体"/>
                      <w:bCs/>
                      <w:color w:val="auto"/>
                      <w:szCs w:val="21"/>
                      <w:u w:val="single"/>
                      <w:shd w:val="clear" w:color="auto" w:fill="FFFFFF"/>
                      <w:lang w:val="en-US" w:eastAsia="zh-CN"/>
                    </w:rPr>
                  </w:pPr>
                  <w:r>
                    <w:rPr>
                      <w:rFonts w:hint="eastAsia"/>
                      <w:bCs/>
                      <w:color w:val="auto"/>
                      <w:szCs w:val="21"/>
                      <w:u w:val="single"/>
                      <w:shd w:val="clear" w:color="auto" w:fill="FFFFFF"/>
                      <w:lang w:val="en-US" w:eastAsia="zh-CN"/>
                    </w:rPr>
                    <w:t>0.95</w:t>
                  </w:r>
                </w:p>
              </w:tc>
              <w:tc>
                <w:tcPr>
                  <w:tcW w:w="915" w:type="dxa"/>
                  <w:vMerge w:val="restart"/>
                  <w:noWrap w:val="0"/>
                  <w:vAlign w:val="center"/>
                </w:tcPr>
                <w:p>
                  <w:pPr>
                    <w:adjustRightInd w:val="0"/>
                    <w:snapToGrid w:val="0"/>
                    <w:jc w:val="center"/>
                    <w:rPr>
                      <w:rFonts w:hint="default" w:eastAsia="宋体"/>
                      <w:bCs/>
                      <w:color w:val="auto"/>
                      <w:szCs w:val="21"/>
                      <w:u w:val="single"/>
                      <w:shd w:val="clear" w:color="auto" w:fill="FFFFFF"/>
                      <w:lang w:val="en-US" w:eastAsia="zh-CN"/>
                    </w:rPr>
                  </w:pPr>
                  <w:r>
                    <w:rPr>
                      <w:rFonts w:hint="eastAsia"/>
                      <w:bCs/>
                      <w:color w:val="auto"/>
                      <w:szCs w:val="21"/>
                      <w:u w:val="single"/>
                      <w:shd w:val="clear" w:color="auto" w:fill="FFFFFF"/>
                      <w:lang w:val="en-US" w:eastAsia="zh-CN"/>
                    </w:rPr>
                    <w:t>0.026</w:t>
                  </w:r>
                </w:p>
              </w:tc>
              <w:tc>
                <w:tcPr>
                  <w:tcW w:w="842" w:type="dxa"/>
                  <w:vMerge w:val="restart"/>
                  <w:noWrap w:val="0"/>
                  <w:vAlign w:val="center"/>
                </w:tcPr>
                <w:p>
                  <w:pPr>
                    <w:adjustRightInd w:val="0"/>
                    <w:snapToGrid w:val="0"/>
                    <w:jc w:val="center"/>
                    <w:rPr>
                      <w:rFonts w:hint="default" w:eastAsia="宋体"/>
                      <w:bCs/>
                      <w:color w:val="auto"/>
                      <w:szCs w:val="21"/>
                      <w:u w:val="single"/>
                      <w:shd w:val="clear" w:color="auto" w:fill="FFFFFF"/>
                      <w:lang w:val="en-US" w:eastAsia="zh-CN"/>
                    </w:rPr>
                  </w:pPr>
                  <w:r>
                    <w:rPr>
                      <w:rFonts w:hint="eastAsia"/>
                      <w:bCs/>
                      <w:color w:val="auto"/>
                      <w:szCs w:val="21"/>
                      <w:u w:val="single"/>
                      <w:shd w:val="clear" w:color="auto" w:fill="FFFFFF"/>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310" w:type="dxa"/>
                  <w:vMerge w:val="continue"/>
                  <w:tcBorders>
                    <w:right w:val="single" w:color="auto" w:sz="4" w:space="0"/>
                  </w:tcBorders>
                  <w:noWrap w:val="0"/>
                  <w:vAlign w:val="center"/>
                </w:tcPr>
                <w:p>
                  <w:pPr>
                    <w:adjustRightInd w:val="0"/>
                    <w:snapToGrid w:val="0"/>
                    <w:jc w:val="center"/>
                    <w:rPr>
                      <w:bCs/>
                      <w:color w:val="auto"/>
                      <w:szCs w:val="21"/>
                      <w:u w:val="none"/>
                      <w:shd w:val="clear" w:color="auto" w:fill="FFFFFF"/>
                    </w:rPr>
                  </w:pPr>
                </w:p>
              </w:tc>
              <w:tc>
                <w:tcPr>
                  <w:tcW w:w="709" w:type="dxa"/>
                  <w:vMerge w:val="restart"/>
                  <w:tcBorders>
                    <w:left w:val="single" w:color="auto" w:sz="4" w:space="0"/>
                  </w:tcBorders>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烘干粉尘</w:t>
                  </w:r>
                </w:p>
              </w:tc>
              <w:tc>
                <w:tcPr>
                  <w:tcW w:w="1418" w:type="dxa"/>
                  <w:vMerge w:val="restart"/>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颗粒物：</w:t>
                  </w:r>
                  <w:r>
                    <w:rPr>
                      <w:rFonts w:hint="eastAsia"/>
                      <w:bCs/>
                      <w:color w:val="auto"/>
                      <w:szCs w:val="21"/>
                      <w:u w:val="none"/>
                      <w:shd w:val="clear" w:color="auto" w:fill="FFFFFF"/>
                      <w:lang w:val="en-US" w:eastAsia="zh-CN"/>
                    </w:rPr>
                    <w:t>30</w:t>
                  </w:r>
                  <w:r>
                    <w:rPr>
                      <w:bCs/>
                      <w:color w:val="auto"/>
                      <w:szCs w:val="21"/>
                      <w:u w:val="none"/>
                      <w:shd w:val="clear" w:color="auto" w:fill="FFFFFF"/>
                    </w:rPr>
                    <w:t>t/a</w:t>
                  </w:r>
                </w:p>
              </w:tc>
              <w:tc>
                <w:tcPr>
                  <w:tcW w:w="1186" w:type="dxa"/>
                  <w:vMerge w:val="continue"/>
                  <w:noWrap w:val="0"/>
                  <w:vAlign w:val="center"/>
                </w:tcPr>
                <w:p>
                  <w:pPr>
                    <w:adjustRightInd w:val="0"/>
                    <w:snapToGrid w:val="0"/>
                    <w:jc w:val="center"/>
                    <w:rPr>
                      <w:bCs/>
                      <w:color w:val="auto"/>
                      <w:szCs w:val="21"/>
                      <w:u w:val="none"/>
                      <w:shd w:val="clear" w:color="auto" w:fill="FFFFFF"/>
                    </w:rPr>
                  </w:pPr>
                </w:p>
              </w:tc>
              <w:tc>
                <w:tcPr>
                  <w:tcW w:w="1623" w:type="dxa"/>
                  <w:vMerge w:val="continue"/>
                  <w:noWrap w:val="0"/>
                  <w:vAlign w:val="center"/>
                </w:tcPr>
                <w:p>
                  <w:pPr>
                    <w:adjustRightInd w:val="0"/>
                    <w:snapToGrid w:val="0"/>
                    <w:jc w:val="center"/>
                    <w:rPr>
                      <w:bCs/>
                      <w:color w:val="auto"/>
                      <w:szCs w:val="21"/>
                      <w:u w:val="none"/>
                      <w:shd w:val="clear" w:color="auto" w:fill="FFFFFF"/>
                    </w:rPr>
                  </w:pPr>
                </w:p>
              </w:tc>
              <w:tc>
                <w:tcPr>
                  <w:tcW w:w="791" w:type="dxa"/>
                  <w:vMerge w:val="continue"/>
                  <w:noWrap w:val="0"/>
                  <w:vAlign w:val="center"/>
                </w:tcPr>
                <w:p>
                  <w:pPr>
                    <w:adjustRightInd w:val="0"/>
                    <w:snapToGrid w:val="0"/>
                    <w:jc w:val="center"/>
                    <w:rPr>
                      <w:bCs/>
                      <w:color w:val="auto"/>
                      <w:szCs w:val="21"/>
                      <w:u w:val="none"/>
                      <w:shd w:val="clear" w:color="auto" w:fill="FFFFFF"/>
                    </w:rPr>
                  </w:pPr>
                </w:p>
              </w:tc>
              <w:tc>
                <w:tcPr>
                  <w:tcW w:w="1104" w:type="dxa"/>
                  <w:vMerge w:val="continue"/>
                  <w:noWrap w:val="0"/>
                  <w:vAlign w:val="center"/>
                </w:tcPr>
                <w:p>
                  <w:pPr>
                    <w:adjustRightInd w:val="0"/>
                    <w:snapToGrid w:val="0"/>
                    <w:jc w:val="center"/>
                    <w:rPr>
                      <w:rFonts w:hint="default" w:eastAsia="宋体"/>
                      <w:bCs/>
                      <w:color w:val="auto"/>
                      <w:szCs w:val="21"/>
                      <w:u w:val="none"/>
                      <w:shd w:val="clear" w:color="auto" w:fill="FFFFFF"/>
                      <w:lang w:val="en-US" w:eastAsia="zh-CN"/>
                    </w:rPr>
                  </w:pPr>
                </w:p>
              </w:tc>
              <w:tc>
                <w:tcPr>
                  <w:tcW w:w="915" w:type="dxa"/>
                  <w:vMerge w:val="continue"/>
                  <w:noWrap w:val="0"/>
                  <w:vAlign w:val="center"/>
                </w:tcPr>
                <w:p>
                  <w:pPr>
                    <w:adjustRightInd w:val="0"/>
                    <w:snapToGrid w:val="0"/>
                    <w:jc w:val="center"/>
                    <w:rPr>
                      <w:rFonts w:hint="default" w:eastAsia="宋体"/>
                      <w:bCs/>
                      <w:color w:val="auto"/>
                      <w:szCs w:val="21"/>
                      <w:u w:val="none"/>
                      <w:shd w:val="clear" w:color="auto" w:fill="FFFFFF"/>
                      <w:lang w:val="en-US" w:eastAsia="zh-CN"/>
                    </w:rPr>
                  </w:pPr>
                </w:p>
              </w:tc>
              <w:tc>
                <w:tcPr>
                  <w:tcW w:w="842" w:type="dxa"/>
                  <w:vMerge w:val="continue"/>
                  <w:noWrap w:val="0"/>
                  <w:vAlign w:val="center"/>
                </w:tcPr>
                <w:p>
                  <w:pPr>
                    <w:adjustRightInd w:val="0"/>
                    <w:snapToGrid w:val="0"/>
                    <w:jc w:val="center"/>
                    <w:rPr>
                      <w:rFonts w:hint="default" w:eastAsia="宋体"/>
                      <w:bCs/>
                      <w:color w:val="auto"/>
                      <w:szCs w:val="21"/>
                      <w:u w:val="none"/>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10" w:type="dxa"/>
                  <w:vMerge w:val="continue"/>
                  <w:tcBorders>
                    <w:right w:val="single" w:color="auto" w:sz="4" w:space="0"/>
                  </w:tcBorders>
                  <w:noWrap w:val="0"/>
                  <w:vAlign w:val="center"/>
                </w:tcPr>
                <w:p>
                  <w:pPr>
                    <w:adjustRightInd w:val="0"/>
                    <w:snapToGrid w:val="0"/>
                    <w:jc w:val="center"/>
                    <w:rPr>
                      <w:bCs/>
                      <w:color w:val="auto"/>
                      <w:szCs w:val="21"/>
                      <w:u w:val="none"/>
                      <w:shd w:val="clear" w:color="auto" w:fill="FFFFFF"/>
                    </w:rPr>
                  </w:pPr>
                </w:p>
              </w:tc>
              <w:tc>
                <w:tcPr>
                  <w:tcW w:w="709" w:type="dxa"/>
                  <w:vMerge w:val="continue"/>
                  <w:tcBorders>
                    <w:left w:val="single" w:color="auto" w:sz="4" w:space="0"/>
                  </w:tcBorders>
                  <w:noWrap w:val="0"/>
                  <w:vAlign w:val="center"/>
                </w:tcPr>
                <w:p>
                  <w:pPr>
                    <w:adjustRightInd w:val="0"/>
                    <w:snapToGrid w:val="0"/>
                    <w:jc w:val="center"/>
                    <w:rPr>
                      <w:bCs/>
                      <w:color w:val="auto"/>
                      <w:szCs w:val="21"/>
                      <w:u w:val="none"/>
                      <w:shd w:val="clear" w:color="auto" w:fill="FFFFFF"/>
                    </w:rPr>
                  </w:pPr>
                </w:p>
              </w:tc>
              <w:tc>
                <w:tcPr>
                  <w:tcW w:w="1418" w:type="dxa"/>
                  <w:vMerge w:val="continue"/>
                  <w:noWrap w:val="0"/>
                  <w:vAlign w:val="center"/>
                </w:tcPr>
                <w:p>
                  <w:pPr>
                    <w:adjustRightInd w:val="0"/>
                    <w:snapToGrid w:val="0"/>
                    <w:jc w:val="center"/>
                    <w:rPr>
                      <w:bCs/>
                      <w:color w:val="auto"/>
                      <w:szCs w:val="21"/>
                      <w:u w:val="none"/>
                      <w:shd w:val="clear" w:color="auto" w:fill="FFFFFF"/>
                    </w:rPr>
                  </w:pPr>
                </w:p>
              </w:tc>
              <w:tc>
                <w:tcPr>
                  <w:tcW w:w="1186" w:type="dxa"/>
                  <w:vMerge w:val="continue"/>
                  <w:noWrap w:val="0"/>
                  <w:vAlign w:val="center"/>
                </w:tcPr>
                <w:p>
                  <w:pPr>
                    <w:adjustRightInd w:val="0"/>
                    <w:snapToGrid w:val="0"/>
                    <w:jc w:val="center"/>
                    <w:rPr>
                      <w:bCs/>
                      <w:color w:val="auto"/>
                      <w:szCs w:val="21"/>
                      <w:u w:val="none"/>
                      <w:shd w:val="clear" w:color="auto" w:fill="FFFFFF"/>
                    </w:rPr>
                  </w:pPr>
                </w:p>
              </w:tc>
              <w:tc>
                <w:tcPr>
                  <w:tcW w:w="1623" w:type="dxa"/>
                  <w:vMerge w:val="continue"/>
                  <w:noWrap w:val="0"/>
                  <w:vAlign w:val="center"/>
                </w:tcPr>
                <w:p>
                  <w:pPr>
                    <w:adjustRightInd w:val="0"/>
                    <w:snapToGrid w:val="0"/>
                    <w:jc w:val="center"/>
                    <w:rPr>
                      <w:bCs/>
                      <w:color w:val="auto"/>
                      <w:szCs w:val="21"/>
                      <w:u w:val="none"/>
                      <w:shd w:val="clear" w:color="auto" w:fill="FFFFFF"/>
                    </w:rPr>
                  </w:pPr>
                </w:p>
              </w:tc>
              <w:tc>
                <w:tcPr>
                  <w:tcW w:w="791" w:type="dxa"/>
                  <w:vMerge w:val="restart"/>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NOx</w:t>
                  </w:r>
                </w:p>
              </w:tc>
              <w:tc>
                <w:tcPr>
                  <w:tcW w:w="1104" w:type="dxa"/>
                  <w:vMerge w:val="restart"/>
                  <w:noWrap w:val="0"/>
                  <w:vAlign w:val="center"/>
                </w:tcPr>
                <w:p>
                  <w:pPr>
                    <w:adjustRightInd w:val="0"/>
                    <w:snapToGrid w:val="0"/>
                    <w:jc w:val="center"/>
                    <w:rPr>
                      <w:rFonts w:hint="default" w:eastAsia="宋体"/>
                      <w:bCs/>
                      <w:color w:val="auto"/>
                      <w:szCs w:val="21"/>
                      <w:u w:val="single"/>
                      <w:shd w:val="clear" w:color="auto" w:fill="FFFFFF"/>
                      <w:lang w:val="en-US" w:eastAsia="zh-CN"/>
                    </w:rPr>
                  </w:pPr>
                  <w:r>
                    <w:rPr>
                      <w:rFonts w:hint="eastAsia"/>
                      <w:bCs/>
                      <w:color w:val="auto"/>
                      <w:szCs w:val="21"/>
                      <w:u w:val="single"/>
                      <w:shd w:val="clear" w:color="auto" w:fill="FFFFFF"/>
                      <w:lang w:val="en-US" w:eastAsia="zh-CN"/>
                    </w:rPr>
                    <w:t>10.51</w:t>
                  </w:r>
                </w:p>
              </w:tc>
              <w:tc>
                <w:tcPr>
                  <w:tcW w:w="915" w:type="dxa"/>
                  <w:vMerge w:val="restart"/>
                  <w:noWrap w:val="0"/>
                  <w:vAlign w:val="center"/>
                </w:tcPr>
                <w:p>
                  <w:pPr>
                    <w:adjustRightInd w:val="0"/>
                    <w:snapToGrid w:val="0"/>
                    <w:jc w:val="center"/>
                    <w:rPr>
                      <w:rFonts w:hint="default" w:eastAsia="宋体"/>
                      <w:bCs/>
                      <w:color w:val="auto"/>
                      <w:szCs w:val="21"/>
                      <w:u w:val="single"/>
                      <w:shd w:val="clear" w:color="auto" w:fill="FFFFFF"/>
                      <w:lang w:val="en-US" w:eastAsia="zh-CN"/>
                    </w:rPr>
                  </w:pPr>
                  <w:r>
                    <w:rPr>
                      <w:rFonts w:hint="eastAsia"/>
                      <w:bCs/>
                      <w:color w:val="auto"/>
                      <w:szCs w:val="21"/>
                      <w:u w:val="single"/>
                      <w:shd w:val="clear" w:color="auto" w:fill="FFFFFF"/>
                      <w:lang w:val="en-US" w:eastAsia="zh-CN"/>
                    </w:rPr>
                    <w:t>0.284</w:t>
                  </w:r>
                </w:p>
              </w:tc>
              <w:tc>
                <w:tcPr>
                  <w:tcW w:w="842" w:type="dxa"/>
                  <w:vMerge w:val="restart"/>
                  <w:noWrap w:val="0"/>
                  <w:vAlign w:val="center"/>
                </w:tcPr>
                <w:p>
                  <w:pPr>
                    <w:adjustRightInd w:val="0"/>
                    <w:snapToGrid w:val="0"/>
                    <w:jc w:val="center"/>
                    <w:rPr>
                      <w:rFonts w:hint="default" w:eastAsia="宋体"/>
                      <w:bCs/>
                      <w:color w:val="auto"/>
                      <w:szCs w:val="21"/>
                      <w:u w:val="single"/>
                      <w:shd w:val="clear" w:color="auto" w:fill="FFFFFF"/>
                      <w:lang w:val="en-US" w:eastAsia="zh-CN"/>
                    </w:rPr>
                  </w:pPr>
                  <w:r>
                    <w:rPr>
                      <w:rFonts w:hint="eastAsia"/>
                      <w:bCs/>
                      <w:color w:val="auto"/>
                      <w:szCs w:val="21"/>
                      <w:u w:val="single"/>
                      <w:shd w:val="clear" w:color="auto" w:fill="FFFFFF"/>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310" w:type="dxa"/>
                  <w:vMerge w:val="continue"/>
                  <w:tcBorders>
                    <w:right w:val="single" w:color="auto" w:sz="4" w:space="0"/>
                  </w:tcBorders>
                  <w:noWrap w:val="0"/>
                  <w:vAlign w:val="center"/>
                </w:tcPr>
                <w:p>
                  <w:pPr>
                    <w:adjustRightInd w:val="0"/>
                    <w:snapToGrid w:val="0"/>
                    <w:jc w:val="center"/>
                    <w:rPr>
                      <w:bCs/>
                      <w:color w:val="auto"/>
                      <w:szCs w:val="21"/>
                      <w:u w:val="none"/>
                      <w:shd w:val="clear" w:color="auto" w:fill="FFFFFF"/>
                    </w:rPr>
                  </w:pPr>
                </w:p>
              </w:tc>
              <w:tc>
                <w:tcPr>
                  <w:tcW w:w="709" w:type="dxa"/>
                  <w:tcBorders>
                    <w:left w:val="single" w:color="auto" w:sz="4" w:space="0"/>
                  </w:tcBorders>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生物质燃烧废气</w:t>
                  </w:r>
                </w:p>
              </w:tc>
              <w:tc>
                <w:tcPr>
                  <w:tcW w:w="1418" w:type="dxa"/>
                  <w:noWrap w:val="0"/>
                  <w:vAlign w:val="center"/>
                </w:tcPr>
                <w:p>
                  <w:pPr>
                    <w:adjustRightInd w:val="0"/>
                    <w:snapToGrid w:val="0"/>
                    <w:jc w:val="center"/>
                    <w:rPr>
                      <w:bCs/>
                      <w:color w:val="auto"/>
                      <w:szCs w:val="21"/>
                      <w:u w:val="single"/>
                      <w:shd w:val="clear" w:color="auto" w:fill="FFFFFF"/>
                    </w:rPr>
                  </w:pPr>
                  <w:r>
                    <w:rPr>
                      <w:bCs/>
                      <w:color w:val="auto"/>
                      <w:szCs w:val="21"/>
                      <w:u w:val="single"/>
                      <w:shd w:val="clear" w:color="auto" w:fill="FFFFFF"/>
                    </w:rPr>
                    <w:t>颗粒物：</w:t>
                  </w:r>
                  <w:r>
                    <w:rPr>
                      <w:rFonts w:hint="eastAsia"/>
                      <w:bCs/>
                      <w:color w:val="auto"/>
                      <w:szCs w:val="21"/>
                      <w:u w:val="single"/>
                      <w:shd w:val="clear" w:color="auto" w:fill="FFFFFF"/>
                      <w:lang w:val="en-US" w:eastAsia="zh-CN"/>
                    </w:rPr>
                    <w:t>5.64</w:t>
                  </w:r>
                  <w:r>
                    <w:rPr>
                      <w:bCs/>
                      <w:color w:val="auto"/>
                      <w:szCs w:val="21"/>
                      <w:u w:val="single"/>
                      <w:shd w:val="clear" w:color="auto" w:fill="FFFFFF"/>
                    </w:rPr>
                    <w:t>t/a</w:t>
                  </w:r>
                </w:p>
                <w:p>
                  <w:pPr>
                    <w:adjustRightInd w:val="0"/>
                    <w:snapToGrid w:val="0"/>
                    <w:jc w:val="center"/>
                    <w:rPr>
                      <w:bCs/>
                      <w:color w:val="auto"/>
                      <w:szCs w:val="21"/>
                      <w:u w:val="single"/>
                      <w:shd w:val="clear" w:color="auto" w:fill="FFFFFF"/>
                    </w:rPr>
                  </w:pPr>
                  <w:r>
                    <w:rPr>
                      <w:bCs/>
                      <w:color w:val="auto"/>
                      <w:szCs w:val="21"/>
                      <w:u w:val="single"/>
                      <w:shd w:val="clear" w:color="auto" w:fill="FFFFFF"/>
                    </w:rPr>
                    <w:t>SO</w:t>
                  </w:r>
                  <w:r>
                    <w:rPr>
                      <w:bCs/>
                      <w:color w:val="auto"/>
                      <w:szCs w:val="21"/>
                      <w:u w:val="single"/>
                      <w:shd w:val="clear" w:color="auto" w:fill="FFFFFF"/>
                      <w:vertAlign w:val="subscript"/>
                    </w:rPr>
                    <w:t>2</w:t>
                  </w:r>
                  <w:r>
                    <w:rPr>
                      <w:bCs/>
                      <w:color w:val="auto"/>
                      <w:szCs w:val="21"/>
                      <w:u w:val="single"/>
                      <w:shd w:val="clear" w:color="auto" w:fill="FFFFFF"/>
                    </w:rPr>
                    <w:t>：</w:t>
                  </w:r>
                  <w:r>
                    <w:rPr>
                      <w:rFonts w:hint="eastAsia"/>
                      <w:bCs/>
                      <w:color w:val="auto"/>
                      <w:szCs w:val="21"/>
                      <w:u w:val="single"/>
                      <w:shd w:val="clear" w:color="auto" w:fill="FFFFFF"/>
                      <w:lang w:val="en-US" w:eastAsia="zh-CN"/>
                    </w:rPr>
                    <w:t>0.255</w:t>
                  </w:r>
                  <w:r>
                    <w:rPr>
                      <w:bCs/>
                      <w:color w:val="auto"/>
                      <w:szCs w:val="21"/>
                      <w:u w:val="single"/>
                      <w:shd w:val="clear" w:color="auto" w:fill="FFFFFF"/>
                    </w:rPr>
                    <w:t>t/a</w:t>
                  </w:r>
                </w:p>
                <w:p>
                  <w:pPr>
                    <w:adjustRightInd w:val="0"/>
                    <w:snapToGrid w:val="0"/>
                    <w:jc w:val="center"/>
                    <w:rPr>
                      <w:bCs/>
                      <w:color w:val="auto"/>
                      <w:szCs w:val="21"/>
                      <w:u w:val="none"/>
                      <w:shd w:val="clear" w:color="auto" w:fill="FFFFFF"/>
                    </w:rPr>
                  </w:pPr>
                  <w:r>
                    <w:rPr>
                      <w:bCs/>
                      <w:color w:val="auto"/>
                      <w:szCs w:val="21"/>
                      <w:u w:val="single"/>
                      <w:shd w:val="clear" w:color="auto" w:fill="FFFFFF"/>
                    </w:rPr>
                    <w:t>NOx：0.</w:t>
                  </w:r>
                  <w:r>
                    <w:rPr>
                      <w:rFonts w:hint="eastAsia"/>
                      <w:bCs/>
                      <w:color w:val="auto"/>
                      <w:szCs w:val="21"/>
                      <w:u w:val="single"/>
                      <w:shd w:val="clear" w:color="auto" w:fill="FFFFFF"/>
                      <w:lang w:val="en-US" w:eastAsia="zh-CN"/>
                    </w:rPr>
                    <w:t>153</w:t>
                  </w:r>
                  <w:r>
                    <w:rPr>
                      <w:bCs/>
                      <w:color w:val="auto"/>
                      <w:szCs w:val="21"/>
                      <w:u w:val="single"/>
                      <w:shd w:val="clear" w:color="auto" w:fill="FFFFFF"/>
                    </w:rPr>
                    <w:t>t/a</w:t>
                  </w:r>
                </w:p>
              </w:tc>
              <w:tc>
                <w:tcPr>
                  <w:tcW w:w="1186" w:type="dxa"/>
                  <w:vMerge w:val="continue"/>
                  <w:noWrap w:val="0"/>
                  <w:vAlign w:val="center"/>
                </w:tcPr>
                <w:p>
                  <w:pPr>
                    <w:adjustRightInd w:val="0"/>
                    <w:snapToGrid w:val="0"/>
                    <w:jc w:val="center"/>
                    <w:rPr>
                      <w:bCs/>
                      <w:color w:val="auto"/>
                      <w:szCs w:val="21"/>
                      <w:u w:val="none"/>
                      <w:shd w:val="clear" w:color="auto" w:fill="FFFFFF"/>
                    </w:rPr>
                  </w:pPr>
                </w:p>
              </w:tc>
              <w:tc>
                <w:tcPr>
                  <w:tcW w:w="1623" w:type="dxa"/>
                  <w:vMerge w:val="continue"/>
                  <w:noWrap w:val="0"/>
                  <w:vAlign w:val="center"/>
                </w:tcPr>
                <w:p>
                  <w:pPr>
                    <w:adjustRightInd w:val="0"/>
                    <w:snapToGrid w:val="0"/>
                    <w:jc w:val="center"/>
                    <w:rPr>
                      <w:bCs/>
                      <w:color w:val="auto"/>
                      <w:szCs w:val="21"/>
                      <w:u w:val="none"/>
                      <w:shd w:val="clear" w:color="auto" w:fill="FFFFFF"/>
                    </w:rPr>
                  </w:pPr>
                </w:p>
              </w:tc>
              <w:tc>
                <w:tcPr>
                  <w:tcW w:w="791" w:type="dxa"/>
                  <w:vMerge w:val="continue"/>
                  <w:noWrap w:val="0"/>
                  <w:vAlign w:val="center"/>
                </w:tcPr>
                <w:p>
                  <w:pPr>
                    <w:adjustRightInd w:val="0"/>
                    <w:snapToGrid w:val="0"/>
                    <w:jc w:val="center"/>
                    <w:rPr>
                      <w:bCs/>
                      <w:color w:val="auto"/>
                      <w:szCs w:val="21"/>
                      <w:u w:val="none"/>
                      <w:shd w:val="clear" w:color="auto" w:fill="FFFFFF"/>
                    </w:rPr>
                  </w:pPr>
                </w:p>
              </w:tc>
              <w:tc>
                <w:tcPr>
                  <w:tcW w:w="1104" w:type="dxa"/>
                  <w:vMerge w:val="continue"/>
                  <w:noWrap w:val="0"/>
                  <w:vAlign w:val="center"/>
                </w:tcPr>
                <w:p>
                  <w:pPr>
                    <w:adjustRightInd w:val="0"/>
                    <w:snapToGrid w:val="0"/>
                    <w:jc w:val="center"/>
                    <w:rPr>
                      <w:bCs/>
                      <w:color w:val="auto"/>
                      <w:szCs w:val="21"/>
                      <w:u w:val="single"/>
                      <w:shd w:val="clear" w:color="auto" w:fill="FFFFFF"/>
                    </w:rPr>
                  </w:pPr>
                </w:p>
              </w:tc>
              <w:tc>
                <w:tcPr>
                  <w:tcW w:w="915" w:type="dxa"/>
                  <w:vMerge w:val="continue"/>
                  <w:noWrap w:val="0"/>
                  <w:vAlign w:val="center"/>
                </w:tcPr>
                <w:p>
                  <w:pPr>
                    <w:adjustRightInd w:val="0"/>
                    <w:snapToGrid w:val="0"/>
                    <w:jc w:val="center"/>
                    <w:rPr>
                      <w:bCs/>
                      <w:color w:val="auto"/>
                      <w:szCs w:val="21"/>
                      <w:u w:val="single"/>
                      <w:shd w:val="clear" w:color="auto" w:fill="FFFFFF"/>
                    </w:rPr>
                  </w:pPr>
                </w:p>
              </w:tc>
              <w:tc>
                <w:tcPr>
                  <w:tcW w:w="842" w:type="dxa"/>
                  <w:vMerge w:val="continue"/>
                  <w:noWrap w:val="0"/>
                  <w:vAlign w:val="center"/>
                </w:tcPr>
                <w:p>
                  <w:pPr>
                    <w:adjustRightInd w:val="0"/>
                    <w:snapToGrid w:val="0"/>
                    <w:jc w:val="center"/>
                    <w:rPr>
                      <w:bCs/>
                      <w:color w:val="auto"/>
                      <w:szCs w:val="21"/>
                      <w:u w:val="singl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310" w:type="dxa"/>
                  <w:vMerge w:val="continue"/>
                  <w:tcBorders>
                    <w:right w:val="single" w:color="auto" w:sz="4" w:space="0"/>
                  </w:tcBorders>
                  <w:noWrap w:val="0"/>
                  <w:vAlign w:val="center"/>
                </w:tcPr>
                <w:p>
                  <w:pPr>
                    <w:adjustRightInd w:val="0"/>
                    <w:snapToGrid w:val="0"/>
                    <w:jc w:val="center"/>
                    <w:rPr>
                      <w:bCs/>
                      <w:color w:val="auto"/>
                      <w:szCs w:val="21"/>
                      <w:u w:val="none"/>
                      <w:shd w:val="clear" w:color="auto" w:fill="FFFFFF"/>
                    </w:rPr>
                  </w:pPr>
                </w:p>
              </w:tc>
              <w:tc>
                <w:tcPr>
                  <w:tcW w:w="709" w:type="dxa"/>
                  <w:tcBorders>
                    <w:left w:val="single" w:color="auto" w:sz="4" w:space="0"/>
                  </w:tcBorders>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木煤气燃烧废气</w:t>
                  </w:r>
                </w:p>
              </w:tc>
              <w:tc>
                <w:tcPr>
                  <w:tcW w:w="1418" w:type="dxa"/>
                  <w:noWrap w:val="0"/>
                  <w:vAlign w:val="center"/>
                </w:tcPr>
                <w:p>
                  <w:pPr>
                    <w:adjustRightInd w:val="0"/>
                    <w:snapToGrid w:val="0"/>
                    <w:rPr>
                      <w:bCs/>
                      <w:color w:val="auto"/>
                      <w:szCs w:val="21"/>
                      <w:u w:val="none"/>
                      <w:shd w:val="clear" w:color="auto" w:fill="FFFFFF"/>
                    </w:rPr>
                  </w:pPr>
                  <w:r>
                    <w:rPr>
                      <w:bCs/>
                      <w:color w:val="auto"/>
                      <w:szCs w:val="21"/>
                      <w:u w:val="none"/>
                      <w:shd w:val="clear" w:color="auto" w:fill="FFFFFF"/>
                    </w:rPr>
                    <w:t>颗粒物：0.</w:t>
                  </w:r>
                  <w:r>
                    <w:rPr>
                      <w:rFonts w:hint="eastAsia"/>
                      <w:bCs/>
                      <w:color w:val="auto"/>
                      <w:szCs w:val="21"/>
                      <w:u w:val="none"/>
                      <w:shd w:val="clear" w:color="auto" w:fill="FFFFFF"/>
                      <w:lang w:val="en-US" w:eastAsia="zh-CN"/>
                    </w:rPr>
                    <w:t>72</w:t>
                  </w:r>
                  <w:r>
                    <w:rPr>
                      <w:bCs/>
                      <w:color w:val="auto"/>
                      <w:szCs w:val="21"/>
                      <w:u w:val="none"/>
                      <w:shd w:val="clear" w:color="auto" w:fill="FFFFFF"/>
                    </w:rPr>
                    <w:t>t/a</w:t>
                  </w:r>
                </w:p>
                <w:p>
                  <w:pPr>
                    <w:adjustRightInd w:val="0"/>
                    <w:snapToGrid w:val="0"/>
                    <w:jc w:val="center"/>
                    <w:rPr>
                      <w:bCs/>
                      <w:color w:val="auto"/>
                      <w:szCs w:val="21"/>
                      <w:u w:val="none"/>
                      <w:shd w:val="clear" w:color="auto" w:fill="FFFFFF"/>
                    </w:rPr>
                  </w:pPr>
                  <w:r>
                    <w:rPr>
                      <w:bCs/>
                      <w:color w:val="auto"/>
                      <w:szCs w:val="21"/>
                      <w:u w:val="none"/>
                      <w:shd w:val="clear" w:color="auto" w:fill="FFFFFF"/>
                    </w:rPr>
                    <w:t>SO</w:t>
                  </w:r>
                  <w:r>
                    <w:rPr>
                      <w:bCs/>
                      <w:color w:val="auto"/>
                      <w:szCs w:val="21"/>
                      <w:u w:val="none"/>
                      <w:shd w:val="clear" w:color="auto" w:fill="FFFFFF"/>
                      <w:vertAlign w:val="subscript"/>
                    </w:rPr>
                    <w:t>2</w:t>
                  </w:r>
                  <w:r>
                    <w:rPr>
                      <w:bCs/>
                      <w:color w:val="auto"/>
                      <w:szCs w:val="21"/>
                      <w:u w:val="none"/>
                      <w:shd w:val="clear" w:color="auto" w:fill="FFFFFF"/>
                    </w:rPr>
                    <w:t>：</w:t>
                  </w:r>
                  <w:r>
                    <w:rPr>
                      <w:rFonts w:hint="eastAsia"/>
                      <w:bCs/>
                      <w:color w:val="auto"/>
                      <w:szCs w:val="21"/>
                      <w:u w:val="none"/>
                      <w:shd w:val="clear" w:color="auto" w:fill="FFFFFF"/>
                      <w:lang w:val="en-US" w:eastAsia="zh-CN"/>
                    </w:rPr>
                    <w:t>1.2</w:t>
                  </w:r>
                  <w:r>
                    <w:rPr>
                      <w:bCs/>
                      <w:color w:val="auto"/>
                      <w:szCs w:val="21"/>
                      <w:u w:val="none"/>
                      <w:shd w:val="clear" w:color="auto" w:fill="FFFFFF"/>
                    </w:rPr>
                    <w:t>t/a</w:t>
                  </w:r>
                </w:p>
                <w:p>
                  <w:pPr>
                    <w:adjustRightInd w:val="0"/>
                    <w:snapToGrid w:val="0"/>
                    <w:jc w:val="center"/>
                    <w:rPr>
                      <w:bCs/>
                      <w:color w:val="auto"/>
                      <w:szCs w:val="21"/>
                      <w:u w:val="none"/>
                      <w:shd w:val="clear" w:color="auto" w:fill="FFFFFF"/>
                    </w:rPr>
                  </w:pPr>
                  <w:r>
                    <w:rPr>
                      <w:bCs/>
                      <w:color w:val="auto"/>
                      <w:szCs w:val="21"/>
                      <w:u w:val="none"/>
                      <w:shd w:val="clear" w:color="auto" w:fill="FFFFFF"/>
                    </w:rPr>
                    <w:t>NOx：</w:t>
                  </w:r>
                  <w:r>
                    <w:rPr>
                      <w:rFonts w:hint="eastAsia"/>
                      <w:bCs/>
                      <w:color w:val="auto"/>
                      <w:szCs w:val="21"/>
                      <w:u w:val="none"/>
                      <w:shd w:val="clear" w:color="auto" w:fill="FFFFFF"/>
                      <w:lang w:val="en-US" w:eastAsia="zh-CN"/>
                    </w:rPr>
                    <w:t>1.89</w:t>
                  </w:r>
                  <w:r>
                    <w:rPr>
                      <w:bCs/>
                      <w:color w:val="auto"/>
                      <w:szCs w:val="21"/>
                      <w:u w:val="none"/>
                      <w:shd w:val="clear" w:color="auto" w:fill="FFFFFF"/>
                    </w:rPr>
                    <w:t>t/a</w:t>
                  </w:r>
                </w:p>
              </w:tc>
              <w:tc>
                <w:tcPr>
                  <w:tcW w:w="1186" w:type="dxa"/>
                  <w:vMerge w:val="continue"/>
                  <w:noWrap w:val="0"/>
                  <w:vAlign w:val="center"/>
                </w:tcPr>
                <w:p>
                  <w:pPr>
                    <w:adjustRightInd w:val="0"/>
                    <w:snapToGrid w:val="0"/>
                    <w:jc w:val="center"/>
                    <w:rPr>
                      <w:bCs/>
                      <w:color w:val="auto"/>
                      <w:szCs w:val="21"/>
                      <w:u w:val="none"/>
                      <w:shd w:val="clear" w:color="auto" w:fill="FFFFFF"/>
                    </w:rPr>
                  </w:pPr>
                </w:p>
              </w:tc>
              <w:tc>
                <w:tcPr>
                  <w:tcW w:w="1623" w:type="dxa"/>
                  <w:vMerge w:val="continue"/>
                  <w:noWrap w:val="0"/>
                  <w:vAlign w:val="center"/>
                </w:tcPr>
                <w:p>
                  <w:pPr>
                    <w:adjustRightInd w:val="0"/>
                    <w:snapToGrid w:val="0"/>
                    <w:jc w:val="center"/>
                    <w:rPr>
                      <w:bCs/>
                      <w:color w:val="auto"/>
                      <w:szCs w:val="21"/>
                      <w:u w:val="none"/>
                      <w:shd w:val="clear" w:color="auto" w:fill="FFFFFF"/>
                    </w:rPr>
                  </w:pPr>
                </w:p>
              </w:tc>
              <w:tc>
                <w:tcPr>
                  <w:tcW w:w="791" w:type="dxa"/>
                  <w:noWrap w:val="0"/>
                  <w:vAlign w:val="center"/>
                </w:tcPr>
                <w:p>
                  <w:pPr>
                    <w:adjustRightInd w:val="0"/>
                    <w:snapToGrid w:val="0"/>
                    <w:jc w:val="center"/>
                    <w:rPr>
                      <w:bCs/>
                      <w:color w:val="auto"/>
                      <w:szCs w:val="21"/>
                      <w:u w:val="none"/>
                      <w:shd w:val="clear" w:color="auto" w:fill="FFFFFF"/>
                    </w:rPr>
                  </w:pPr>
                  <w:r>
                    <w:rPr>
                      <w:bCs/>
                      <w:color w:val="auto"/>
                      <w:szCs w:val="21"/>
                      <w:u w:val="none"/>
                      <w:shd w:val="clear" w:color="auto" w:fill="FFFFFF"/>
                    </w:rPr>
                    <w:t>SO</w:t>
                  </w:r>
                  <w:r>
                    <w:rPr>
                      <w:bCs/>
                      <w:color w:val="auto"/>
                      <w:szCs w:val="21"/>
                      <w:u w:val="none"/>
                      <w:shd w:val="clear" w:color="auto" w:fill="FFFFFF"/>
                      <w:vertAlign w:val="subscript"/>
                    </w:rPr>
                    <w:t>2</w:t>
                  </w:r>
                </w:p>
              </w:tc>
              <w:tc>
                <w:tcPr>
                  <w:tcW w:w="1104" w:type="dxa"/>
                  <w:noWrap w:val="0"/>
                  <w:vAlign w:val="center"/>
                </w:tcPr>
                <w:p>
                  <w:pPr>
                    <w:adjustRightInd w:val="0"/>
                    <w:snapToGrid w:val="0"/>
                    <w:jc w:val="center"/>
                    <w:rPr>
                      <w:rFonts w:hint="default" w:eastAsia="宋体"/>
                      <w:bCs/>
                      <w:color w:val="auto"/>
                      <w:szCs w:val="21"/>
                      <w:u w:val="single"/>
                      <w:shd w:val="clear" w:color="auto" w:fill="FFFFFF"/>
                      <w:lang w:val="en-US" w:eastAsia="zh-CN"/>
                    </w:rPr>
                  </w:pPr>
                  <w:r>
                    <w:rPr>
                      <w:rFonts w:hint="eastAsia"/>
                      <w:bCs/>
                      <w:color w:val="auto"/>
                      <w:szCs w:val="21"/>
                      <w:u w:val="single"/>
                      <w:shd w:val="clear" w:color="auto" w:fill="FFFFFF"/>
                      <w:lang w:val="en-US" w:eastAsia="zh-CN"/>
                    </w:rPr>
                    <w:t>6.36</w:t>
                  </w:r>
                </w:p>
              </w:tc>
              <w:tc>
                <w:tcPr>
                  <w:tcW w:w="915" w:type="dxa"/>
                  <w:noWrap w:val="0"/>
                  <w:vAlign w:val="center"/>
                </w:tcPr>
                <w:p>
                  <w:pPr>
                    <w:adjustRightInd w:val="0"/>
                    <w:snapToGrid w:val="0"/>
                    <w:jc w:val="center"/>
                    <w:rPr>
                      <w:rFonts w:hint="default" w:eastAsia="宋体"/>
                      <w:bCs/>
                      <w:color w:val="auto"/>
                      <w:szCs w:val="21"/>
                      <w:u w:val="single"/>
                      <w:shd w:val="clear" w:color="auto" w:fill="FFFFFF"/>
                      <w:lang w:val="en-US" w:eastAsia="zh-CN"/>
                    </w:rPr>
                  </w:pPr>
                  <w:r>
                    <w:rPr>
                      <w:rFonts w:hint="eastAsia"/>
                      <w:bCs/>
                      <w:color w:val="auto"/>
                      <w:szCs w:val="21"/>
                      <w:u w:val="single"/>
                      <w:shd w:val="clear" w:color="auto" w:fill="FFFFFF"/>
                      <w:lang w:val="en-US" w:eastAsia="zh-CN"/>
                    </w:rPr>
                    <w:t>0.17</w:t>
                  </w:r>
                </w:p>
              </w:tc>
              <w:tc>
                <w:tcPr>
                  <w:tcW w:w="842" w:type="dxa"/>
                  <w:noWrap w:val="0"/>
                  <w:vAlign w:val="center"/>
                </w:tcPr>
                <w:p>
                  <w:pPr>
                    <w:adjustRightInd w:val="0"/>
                    <w:snapToGrid w:val="0"/>
                    <w:jc w:val="center"/>
                    <w:rPr>
                      <w:rFonts w:hint="default" w:eastAsia="宋体"/>
                      <w:bCs/>
                      <w:color w:val="auto"/>
                      <w:szCs w:val="21"/>
                      <w:u w:val="single"/>
                      <w:shd w:val="clear" w:color="auto" w:fill="FFFFFF"/>
                      <w:lang w:val="en-US" w:eastAsia="zh-CN"/>
                    </w:rPr>
                  </w:pPr>
                  <w:r>
                    <w:rPr>
                      <w:rFonts w:hint="eastAsia"/>
                      <w:bCs/>
                      <w:color w:val="auto"/>
                      <w:szCs w:val="21"/>
                      <w:u w:val="single"/>
                      <w:shd w:val="clear" w:color="auto" w:fill="FFFFFF"/>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6" w:hRule="atLeast"/>
                <w:jc w:val="center"/>
              </w:trPr>
              <w:tc>
                <w:tcPr>
                  <w:tcW w:w="310" w:type="dxa"/>
                  <w:vMerge w:val="restart"/>
                  <w:tcBorders>
                    <w:right w:val="single" w:color="auto" w:sz="4" w:space="0"/>
                  </w:tcBorders>
                  <w:noWrap w:val="0"/>
                  <w:vAlign w:val="center"/>
                </w:tcPr>
                <w:p>
                  <w:pPr>
                    <w:adjustRightInd w:val="0"/>
                    <w:snapToGrid w:val="0"/>
                    <w:jc w:val="center"/>
                    <w:rPr>
                      <w:rFonts w:hint="eastAsia" w:eastAsia="宋体"/>
                      <w:bCs/>
                      <w:color w:val="auto"/>
                      <w:szCs w:val="21"/>
                      <w:u w:val="none"/>
                      <w:shd w:val="clear" w:color="auto" w:fill="FFFFFF"/>
                      <w:lang w:eastAsia="zh-CN"/>
                    </w:rPr>
                  </w:pPr>
                  <w:r>
                    <w:rPr>
                      <w:rFonts w:hint="eastAsia"/>
                      <w:bCs/>
                      <w:color w:val="auto"/>
                      <w:szCs w:val="21"/>
                      <w:u w:val="none"/>
                      <w:shd w:val="clear" w:color="auto" w:fill="FFFFFF"/>
                      <w:lang w:eastAsia="zh-CN"/>
                    </w:rPr>
                    <w:t>无组织废气</w:t>
                  </w:r>
                </w:p>
              </w:tc>
              <w:tc>
                <w:tcPr>
                  <w:tcW w:w="709" w:type="dxa"/>
                  <w:tcBorders>
                    <w:left w:val="single" w:color="auto" w:sz="4" w:space="0"/>
                  </w:tcBorders>
                  <w:noWrap w:val="0"/>
                  <w:vAlign w:val="center"/>
                </w:tcPr>
                <w:p>
                  <w:pPr>
                    <w:adjustRightInd w:val="0"/>
                    <w:snapToGrid w:val="0"/>
                    <w:jc w:val="center"/>
                    <w:rPr>
                      <w:bCs/>
                      <w:color w:val="auto"/>
                      <w:szCs w:val="21"/>
                      <w:u w:val="none"/>
                      <w:shd w:val="clear" w:color="auto" w:fill="FFFFFF"/>
                    </w:rPr>
                  </w:pPr>
                  <w:r>
                    <w:rPr>
                      <w:rFonts w:hint="eastAsia"/>
                      <w:bCs/>
                      <w:color w:val="auto"/>
                      <w:szCs w:val="21"/>
                      <w:u w:val="none"/>
                      <w:shd w:val="clear" w:color="auto" w:fill="FFFFFF"/>
                    </w:rPr>
                    <w:t>运输、装卸粉尘</w:t>
                  </w:r>
                </w:p>
              </w:tc>
              <w:tc>
                <w:tcPr>
                  <w:tcW w:w="1418" w:type="dxa"/>
                  <w:noWrap w:val="0"/>
                  <w:vAlign w:val="center"/>
                </w:tcPr>
                <w:p>
                  <w:pPr>
                    <w:adjustRightInd w:val="0"/>
                    <w:snapToGrid w:val="0"/>
                    <w:jc w:val="center"/>
                    <w:rPr>
                      <w:rFonts w:hint="default" w:eastAsia="宋体"/>
                      <w:bCs/>
                      <w:color w:val="auto"/>
                      <w:szCs w:val="21"/>
                      <w:u w:val="none"/>
                      <w:shd w:val="clear" w:color="auto" w:fill="FFFFFF"/>
                      <w:lang w:val="en-US" w:eastAsia="zh-CN"/>
                    </w:rPr>
                  </w:pPr>
                  <w:r>
                    <w:rPr>
                      <w:rFonts w:hint="eastAsia"/>
                      <w:bCs/>
                      <w:color w:val="auto"/>
                      <w:szCs w:val="21"/>
                      <w:u w:val="none"/>
                      <w:shd w:val="clear" w:color="auto" w:fill="FFFFFF"/>
                      <w:lang w:eastAsia="zh-CN"/>
                    </w:rPr>
                    <w:t>颗粒物：</w:t>
                  </w:r>
                  <w:r>
                    <w:rPr>
                      <w:rFonts w:hint="eastAsia"/>
                      <w:bCs/>
                      <w:color w:val="auto"/>
                      <w:szCs w:val="21"/>
                      <w:u w:val="none"/>
                      <w:shd w:val="clear" w:color="auto" w:fill="FFFFFF"/>
                      <w:lang w:val="en-US" w:eastAsia="zh-CN"/>
                    </w:rPr>
                    <w:t>0.3t/a</w:t>
                  </w:r>
                </w:p>
              </w:tc>
              <w:tc>
                <w:tcPr>
                  <w:tcW w:w="1186" w:type="dxa"/>
                  <w:vMerge w:val="restart"/>
                  <w:noWrap w:val="0"/>
                  <w:vAlign w:val="center"/>
                </w:tcPr>
                <w:p>
                  <w:pPr>
                    <w:adjustRightInd w:val="0"/>
                    <w:snapToGrid w:val="0"/>
                    <w:jc w:val="center"/>
                    <w:rPr>
                      <w:rFonts w:hint="eastAsia"/>
                      <w:bCs/>
                      <w:color w:val="auto"/>
                      <w:szCs w:val="21"/>
                      <w:u w:val="none"/>
                      <w:shd w:val="clear" w:color="auto" w:fill="FFFFFF"/>
                      <w:lang w:eastAsia="zh-CN"/>
                    </w:rPr>
                  </w:pPr>
                  <w:r>
                    <w:rPr>
                      <w:rFonts w:hint="eastAsia"/>
                      <w:bCs/>
                      <w:color w:val="auto"/>
                      <w:szCs w:val="21"/>
                      <w:u w:val="single"/>
                      <w:shd w:val="clear" w:color="auto" w:fill="FFFFFF"/>
                      <w:lang w:eastAsia="zh-CN"/>
                    </w:rPr>
                    <w:t>颗粒物：</w:t>
                  </w:r>
                  <w:r>
                    <w:rPr>
                      <w:rFonts w:hint="eastAsia"/>
                      <w:bCs/>
                      <w:color w:val="auto"/>
                      <w:szCs w:val="21"/>
                      <w:u w:val="single"/>
                      <w:shd w:val="clear" w:color="auto" w:fill="FFFFFF"/>
                      <w:lang w:val="en-US" w:eastAsia="zh-CN"/>
                    </w:rPr>
                    <w:t>1.08t/a</w:t>
                  </w:r>
                </w:p>
              </w:tc>
              <w:tc>
                <w:tcPr>
                  <w:tcW w:w="1623" w:type="dxa"/>
                  <w:noWrap w:val="0"/>
                  <w:vAlign w:val="center"/>
                </w:tcPr>
                <w:p>
                  <w:pPr>
                    <w:adjustRightInd w:val="0"/>
                    <w:snapToGrid w:val="0"/>
                    <w:jc w:val="center"/>
                    <w:rPr>
                      <w:rFonts w:hint="eastAsia"/>
                      <w:color w:val="auto"/>
                      <w:u w:val="single"/>
                      <w:lang w:eastAsia="zh-CN"/>
                    </w:rPr>
                  </w:pPr>
                  <w:r>
                    <w:rPr>
                      <w:rFonts w:hint="eastAsia"/>
                      <w:color w:val="auto"/>
                      <w:u w:val="single"/>
                      <w:lang w:eastAsia="zh-CN"/>
                    </w:rPr>
                    <w:t>洒水降尘</w:t>
                  </w:r>
                </w:p>
                <w:p>
                  <w:pPr>
                    <w:pStyle w:val="2"/>
                    <w:jc w:val="center"/>
                    <w:rPr>
                      <w:rFonts w:hint="default"/>
                      <w:color w:val="auto"/>
                      <w:lang w:val="en-US" w:eastAsia="zh-CN"/>
                    </w:rPr>
                  </w:pPr>
                  <w:r>
                    <w:rPr>
                      <w:rFonts w:hint="eastAsia"/>
                      <w:bCs/>
                      <w:color w:val="auto"/>
                      <w:sz w:val="21"/>
                      <w:szCs w:val="18"/>
                      <w:u w:val="single"/>
                      <w:shd w:val="clear" w:color="auto" w:fill="FFFFFF"/>
                      <w:lang w:val="en-US" w:eastAsia="zh-CN"/>
                    </w:rPr>
                    <w:t>70%</w:t>
                  </w:r>
                </w:p>
              </w:tc>
              <w:tc>
                <w:tcPr>
                  <w:tcW w:w="791" w:type="dxa"/>
                  <w:vMerge w:val="restart"/>
                  <w:noWrap w:val="0"/>
                  <w:vAlign w:val="center"/>
                </w:tcPr>
                <w:p>
                  <w:pPr>
                    <w:adjustRightInd w:val="0"/>
                    <w:snapToGrid w:val="0"/>
                    <w:jc w:val="center"/>
                    <w:rPr>
                      <w:rFonts w:hint="eastAsia" w:eastAsia="宋体"/>
                      <w:bCs/>
                      <w:color w:val="auto"/>
                      <w:szCs w:val="21"/>
                      <w:u w:val="none"/>
                      <w:shd w:val="clear" w:color="auto" w:fill="FFFFFF"/>
                      <w:lang w:eastAsia="zh-CN"/>
                    </w:rPr>
                  </w:pPr>
                  <w:r>
                    <w:rPr>
                      <w:rFonts w:hint="eastAsia"/>
                      <w:bCs/>
                      <w:color w:val="auto"/>
                      <w:szCs w:val="21"/>
                      <w:u w:val="none"/>
                      <w:shd w:val="clear" w:color="auto" w:fill="FFFFFF"/>
                      <w:lang w:eastAsia="zh-CN"/>
                    </w:rPr>
                    <w:t>颗粒物</w:t>
                  </w:r>
                </w:p>
              </w:tc>
              <w:tc>
                <w:tcPr>
                  <w:tcW w:w="1104" w:type="dxa"/>
                  <w:vMerge w:val="restart"/>
                  <w:noWrap w:val="0"/>
                  <w:vAlign w:val="center"/>
                </w:tcPr>
                <w:p>
                  <w:pPr>
                    <w:adjustRightInd w:val="0"/>
                    <w:snapToGrid w:val="0"/>
                    <w:jc w:val="center"/>
                    <w:rPr>
                      <w:rFonts w:hint="default"/>
                      <w:bCs/>
                      <w:color w:val="auto"/>
                      <w:szCs w:val="21"/>
                      <w:u w:val="none"/>
                      <w:shd w:val="clear" w:color="auto" w:fill="FFFFFF"/>
                      <w:lang w:val="en-US" w:eastAsia="zh-CN"/>
                    </w:rPr>
                  </w:pPr>
                  <w:r>
                    <w:rPr>
                      <w:rFonts w:hint="eastAsia"/>
                      <w:bCs/>
                      <w:color w:val="auto"/>
                      <w:szCs w:val="21"/>
                      <w:u w:val="none"/>
                      <w:shd w:val="clear" w:color="auto" w:fill="FFFFFF"/>
                      <w:lang w:val="en-US" w:eastAsia="zh-CN"/>
                    </w:rPr>
                    <w:t>/</w:t>
                  </w:r>
                </w:p>
              </w:tc>
              <w:tc>
                <w:tcPr>
                  <w:tcW w:w="915" w:type="dxa"/>
                  <w:vMerge w:val="restart"/>
                  <w:noWrap w:val="0"/>
                  <w:vAlign w:val="center"/>
                </w:tcPr>
                <w:p>
                  <w:pPr>
                    <w:adjustRightInd w:val="0"/>
                    <w:snapToGrid w:val="0"/>
                    <w:jc w:val="center"/>
                    <w:rPr>
                      <w:rFonts w:hint="default"/>
                      <w:bCs/>
                      <w:color w:val="auto"/>
                      <w:szCs w:val="21"/>
                      <w:u w:val="none"/>
                      <w:shd w:val="clear" w:color="auto" w:fill="FFFFFF"/>
                      <w:lang w:val="en-US" w:eastAsia="zh-CN"/>
                    </w:rPr>
                  </w:pPr>
                  <w:r>
                    <w:rPr>
                      <w:rFonts w:hint="eastAsia"/>
                      <w:bCs/>
                      <w:color w:val="auto"/>
                      <w:szCs w:val="21"/>
                      <w:u w:val="none"/>
                      <w:shd w:val="clear" w:color="auto" w:fill="FFFFFF"/>
                      <w:lang w:val="en-US" w:eastAsia="zh-CN"/>
                    </w:rPr>
                    <w:t>/</w:t>
                  </w:r>
                </w:p>
              </w:tc>
              <w:tc>
                <w:tcPr>
                  <w:tcW w:w="842" w:type="dxa"/>
                  <w:vMerge w:val="restart"/>
                  <w:noWrap w:val="0"/>
                  <w:vAlign w:val="center"/>
                </w:tcPr>
                <w:p>
                  <w:pPr>
                    <w:adjustRightInd w:val="0"/>
                    <w:snapToGrid w:val="0"/>
                    <w:jc w:val="center"/>
                    <w:rPr>
                      <w:rFonts w:hint="default"/>
                      <w:bCs/>
                      <w:color w:val="auto"/>
                      <w:szCs w:val="21"/>
                      <w:u w:val="none"/>
                      <w:shd w:val="clear" w:color="auto" w:fill="FFFFFF"/>
                      <w:lang w:val="en-US" w:eastAsia="zh-CN"/>
                    </w:rPr>
                  </w:pPr>
                  <w:r>
                    <w:rPr>
                      <w:rFonts w:hint="eastAsia"/>
                      <w:bCs/>
                      <w:color w:val="auto"/>
                      <w:szCs w:val="21"/>
                      <w:u w:val="single"/>
                      <w:shd w:val="clear" w:color="auto" w:fill="FFFFFF"/>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310" w:type="dxa"/>
                  <w:vMerge w:val="continue"/>
                  <w:tcBorders>
                    <w:right w:val="single" w:color="auto" w:sz="4" w:space="0"/>
                  </w:tcBorders>
                  <w:noWrap w:val="0"/>
                  <w:vAlign w:val="center"/>
                </w:tcPr>
                <w:p>
                  <w:pPr>
                    <w:adjustRightInd w:val="0"/>
                    <w:snapToGrid w:val="0"/>
                    <w:jc w:val="center"/>
                    <w:rPr>
                      <w:bCs/>
                      <w:color w:val="auto"/>
                      <w:szCs w:val="21"/>
                      <w:u w:val="none"/>
                      <w:shd w:val="clear" w:color="auto" w:fill="FFFFFF"/>
                    </w:rPr>
                  </w:pPr>
                </w:p>
              </w:tc>
              <w:tc>
                <w:tcPr>
                  <w:tcW w:w="709" w:type="dxa"/>
                  <w:tcBorders>
                    <w:left w:val="single" w:color="auto" w:sz="4" w:space="0"/>
                  </w:tcBorders>
                  <w:noWrap w:val="0"/>
                  <w:vAlign w:val="center"/>
                </w:tcPr>
                <w:p>
                  <w:pPr>
                    <w:adjustRightInd w:val="0"/>
                    <w:snapToGrid w:val="0"/>
                    <w:jc w:val="center"/>
                    <w:rPr>
                      <w:rFonts w:hint="default" w:eastAsia="宋体"/>
                      <w:bCs/>
                      <w:color w:val="auto"/>
                      <w:szCs w:val="21"/>
                      <w:u w:val="none"/>
                      <w:shd w:val="clear" w:color="auto" w:fill="FFFFFF"/>
                      <w:lang w:val="en-US" w:eastAsia="zh-CN"/>
                    </w:rPr>
                  </w:pPr>
                  <w:r>
                    <w:rPr>
                      <w:rFonts w:hint="eastAsia"/>
                      <w:bCs/>
                      <w:color w:val="auto"/>
                      <w:szCs w:val="21"/>
                      <w:u w:val="none"/>
                      <w:shd w:val="clear" w:color="auto" w:fill="FFFFFF"/>
                      <w:lang w:val="en-US" w:eastAsia="zh-CN"/>
                    </w:rPr>
                    <w:t>制棒废气</w:t>
                  </w:r>
                </w:p>
              </w:tc>
              <w:tc>
                <w:tcPr>
                  <w:tcW w:w="1418" w:type="dxa"/>
                  <w:noWrap w:val="0"/>
                  <w:vAlign w:val="center"/>
                </w:tcPr>
                <w:p>
                  <w:pPr>
                    <w:adjustRightInd w:val="0"/>
                    <w:snapToGrid w:val="0"/>
                    <w:jc w:val="center"/>
                    <w:rPr>
                      <w:rFonts w:hint="default" w:eastAsia="宋体"/>
                      <w:bCs/>
                      <w:color w:val="auto"/>
                      <w:szCs w:val="21"/>
                      <w:u w:val="none"/>
                      <w:shd w:val="clear" w:color="auto" w:fill="FFFFFF"/>
                      <w:lang w:val="en-US" w:eastAsia="zh-CN"/>
                    </w:rPr>
                  </w:pPr>
                  <w:r>
                    <w:rPr>
                      <w:rFonts w:hint="eastAsia"/>
                      <w:bCs/>
                      <w:color w:val="auto"/>
                      <w:szCs w:val="21"/>
                      <w:u w:val="none"/>
                      <w:shd w:val="clear" w:color="auto" w:fill="FFFFFF"/>
                      <w:lang w:eastAsia="zh-CN"/>
                    </w:rPr>
                    <w:t>颗粒物：</w:t>
                  </w:r>
                  <w:r>
                    <w:rPr>
                      <w:rFonts w:hint="eastAsia"/>
                      <w:bCs/>
                      <w:color w:val="auto"/>
                      <w:szCs w:val="21"/>
                      <w:u w:val="none"/>
                      <w:shd w:val="clear" w:color="auto" w:fill="FFFFFF"/>
                      <w:lang w:val="en-US" w:eastAsia="zh-CN"/>
                    </w:rPr>
                    <w:t>0.78t/a</w:t>
                  </w:r>
                </w:p>
              </w:tc>
              <w:tc>
                <w:tcPr>
                  <w:tcW w:w="1186" w:type="dxa"/>
                  <w:vMerge w:val="continue"/>
                  <w:noWrap w:val="0"/>
                  <w:vAlign w:val="center"/>
                </w:tcPr>
                <w:p>
                  <w:pPr>
                    <w:adjustRightInd w:val="0"/>
                    <w:snapToGrid w:val="0"/>
                    <w:jc w:val="center"/>
                    <w:rPr>
                      <w:rFonts w:hint="eastAsia"/>
                      <w:bCs/>
                      <w:color w:val="auto"/>
                      <w:szCs w:val="21"/>
                      <w:u w:val="none"/>
                      <w:shd w:val="clear" w:color="auto" w:fill="FFFFFF"/>
                      <w:lang w:val="en-US" w:eastAsia="zh-CN"/>
                    </w:rPr>
                  </w:pPr>
                </w:p>
              </w:tc>
              <w:tc>
                <w:tcPr>
                  <w:tcW w:w="1623" w:type="dxa"/>
                  <w:noWrap w:val="0"/>
                  <w:vAlign w:val="center"/>
                </w:tcPr>
                <w:p>
                  <w:pPr>
                    <w:adjustRightInd w:val="0"/>
                    <w:snapToGrid w:val="0"/>
                    <w:jc w:val="center"/>
                    <w:rPr>
                      <w:rFonts w:hint="default" w:eastAsia="宋体"/>
                      <w:bCs/>
                      <w:color w:val="auto"/>
                      <w:szCs w:val="21"/>
                      <w:u w:val="none"/>
                      <w:shd w:val="clear" w:color="auto" w:fill="FFFFFF"/>
                      <w:lang w:val="en-US" w:eastAsia="zh-CN"/>
                    </w:rPr>
                  </w:pPr>
                  <w:r>
                    <w:rPr>
                      <w:rFonts w:hint="eastAsia"/>
                      <w:bCs/>
                      <w:color w:val="auto"/>
                      <w:szCs w:val="21"/>
                      <w:u w:val="none"/>
                      <w:shd w:val="clear" w:color="auto" w:fill="FFFFFF"/>
                      <w:lang w:val="en-US" w:eastAsia="zh-CN"/>
                    </w:rPr>
                    <w:t>/</w:t>
                  </w:r>
                </w:p>
              </w:tc>
              <w:tc>
                <w:tcPr>
                  <w:tcW w:w="791" w:type="dxa"/>
                  <w:vMerge w:val="continue"/>
                  <w:noWrap w:val="0"/>
                  <w:vAlign w:val="center"/>
                </w:tcPr>
                <w:p>
                  <w:pPr>
                    <w:adjustRightInd w:val="0"/>
                    <w:snapToGrid w:val="0"/>
                    <w:jc w:val="center"/>
                    <w:rPr>
                      <w:bCs/>
                      <w:color w:val="auto"/>
                      <w:szCs w:val="21"/>
                      <w:u w:val="none"/>
                      <w:shd w:val="clear" w:color="auto" w:fill="FFFFFF"/>
                    </w:rPr>
                  </w:pPr>
                </w:p>
              </w:tc>
              <w:tc>
                <w:tcPr>
                  <w:tcW w:w="1104" w:type="dxa"/>
                  <w:vMerge w:val="continue"/>
                  <w:noWrap w:val="0"/>
                  <w:vAlign w:val="center"/>
                </w:tcPr>
                <w:p>
                  <w:pPr>
                    <w:adjustRightInd w:val="0"/>
                    <w:snapToGrid w:val="0"/>
                    <w:jc w:val="center"/>
                    <w:rPr>
                      <w:rFonts w:hint="eastAsia"/>
                      <w:bCs/>
                      <w:color w:val="auto"/>
                      <w:szCs w:val="21"/>
                      <w:u w:val="none"/>
                      <w:shd w:val="clear" w:color="auto" w:fill="FFFFFF"/>
                      <w:lang w:val="en-US" w:eastAsia="zh-CN"/>
                    </w:rPr>
                  </w:pPr>
                </w:p>
              </w:tc>
              <w:tc>
                <w:tcPr>
                  <w:tcW w:w="915" w:type="dxa"/>
                  <w:vMerge w:val="continue"/>
                  <w:noWrap w:val="0"/>
                  <w:vAlign w:val="center"/>
                </w:tcPr>
                <w:p>
                  <w:pPr>
                    <w:adjustRightInd w:val="0"/>
                    <w:snapToGrid w:val="0"/>
                    <w:jc w:val="center"/>
                    <w:rPr>
                      <w:rFonts w:hint="eastAsia"/>
                      <w:bCs/>
                      <w:color w:val="auto"/>
                      <w:szCs w:val="21"/>
                      <w:u w:val="none"/>
                      <w:shd w:val="clear" w:color="auto" w:fill="FFFFFF"/>
                      <w:lang w:val="en-US" w:eastAsia="zh-CN"/>
                    </w:rPr>
                  </w:pPr>
                </w:p>
              </w:tc>
              <w:tc>
                <w:tcPr>
                  <w:tcW w:w="842" w:type="dxa"/>
                  <w:vMerge w:val="continue"/>
                  <w:noWrap w:val="0"/>
                  <w:vAlign w:val="center"/>
                </w:tcPr>
                <w:p>
                  <w:pPr>
                    <w:adjustRightInd w:val="0"/>
                    <w:snapToGrid w:val="0"/>
                    <w:jc w:val="center"/>
                    <w:rPr>
                      <w:rFonts w:hint="eastAsia"/>
                      <w:bCs/>
                      <w:color w:val="auto"/>
                      <w:szCs w:val="21"/>
                      <w:u w:val="none"/>
                      <w:shd w:val="clear" w:color="auto" w:fill="FFFFFF"/>
                      <w:lang w:val="en-US" w:eastAsia="zh-CN"/>
                    </w:rPr>
                  </w:pPr>
                </w:p>
              </w:tc>
            </w:tr>
          </w:tbl>
          <w:p>
            <w:pPr>
              <w:spacing w:line="360" w:lineRule="auto"/>
              <w:jc w:val="both"/>
              <w:rPr>
                <w:color w:val="auto"/>
                <w:sz w:val="24"/>
                <w:u w:val="none"/>
              </w:rPr>
            </w:pPr>
          </w:p>
          <w:p>
            <w:pPr>
              <w:ind w:firstLine="480" w:firstLineChars="200"/>
              <w:rPr>
                <w:color w:val="auto"/>
                <w:sz w:val="24"/>
                <w:u w:val="single"/>
              </w:rPr>
            </w:pPr>
            <w:r>
              <w:rPr>
                <w:rFonts w:hAnsi="宋体"/>
                <w:color w:val="auto"/>
                <w:sz w:val="24"/>
                <w:u w:val="single"/>
              </w:rPr>
              <w:t>（</w:t>
            </w:r>
            <w:r>
              <w:rPr>
                <w:rFonts w:hint="eastAsia"/>
                <w:color w:val="auto"/>
                <w:sz w:val="24"/>
                <w:u w:val="single"/>
              </w:rPr>
              <w:t>6</w:t>
            </w:r>
            <w:r>
              <w:rPr>
                <w:rFonts w:hAnsi="宋体"/>
                <w:color w:val="auto"/>
                <w:sz w:val="24"/>
                <w:u w:val="single"/>
              </w:rPr>
              <w:t>）有机废气</w:t>
            </w:r>
          </w:p>
          <w:p>
            <w:pPr>
              <w:pStyle w:val="5"/>
              <w:spacing w:line="360" w:lineRule="auto"/>
              <w:ind w:firstLine="480" w:firstLineChars="200"/>
              <w:jc w:val="both"/>
              <w:rPr>
                <w:color w:val="auto"/>
                <w:sz w:val="24"/>
              </w:rPr>
            </w:pPr>
            <w:r>
              <w:rPr>
                <w:rFonts w:hint="eastAsia"/>
                <w:color w:val="auto"/>
                <w:sz w:val="24"/>
                <w:u w:val="single"/>
              </w:rPr>
              <w:t>本项目工作时段燃烧竹焦油和竹醋液外排的VOCs量</w:t>
            </w:r>
            <w:r>
              <w:rPr>
                <w:color w:val="auto"/>
                <w:sz w:val="24"/>
                <w:u w:val="single"/>
              </w:rPr>
              <w:t>类比</w:t>
            </w:r>
            <w:r>
              <w:rPr>
                <w:rFonts w:hint="eastAsia"/>
                <w:color w:val="auto"/>
                <w:sz w:val="24"/>
                <w:u w:val="single"/>
              </w:rPr>
              <w:t>南平市阳光环境技术有限公司编制的</w:t>
            </w:r>
            <w:r>
              <w:rPr>
                <w:color w:val="auto"/>
                <w:sz w:val="24"/>
                <w:u w:val="single"/>
              </w:rPr>
              <w:t>《</w:t>
            </w:r>
            <w:r>
              <w:rPr>
                <w:rFonts w:hint="eastAsia"/>
                <w:color w:val="auto"/>
                <w:sz w:val="24"/>
                <w:u w:val="single"/>
              </w:rPr>
              <w:t>茂盛机制炭生产线项目竣工环境保护验收监测报告</w:t>
            </w:r>
            <w:r>
              <w:rPr>
                <w:color w:val="auto"/>
                <w:sz w:val="24"/>
                <w:u w:val="single"/>
              </w:rPr>
              <w:t>》，其年生产量</w:t>
            </w:r>
            <w:r>
              <w:rPr>
                <w:rFonts w:hint="eastAsia"/>
                <w:color w:val="auto"/>
                <w:sz w:val="24"/>
                <w:u w:val="single"/>
              </w:rPr>
              <w:t>为6000</w:t>
            </w:r>
            <w:r>
              <w:rPr>
                <w:color w:val="auto"/>
                <w:sz w:val="24"/>
                <w:u w:val="single"/>
              </w:rPr>
              <w:t>t机制竹炭，</w:t>
            </w:r>
            <w:r>
              <w:rPr>
                <w:rFonts w:hint="eastAsia"/>
                <w:color w:val="auto"/>
                <w:sz w:val="24"/>
                <w:u w:val="single"/>
              </w:rPr>
              <w:t>其工艺同本项目工艺</w:t>
            </w:r>
            <w:r>
              <w:rPr>
                <w:rFonts w:hint="eastAsia"/>
                <w:color w:val="auto"/>
                <w:sz w:val="24"/>
                <w:u w:val="single"/>
                <w:lang w:eastAsia="zh-CN"/>
              </w:rPr>
              <w:t>基本</w:t>
            </w:r>
            <w:r>
              <w:rPr>
                <w:rFonts w:hint="eastAsia"/>
                <w:color w:val="auto"/>
                <w:sz w:val="24"/>
                <w:u w:val="single"/>
              </w:rPr>
              <w:t>相同，炭化产生焦油和竹醋液作为燃料通入</w:t>
            </w:r>
            <w:r>
              <w:rPr>
                <w:rFonts w:hint="eastAsia"/>
                <w:color w:val="auto"/>
                <w:sz w:val="24"/>
                <w:u w:val="single"/>
                <w:lang w:eastAsia="zh-CN"/>
              </w:rPr>
              <w:t>烘干</w:t>
            </w:r>
            <w:r>
              <w:rPr>
                <w:rFonts w:hint="eastAsia"/>
                <w:color w:val="auto"/>
                <w:sz w:val="24"/>
                <w:u w:val="single"/>
              </w:rPr>
              <w:t>炉内燃烧，其验收监测数据</w:t>
            </w:r>
            <w:r>
              <w:rPr>
                <w:rFonts w:hint="eastAsia"/>
                <w:color w:val="auto"/>
                <w:sz w:val="24"/>
                <w:u w:val="single"/>
              </w:rPr>
              <w:t>未给出VOCs的量，因此本项目竹焦油和竹醋液基本完全燃烧，外排量</w:t>
            </w:r>
            <w:r>
              <w:rPr>
                <w:rFonts w:hint="eastAsia"/>
                <w:color w:val="auto"/>
                <w:sz w:val="24"/>
                <w:u w:val="single"/>
                <w:lang w:eastAsia="zh-CN"/>
              </w:rPr>
              <w:t>极少</w:t>
            </w:r>
            <w:r>
              <w:rPr>
                <w:rFonts w:hint="eastAsia"/>
                <w:color w:val="auto"/>
                <w:sz w:val="24"/>
                <w:u w:val="single"/>
              </w:rPr>
              <w:t>。</w:t>
            </w:r>
          </w:p>
          <w:p>
            <w:pPr>
              <w:pStyle w:val="2"/>
              <w:keepNext w:val="0"/>
              <w:keepLines w:val="0"/>
              <w:numPr>
                <w:ilvl w:val="0"/>
                <w:numId w:val="0"/>
              </w:numPr>
              <w:suppressLineNumbers w:val="0"/>
              <w:spacing w:before="0" w:beforeAutospacing="0" w:after="0" w:afterAutospacing="0" w:line="360" w:lineRule="auto"/>
              <w:ind w:left="0" w:leftChars="0" w:right="0" w:firstLine="482" w:firstLineChars="200"/>
              <w:rPr>
                <w:rFonts w:hint="eastAsia" w:eastAsia="宋体"/>
                <w:b/>
                <w:bCs/>
                <w:color w:val="auto"/>
                <w:szCs w:val="20"/>
                <w:lang w:val="en-US" w:eastAsia="zh-CN"/>
              </w:rPr>
            </w:pPr>
            <w:r>
              <w:rPr>
                <w:rFonts w:hint="eastAsia"/>
                <w:b/>
                <w:bCs/>
                <w:color w:val="auto"/>
                <w:sz w:val="24"/>
                <w:szCs w:val="24"/>
                <w:lang w:val="en-US" w:eastAsia="zh-CN"/>
              </w:rPr>
              <w:t>2.2</w:t>
            </w:r>
            <w:r>
              <w:rPr>
                <w:b/>
                <w:bCs/>
                <w:color w:val="auto"/>
                <w:sz w:val="24"/>
              </w:rPr>
              <w:t>营运期废</w:t>
            </w:r>
            <w:r>
              <w:rPr>
                <w:rFonts w:hint="eastAsia"/>
                <w:b/>
                <w:bCs/>
                <w:color w:val="auto"/>
                <w:sz w:val="24"/>
                <w:lang w:eastAsia="zh-CN"/>
              </w:rPr>
              <w:t>水</w:t>
            </w:r>
          </w:p>
          <w:p>
            <w:pPr>
              <w:keepNext w:val="0"/>
              <w:keepLines w:val="0"/>
              <w:suppressLineNumbers w:val="0"/>
              <w:spacing w:before="0" w:beforeAutospacing="0" w:after="0" w:afterAutospacing="0" w:line="360" w:lineRule="auto"/>
              <w:ind w:left="0" w:right="0" w:firstLine="482"/>
              <w:rPr>
                <w:rFonts w:hint="default"/>
                <w:color w:val="auto"/>
                <w:sz w:val="24"/>
                <w:szCs w:val="24"/>
                <w:lang w:val="en-US" w:eastAsia="zh-CN"/>
              </w:rPr>
            </w:pPr>
            <w:r>
              <w:rPr>
                <w:rFonts w:hint="eastAsia"/>
                <w:color w:val="auto"/>
                <w:sz w:val="24"/>
                <w:szCs w:val="24"/>
                <w:lang w:val="en-US" w:eastAsia="zh-CN"/>
              </w:rPr>
              <w:t>本项目施行雨污分流制。在场址四周设置截排水沟，厂房屋顶雨水均通过截排水沟流入周边小溪；</w:t>
            </w:r>
            <w:r>
              <w:rPr>
                <w:rFonts w:hint="eastAsia" w:asciiTheme="minorEastAsia" w:hAnsiTheme="minorEastAsia" w:eastAsiaTheme="minorEastAsia" w:cstheme="minorEastAsia"/>
                <w:bCs/>
                <w:color w:val="auto"/>
                <w:kern w:val="0"/>
                <w:sz w:val="24"/>
                <w:szCs w:val="24"/>
                <w:lang w:eastAsia="zh-CN"/>
              </w:rPr>
              <w:t>生产废水（水雾</w:t>
            </w:r>
            <w:r>
              <w:rPr>
                <w:rFonts w:hint="eastAsia" w:asciiTheme="minorEastAsia" w:hAnsiTheme="minorEastAsia" w:eastAsiaTheme="minorEastAsia" w:cstheme="minorEastAsia"/>
                <w:bCs/>
                <w:color w:val="auto"/>
                <w:kern w:val="0"/>
                <w:sz w:val="24"/>
                <w:szCs w:val="24"/>
                <w:lang w:val="en-US" w:eastAsia="zh-CN"/>
              </w:rPr>
              <w:t>除尘废水</w:t>
            </w:r>
            <w:r>
              <w:rPr>
                <w:rFonts w:hint="eastAsia" w:asciiTheme="minorEastAsia" w:hAnsiTheme="minorEastAsia" w:eastAsiaTheme="minorEastAsia" w:cstheme="minorEastAsia"/>
                <w:bCs/>
                <w:color w:val="auto"/>
                <w:kern w:val="0"/>
                <w:sz w:val="24"/>
                <w:szCs w:val="24"/>
                <w:lang w:eastAsia="zh-CN"/>
              </w:rPr>
              <w:t>）经</w:t>
            </w:r>
            <w:r>
              <w:rPr>
                <w:rFonts w:hint="eastAsia" w:asciiTheme="minorEastAsia" w:hAnsiTheme="minorEastAsia" w:eastAsiaTheme="minorEastAsia" w:cstheme="minorEastAsia"/>
                <w:bCs/>
                <w:color w:val="auto"/>
                <w:kern w:val="0"/>
                <w:sz w:val="24"/>
                <w:szCs w:val="24"/>
                <w:lang w:val="en-US" w:eastAsia="zh-CN"/>
              </w:rPr>
              <w:t>循环水</w:t>
            </w:r>
            <w:r>
              <w:rPr>
                <w:rFonts w:hint="eastAsia" w:asciiTheme="minorEastAsia" w:hAnsiTheme="minorEastAsia" w:eastAsiaTheme="minorEastAsia" w:cstheme="minorEastAsia"/>
                <w:bCs/>
                <w:color w:val="auto"/>
                <w:kern w:val="0"/>
                <w:sz w:val="24"/>
                <w:szCs w:val="24"/>
                <w:lang w:eastAsia="zh-CN"/>
              </w:rPr>
              <w:t>池沉淀后循环使用不外排；</w:t>
            </w:r>
            <w:r>
              <w:rPr>
                <w:rFonts w:hint="eastAsia"/>
                <w:color w:val="auto"/>
                <w:sz w:val="24"/>
              </w:rPr>
              <w:t>产品</w:t>
            </w:r>
            <w:r>
              <w:rPr>
                <w:rFonts w:hint="eastAsia" w:asciiTheme="minorEastAsia" w:hAnsiTheme="minorEastAsia" w:eastAsiaTheme="minorEastAsia" w:cstheme="minorEastAsia"/>
                <w:bCs/>
                <w:color w:val="auto"/>
                <w:kern w:val="0"/>
                <w:sz w:val="24"/>
                <w:szCs w:val="24"/>
                <w:lang w:eastAsia="zh-CN"/>
              </w:rPr>
              <w:t>冷却水循环使用，定期补给，不外排</w:t>
            </w:r>
            <w:r>
              <w:rPr>
                <w:rFonts w:hint="eastAsia" w:asciiTheme="minorEastAsia" w:hAnsiTheme="minorEastAsia" w:eastAsiaTheme="minorEastAsia" w:cstheme="minorEastAsia"/>
                <w:color w:val="auto"/>
                <w:kern w:val="0"/>
                <w:sz w:val="24"/>
                <w:szCs w:val="24"/>
                <w:u w:val="none"/>
              </w:rPr>
              <w:t>。</w:t>
            </w:r>
          </w:p>
          <w:p>
            <w:pPr>
              <w:keepNext w:val="0"/>
              <w:keepLines w:val="0"/>
              <w:suppressLineNumbers w:val="0"/>
              <w:spacing w:before="0" w:beforeAutospacing="0" w:after="0" w:afterAutospacing="0" w:line="360" w:lineRule="auto"/>
              <w:ind w:left="0" w:right="0" w:firstLine="482"/>
              <w:rPr>
                <w:rFonts w:hint="default"/>
                <w:color w:val="auto"/>
                <w:sz w:val="24"/>
                <w:szCs w:val="24"/>
                <w:lang w:val="en-US" w:eastAsia="zh-CN"/>
              </w:rPr>
            </w:pPr>
            <w:r>
              <w:rPr>
                <w:rFonts w:hint="eastAsia" w:ascii="Times New Roman" w:hAnsi="Times New Roman"/>
                <w:color w:val="auto"/>
                <w:sz w:val="24"/>
                <w:szCs w:val="24"/>
              </w:rPr>
              <w:t>本项目</w:t>
            </w:r>
            <w:r>
              <w:rPr>
                <w:rFonts w:hint="eastAsia"/>
                <w:color w:val="auto"/>
                <w:sz w:val="24"/>
                <w:szCs w:val="24"/>
                <w:lang w:eastAsia="zh-CN"/>
              </w:rPr>
              <w:t>废水主要为生产废水，厂区无生活污水产生。</w:t>
            </w:r>
          </w:p>
          <w:p>
            <w:pPr>
              <w:keepNext w:val="0"/>
              <w:keepLines w:val="0"/>
              <w:numPr>
                <w:ilvl w:val="0"/>
                <w:numId w:val="7"/>
              </w:numPr>
              <w:suppressLineNumbers w:val="0"/>
              <w:spacing w:before="0" w:beforeAutospacing="0" w:after="0" w:afterAutospacing="0" w:line="360" w:lineRule="auto"/>
              <w:ind w:left="0" w:right="0" w:firstLine="482"/>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生活废水：</w:t>
            </w:r>
          </w:p>
          <w:p>
            <w:pPr>
              <w:spacing w:line="520" w:lineRule="exact"/>
              <w:ind w:firstLine="512" w:firstLineChars="200"/>
              <w:rPr>
                <w:rFonts w:hint="eastAsia" w:ascii="Times New Roman" w:hAnsi="Times New Roman" w:cs="Times New Roman"/>
                <w:bCs/>
                <w:color w:val="auto"/>
                <w:sz w:val="24"/>
                <w:szCs w:val="22"/>
              </w:rPr>
            </w:pPr>
            <w:r>
              <w:rPr>
                <w:rFonts w:hint="default" w:ascii="Times New Roman" w:hAnsi="Times New Roman" w:cs="Times New Roman" w:eastAsiaTheme="minorEastAsia"/>
                <w:b w:val="0"/>
                <w:bCs w:val="0"/>
                <w:color w:val="auto"/>
                <w:spacing w:val="8"/>
                <w:sz w:val="24"/>
                <w:szCs w:val="24"/>
                <w:lang w:eastAsia="zh-CN"/>
              </w:rPr>
              <w:t>本</w:t>
            </w:r>
            <w:r>
              <w:rPr>
                <w:rFonts w:hint="default" w:ascii="Times New Roman" w:hAnsi="Times New Roman" w:cs="Times New Roman" w:eastAsiaTheme="minorEastAsia"/>
                <w:b w:val="0"/>
                <w:bCs w:val="0"/>
                <w:color w:val="auto"/>
                <w:spacing w:val="8"/>
                <w:sz w:val="24"/>
                <w:szCs w:val="24"/>
              </w:rPr>
              <w:t>项目劳动定员</w:t>
            </w:r>
            <w:r>
              <w:rPr>
                <w:rFonts w:hint="default" w:ascii="Times New Roman" w:hAnsi="Times New Roman" w:cs="Times New Roman" w:eastAsiaTheme="minorEastAsia"/>
                <w:b w:val="0"/>
                <w:bCs w:val="0"/>
                <w:color w:val="auto"/>
                <w:spacing w:val="8"/>
                <w:sz w:val="24"/>
                <w:szCs w:val="24"/>
                <w:lang w:val="en-US" w:eastAsia="zh-CN"/>
              </w:rPr>
              <w:t>8</w:t>
            </w:r>
            <w:r>
              <w:rPr>
                <w:rFonts w:hint="default" w:ascii="Times New Roman" w:hAnsi="Times New Roman" w:cs="Times New Roman" w:eastAsiaTheme="minorEastAsia"/>
                <w:b w:val="0"/>
                <w:bCs w:val="0"/>
                <w:color w:val="auto"/>
                <w:spacing w:val="8"/>
                <w:sz w:val="24"/>
                <w:szCs w:val="24"/>
              </w:rPr>
              <w:t>人，</w:t>
            </w:r>
            <w:r>
              <w:rPr>
                <w:rFonts w:hint="eastAsia" w:cs="Times New Roman" w:eastAsiaTheme="minorEastAsia"/>
                <w:b w:val="0"/>
                <w:bCs w:val="0"/>
                <w:color w:val="auto"/>
                <w:spacing w:val="8"/>
                <w:sz w:val="24"/>
                <w:szCs w:val="24"/>
                <w:u w:val="single"/>
                <w:lang w:eastAsia="zh-CN"/>
              </w:rPr>
              <w:t>员工均为厂区周边居民，故厂区内不提供食宿，同时由于厂内用地有限，厂区内不设置卫生间，员工</w:t>
            </w:r>
            <w:r>
              <w:rPr>
                <w:rFonts w:hint="eastAsia"/>
                <w:color w:val="auto"/>
                <w:sz w:val="24"/>
                <w:szCs w:val="28"/>
                <w:u w:val="single"/>
              </w:rPr>
              <w:t>洗手洗脸、如厕均借用附近居民家用洗手间</w:t>
            </w:r>
            <w:r>
              <w:rPr>
                <w:rFonts w:hint="eastAsia"/>
                <w:color w:val="auto"/>
                <w:sz w:val="24"/>
                <w:szCs w:val="28"/>
                <w:u w:val="single"/>
                <w:lang w:eastAsia="zh-CN"/>
              </w:rPr>
              <w:t>。故厂区内无生活废水产生。</w:t>
            </w:r>
          </w:p>
          <w:p>
            <w:pPr>
              <w:spacing w:line="360" w:lineRule="auto"/>
              <w:ind w:firstLine="480" w:firstLineChars="200"/>
              <w:jc w:val="left"/>
              <w:rPr>
                <w:color w:val="auto"/>
                <w:sz w:val="24"/>
              </w:rPr>
            </w:pPr>
            <w:r>
              <w:rPr>
                <w:color w:val="auto"/>
                <w:sz w:val="24"/>
              </w:rPr>
              <w:t>2）</w:t>
            </w:r>
            <w:r>
              <w:rPr>
                <w:rFonts w:hint="eastAsia"/>
                <w:color w:val="auto"/>
                <w:sz w:val="24"/>
              </w:rPr>
              <w:t>水</w:t>
            </w:r>
            <w:r>
              <w:rPr>
                <w:rFonts w:hint="eastAsia"/>
                <w:color w:val="auto"/>
                <w:sz w:val="24"/>
                <w:lang w:eastAsia="zh-CN"/>
              </w:rPr>
              <w:t>雾</w:t>
            </w:r>
            <w:r>
              <w:rPr>
                <w:color w:val="auto"/>
                <w:sz w:val="24"/>
                <w:szCs w:val="32"/>
              </w:rPr>
              <w:t>除尘废水</w:t>
            </w:r>
          </w:p>
          <w:p>
            <w:pPr>
              <w:spacing w:line="360" w:lineRule="auto"/>
              <w:ind w:firstLine="480" w:firstLineChars="200"/>
              <w:jc w:val="left"/>
              <w:rPr>
                <w:color w:val="auto"/>
                <w:sz w:val="24"/>
              </w:rPr>
            </w:pPr>
            <w:r>
              <w:rPr>
                <w:rFonts w:hint="eastAsia"/>
                <w:color w:val="auto"/>
                <w:sz w:val="24"/>
              </w:rPr>
              <w:t>水</w:t>
            </w:r>
            <w:r>
              <w:rPr>
                <w:rFonts w:hint="eastAsia"/>
                <w:color w:val="auto"/>
                <w:sz w:val="24"/>
                <w:lang w:eastAsia="zh-CN"/>
              </w:rPr>
              <w:t>雾</w:t>
            </w:r>
            <w:r>
              <w:rPr>
                <w:color w:val="auto"/>
                <w:sz w:val="24"/>
              </w:rPr>
              <w:t>除尘废水经沉淀后循环使用不外排，定期补充损耗，除尘设施循环用水量为</w:t>
            </w:r>
            <w:r>
              <w:rPr>
                <w:rFonts w:hint="eastAsia"/>
                <w:color w:val="auto"/>
                <w:sz w:val="24"/>
                <w:lang w:val="en-US" w:eastAsia="zh-CN"/>
              </w:rPr>
              <w:t>10</w:t>
            </w:r>
            <w:r>
              <w:rPr>
                <w:color w:val="auto"/>
                <w:sz w:val="24"/>
              </w:rPr>
              <w:t>m</w:t>
            </w:r>
            <w:r>
              <w:rPr>
                <w:color w:val="auto"/>
                <w:sz w:val="24"/>
                <w:vertAlign w:val="superscript"/>
              </w:rPr>
              <w:t>3</w:t>
            </w:r>
            <w:r>
              <w:rPr>
                <w:color w:val="auto"/>
                <w:sz w:val="24"/>
              </w:rPr>
              <w:t>/h，</w:t>
            </w:r>
            <w:r>
              <w:rPr>
                <w:rFonts w:hint="eastAsia"/>
                <w:color w:val="auto"/>
                <w:sz w:val="24"/>
                <w:lang w:val="en-US" w:eastAsia="zh-CN"/>
              </w:rPr>
              <w:t>240</w:t>
            </w:r>
            <w:r>
              <w:rPr>
                <w:color w:val="auto"/>
                <w:sz w:val="24"/>
              </w:rPr>
              <w:t>m</w:t>
            </w:r>
            <w:r>
              <w:rPr>
                <w:color w:val="auto"/>
                <w:sz w:val="24"/>
                <w:vertAlign w:val="superscript"/>
              </w:rPr>
              <w:t>3</w:t>
            </w:r>
            <w:r>
              <w:rPr>
                <w:color w:val="auto"/>
                <w:sz w:val="24"/>
              </w:rPr>
              <w:t>/d，循环过程中约有5％水损耗掉，补充水量为</w:t>
            </w:r>
            <w:r>
              <w:rPr>
                <w:rFonts w:hint="eastAsia"/>
                <w:color w:val="auto"/>
                <w:sz w:val="24"/>
                <w:lang w:val="en-US" w:eastAsia="zh-CN"/>
              </w:rPr>
              <w:t>0.5</w:t>
            </w:r>
            <w:r>
              <w:rPr>
                <w:color w:val="auto"/>
                <w:sz w:val="24"/>
              </w:rPr>
              <w:t>m</w:t>
            </w:r>
            <w:r>
              <w:rPr>
                <w:color w:val="auto"/>
                <w:sz w:val="24"/>
                <w:vertAlign w:val="superscript"/>
              </w:rPr>
              <w:t>3</w:t>
            </w:r>
            <w:r>
              <w:rPr>
                <w:color w:val="auto"/>
                <w:sz w:val="24"/>
              </w:rPr>
              <w:t>/h，12m</w:t>
            </w:r>
            <w:r>
              <w:rPr>
                <w:color w:val="auto"/>
                <w:sz w:val="24"/>
                <w:vertAlign w:val="superscript"/>
              </w:rPr>
              <w:t>3</w:t>
            </w:r>
            <w:r>
              <w:rPr>
                <w:color w:val="auto"/>
                <w:sz w:val="24"/>
              </w:rPr>
              <w:t>/d。</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lang w:eastAsia="zh-CN"/>
              </w:rPr>
            </w:pPr>
            <w:r>
              <w:rPr>
                <w:color w:val="auto"/>
                <w:sz w:val="24"/>
              </w:rPr>
              <w:t>喷淋除尘用水循环使用，不外排；项目无生产废水外排。</w:t>
            </w:r>
          </w:p>
          <w:p>
            <w:pPr>
              <w:pStyle w:val="2"/>
              <w:keepNext w:val="0"/>
              <w:keepLines w:val="0"/>
              <w:numPr>
                <w:ilvl w:val="0"/>
                <w:numId w:val="0"/>
              </w:numPr>
              <w:suppressLineNumbers w:val="0"/>
              <w:spacing w:before="0" w:beforeAutospacing="0" w:after="0" w:afterAutospacing="0" w:line="360" w:lineRule="auto"/>
              <w:ind w:left="482" w:leftChars="0" w:right="0" w:rightChars="0"/>
              <w:jc w:val="left"/>
              <w:rPr>
                <w:rFonts w:hint="eastAsia"/>
                <w:color w:val="auto"/>
                <w:lang w:val="en-US" w:eastAsia="zh-CN"/>
              </w:rPr>
            </w:pPr>
            <w:r>
              <w:rPr>
                <w:rFonts w:hint="eastAsia"/>
                <w:color w:val="auto"/>
                <w:lang w:val="en-US" w:eastAsia="zh-CN"/>
              </w:rPr>
              <w:t>3）</w:t>
            </w:r>
            <w:r>
              <w:rPr>
                <w:rFonts w:hint="eastAsia"/>
                <w:color w:val="auto"/>
                <w:sz w:val="24"/>
              </w:rPr>
              <w:t>产品</w:t>
            </w:r>
            <w:r>
              <w:rPr>
                <w:rFonts w:hint="eastAsia"/>
                <w:color w:val="auto"/>
                <w:lang w:val="en-US" w:eastAsia="zh-CN"/>
              </w:rPr>
              <w:t>冷却水</w:t>
            </w:r>
          </w:p>
          <w:p>
            <w:pPr>
              <w:pStyle w:val="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480" w:firstLineChars="200"/>
              <w:jc w:val="left"/>
              <w:textAlignment w:val="auto"/>
              <w:rPr>
                <w:rFonts w:hint="eastAsia" w:eastAsia="宋体"/>
                <w:color w:val="auto"/>
                <w:lang w:val="en-US" w:eastAsia="zh-CN"/>
              </w:rPr>
            </w:pPr>
            <w:r>
              <w:rPr>
                <w:rFonts w:hint="eastAsia"/>
                <w:color w:val="auto"/>
                <w:sz w:val="24"/>
              </w:rPr>
              <w:t>炭化成型的机制炭温度较高，需采用水封池冷却方式降温处理，根据业主提供资料，产品冷却</w:t>
            </w:r>
            <w:r>
              <w:rPr>
                <w:color w:val="auto"/>
                <w:sz w:val="24"/>
              </w:rPr>
              <w:t>水量为</w:t>
            </w:r>
            <w:r>
              <w:rPr>
                <w:rFonts w:hint="eastAsia"/>
                <w:color w:val="auto"/>
                <w:sz w:val="24"/>
                <w:lang w:val="en-US" w:eastAsia="zh-CN"/>
              </w:rPr>
              <w:t>25</w:t>
            </w:r>
            <w:r>
              <w:rPr>
                <w:color w:val="auto"/>
                <w:sz w:val="24"/>
              </w:rPr>
              <w:t>m</w:t>
            </w:r>
            <w:r>
              <w:rPr>
                <w:color w:val="auto"/>
                <w:sz w:val="24"/>
                <w:vertAlign w:val="superscript"/>
              </w:rPr>
              <w:t>3</w:t>
            </w:r>
            <w:r>
              <w:rPr>
                <w:color w:val="auto"/>
                <w:sz w:val="24"/>
              </w:rPr>
              <w:t>/d，蒸发量按</w:t>
            </w:r>
            <w:r>
              <w:rPr>
                <w:rFonts w:hint="eastAsia"/>
                <w:color w:val="auto"/>
                <w:sz w:val="24"/>
              </w:rPr>
              <w:t>冷却</w:t>
            </w:r>
            <w:r>
              <w:rPr>
                <w:color w:val="auto"/>
                <w:sz w:val="24"/>
              </w:rPr>
              <w:t>水量的1%计，则补充水为</w:t>
            </w:r>
            <w:r>
              <w:rPr>
                <w:rFonts w:hint="eastAsia"/>
                <w:color w:val="auto"/>
                <w:sz w:val="24"/>
              </w:rPr>
              <w:t>0.</w:t>
            </w:r>
            <w:r>
              <w:rPr>
                <w:rFonts w:hint="eastAsia"/>
                <w:color w:val="auto"/>
                <w:sz w:val="24"/>
                <w:lang w:val="en-US" w:eastAsia="zh-CN"/>
              </w:rPr>
              <w:t>2</w:t>
            </w:r>
            <w:r>
              <w:rPr>
                <w:rFonts w:hint="eastAsia"/>
                <w:color w:val="auto"/>
                <w:sz w:val="24"/>
              </w:rPr>
              <w:t>5</w:t>
            </w:r>
            <w:r>
              <w:rPr>
                <w:color w:val="auto"/>
                <w:sz w:val="24"/>
              </w:rPr>
              <w:t>m</w:t>
            </w:r>
            <w:r>
              <w:rPr>
                <w:color w:val="auto"/>
                <w:sz w:val="24"/>
                <w:vertAlign w:val="superscript"/>
              </w:rPr>
              <w:t>3</w:t>
            </w:r>
            <w:r>
              <w:rPr>
                <w:color w:val="auto"/>
                <w:sz w:val="24"/>
              </w:rPr>
              <w:t>/d（</w:t>
            </w:r>
            <w:r>
              <w:rPr>
                <w:rFonts w:hint="eastAsia"/>
                <w:color w:val="auto"/>
                <w:sz w:val="24"/>
                <w:lang w:val="en-US" w:eastAsia="zh-CN"/>
              </w:rPr>
              <w:t>7</w:t>
            </w:r>
            <w:r>
              <w:rPr>
                <w:rFonts w:hint="eastAsia"/>
                <w:color w:val="auto"/>
                <w:sz w:val="24"/>
              </w:rPr>
              <w:t>5</w:t>
            </w:r>
            <w:r>
              <w:rPr>
                <w:color w:val="auto"/>
                <w:sz w:val="24"/>
              </w:rPr>
              <w:t>m</w:t>
            </w:r>
            <w:r>
              <w:rPr>
                <w:color w:val="auto"/>
                <w:sz w:val="24"/>
                <w:vertAlign w:val="superscript"/>
              </w:rPr>
              <w:t>3</w:t>
            </w:r>
            <w:r>
              <w:rPr>
                <w:color w:val="auto"/>
                <w:sz w:val="24"/>
              </w:rPr>
              <w:t>/a）。</w:t>
            </w:r>
            <w:r>
              <w:rPr>
                <w:rFonts w:hint="eastAsia"/>
                <w:color w:val="auto"/>
                <w:sz w:val="24"/>
              </w:rPr>
              <w:t>冷却废水经冷却池收集后</w:t>
            </w:r>
            <w:r>
              <w:rPr>
                <w:color w:val="auto"/>
                <w:sz w:val="24"/>
              </w:rPr>
              <w:t>循环使用，不外排</w:t>
            </w:r>
            <w:r>
              <w:rPr>
                <w:rFonts w:hint="eastAsia"/>
                <w:color w:val="auto"/>
                <w:sz w:val="24"/>
              </w:rPr>
              <w:t>，定期补充新鲜水</w:t>
            </w:r>
            <w:r>
              <w:rPr>
                <w:rFonts w:hint="eastAsia"/>
                <w:color w:val="auto"/>
                <w:sz w:val="24"/>
                <w:lang w:eastAsia="zh-CN"/>
              </w:rPr>
              <w:t>。</w:t>
            </w:r>
          </w:p>
          <w:p>
            <w:pPr>
              <w:pStyle w:val="2"/>
              <w:keepNext w:val="0"/>
              <w:keepLines w:val="0"/>
              <w:pageBreakBefore w:val="0"/>
              <w:widowControl w:val="0"/>
              <w:kinsoku/>
              <w:wordWrap/>
              <w:overflowPunct/>
              <w:topLinePunct w:val="0"/>
              <w:bidi w:val="0"/>
              <w:snapToGrid/>
              <w:spacing w:line="360" w:lineRule="auto"/>
              <w:ind w:firstLine="480" w:firstLineChars="200"/>
              <w:rPr>
                <w:rFonts w:hint="eastAsia" w:cs="Times New Roman"/>
                <w:color w:val="auto"/>
                <w:sz w:val="24"/>
                <w:szCs w:val="24"/>
                <w:lang w:eastAsia="zh-CN"/>
              </w:rPr>
            </w:pPr>
            <w:r>
              <w:rPr>
                <w:rFonts w:hint="eastAsia" w:cs="Times New Roman"/>
                <w:color w:val="auto"/>
                <w:sz w:val="24"/>
                <w:szCs w:val="24"/>
                <w:lang w:eastAsia="zh-CN"/>
              </w:rPr>
              <w:t>本项目水平衡图如下</w:t>
            </w:r>
          </w:p>
          <w:p>
            <w:pPr>
              <w:pStyle w:val="2"/>
              <w:keepNext w:val="0"/>
              <w:keepLines w:val="0"/>
              <w:pageBreakBefore w:val="0"/>
              <w:widowControl w:val="0"/>
              <w:kinsoku/>
              <w:wordWrap/>
              <w:overflowPunct/>
              <w:topLinePunct w:val="0"/>
              <w:bidi w:val="0"/>
              <w:snapToGrid/>
              <w:spacing w:line="360" w:lineRule="auto"/>
              <w:ind w:firstLine="480" w:firstLineChars="200"/>
              <w:jc w:val="center"/>
              <w:rPr>
                <w:rFonts w:hint="eastAsia" w:cs="Times New Roman"/>
                <w:color w:val="auto"/>
                <w:sz w:val="24"/>
                <w:szCs w:val="24"/>
                <w:lang w:eastAsia="zh-CN"/>
              </w:rPr>
            </w:pPr>
            <w:r>
              <w:rPr>
                <w:rFonts w:hint="eastAsia" w:cs="Times New Roman"/>
                <w:color w:val="auto"/>
                <w:sz w:val="24"/>
                <w:szCs w:val="24"/>
                <w:lang w:eastAsia="zh-CN"/>
              </w:rPr>
              <w:object>
                <v:shape id="_x0000_i1027" o:spt="75" type="#_x0000_t75" style="height:145.3pt;width:253.6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p>
          <w:p>
            <w:pPr>
              <w:pStyle w:val="2"/>
              <w:keepNext w:val="0"/>
              <w:keepLines w:val="0"/>
              <w:pageBreakBefore w:val="0"/>
              <w:widowControl w:val="0"/>
              <w:kinsoku/>
              <w:wordWrap/>
              <w:overflowPunct/>
              <w:topLinePunct w:val="0"/>
              <w:bidi w:val="0"/>
              <w:snapToGrid/>
              <w:spacing w:line="360" w:lineRule="auto"/>
              <w:ind w:firstLine="422" w:firstLineChars="200"/>
              <w:jc w:val="center"/>
              <w:rPr>
                <w:rFonts w:hint="eastAsia" w:ascii="Times New Roman" w:hAnsi="Times New Roman" w:eastAsia="宋体" w:cs="Times New Roman"/>
                <w:color w:val="auto"/>
                <w:sz w:val="21"/>
                <w:szCs w:val="21"/>
                <w:lang w:eastAsia="zh-CN"/>
              </w:rPr>
            </w:pPr>
            <w:r>
              <w:rPr>
                <w:b/>
                <w:bCs/>
                <w:color w:val="auto"/>
                <w:sz w:val="21"/>
                <w:szCs w:val="18"/>
              </w:rPr>
              <w:t>图</w:t>
            </w:r>
            <w:r>
              <w:rPr>
                <w:rFonts w:hint="eastAsia"/>
                <w:b/>
                <w:bCs/>
                <w:color w:val="auto"/>
                <w:sz w:val="21"/>
                <w:szCs w:val="18"/>
                <w:lang w:val="en-US" w:eastAsia="zh-CN"/>
              </w:rPr>
              <w:t>5-3</w:t>
            </w:r>
            <w:r>
              <w:rPr>
                <w:b/>
                <w:bCs/>
                <w:color w:val="auto"/>
                <w:sz w:val="21"/>
                <w:szCs w:val="18"/>
              </w:rPr>
              <w:t xml:space="preserve"> 项目水平衡图</w:t>
            </w:r>
            <w:r>
              <w:rPr>
                <w:rFonts w:hint="eastAsia"/>
                <w:b/>
                <w:bCs/>
                <w:color w:val="auto"/>
                <w:sz w:val="21"/>
                <w:szCs w:val="18"/>
                <w:lang w:eastAsia="zh-CN"/>
              </w:rPr>
              <w:t>（m</w:t>
            </w:r>
            <w:r>
              <w:rPr>
                <w:rFonts w:hint="eastAsia"/>
                <w:b/>
                <w:bCs/>
                <w:color w:val="auto"/>
                <w:sz w:val="21"/>
                <w:szCs w:val="18"/>
                <w:vertAlign w:val="superscript"/>
                <w:lang w:eastAsia="zh-CN"/>
              </w:rPr>
              <w:t>3</w:t>
            </w:r>
            <w:r>
              <w:rPr>
                <w:rFonts w:hint="eastAsia"/>
                <w:b/>
                <w:bCs/>
                <w:color w:val="auto"/>
                <w:sz w:val="21"/>
                <w:szCs w:val="18"/>
                <w:lang w:eastAsia="zh-CN"/>
              </w:rPr>
              <w:t>/d）</w:t>
            </w:r>
          </w:p>
          <w:p>
            <w:pPr>
              <w:pStyle w:val="2"/>
              <w:keepNext w:val="0"/>
              <w:keepLines w:val="0"/>
              <w:numPr>
                <w:ilvl w:val="0"/>
                <w:numId w:val="0"/>
              </w:numPr>
              <w:suppressLineNumbers w:val="0"/>
              <w:spacing w:before="0" w:beforeAutospacing="0" w:after="0" w:afterAutospacing="0" w:line="360" w:lineRule="auto"/>
              <w:ind w:left="0" w:leftChars="0" w:right="0" w:firstLine="482" w:firstLineChars="200"/>
              <w:rPr>
                <w:rFonts w:hint="eastAsia" w:eastAsia="宋体"/>
                <w:b/>
                <w:bCs/>
                <w:color w:val="auto"/>
                <w:szCs w:val="20"/>
                <w:lang w:val="en-US" w:eastAsia="zh-CN"/>
              </w:rPr>
            </w:pPr>
            <w:r>
              <w:rPr>
                <w:rFonts w:hint="eastAsia"/>
                <w:b/>
                <w:bCs/>
                <w:color w:val="auto"/>
                <w:sz w:val="24"/>
                <w:szCs w:val="24"/>
                <w:lang w:val="en-US" w:eastAsia="zh-CN"/>
              </w:rPr>
              <w:t>2.3</w:t>
            </w:r>
            <w:r>
              <w:rPr>
                <w:b/>
                <w:bCs/>
                <w:color w:val="auto"/>
                <w:sz w:val="24"/>
              </w:rPr>
              <w:t>营运期</w:t>
            </w:r>
            <w:r>
              <w:rPr>
                <w:rFonts w:hint="eastAsia"/>
                <w:b/>
                <w:bCs/>
                <w:color w:val="auto"/>
                <w:sz w:val="24"/>
              </w:rPr>
              <w:t>噪声</w:t>
            </w:r>
          </w:p>
          <w:p>
            <w:pPr>
              <w:spacing w:line="360" w:lineRule="auto"/>
              <w:ind w:firstLine="480" w:firstLineChars="200"/>
              <w:jc w:val="both"/>
              <w:rPr>
                <w:color w:val="auto"/>
                <w:sz w:val="24"/>
              </w:rPr>
            </w:pPr>
            <w:r>
              <w:rPr>
                <w:color w:val="auto"/>
                <w:sz w:val="24"/>
              </w:rPr>
              <w:t>本项目主要噪声源为制棒机、</w:t>
            </w:r>
            <w:r>
              <w:rPr>
                <w:rFonts w:hint="eastAsia"/>
                <w:color w:val="auto"/>
                <w:sz w:val="24"/>
                <w:lang w:eastAsia="zh-CN"/>
              </w:rPr>
              <w:t>粉碎</w:t>
            </w:r>
            <w:r>
              <w:rPr>
                <w:color w:val="auto"/>
                <w:sz w:val="24"/>
              </w:rPr>
              <w:t>机</w:t>
            </w:r>
            <w:r>
              <w:rPr>
                <w:rFonts w:hint="eastAsia"/>
                <w:color w:val="auto"/>
                <w:sz w:val="24"/>
                <w:lang w:eastAsia="zh-CN"/>
              </w:rPr>
              <w:t>、</w:t>
            </w:r>
            <w:r>
              <w:rPr>
                <w:rFonts w:hint="eastAsia" w:ascii="Times New Roman" w:hAnsi="Times New Roman"/>
                <w:color w:val="auto"/>
                <w:sz w:val="24"/>
                <w:szCs w:val="24"/>
                <w:lang w:eastAsia="zh-CN"/>
              </w:rPr>
              <w:t>引风机、烘干机</w:t>
            </w:r>
            <w:r>
              <w:rPr>
                <w:color w:val="auto"/>
                <w:sz w:val="24"/>
              </w:rPr>
              <w:t>等设备噪声，经类比，噪声源强在60～80dB(A)。评价要求设备全部置于车间内，合理布置噪声源位置，采取基础减振、厂房隔声等降噪措施，噪声值降低20dB(A)。主要噪声源的源强见表14。</w:t>
            </w:r>
          </w:p>
          <w:p>
            <w:pPr>
              <w:spacing w:line="360" w:lineRule="auto"/>
              <w:jc w:val="center"/>
              <w:rPr>
                <w:b/>
                <w:bCs/>
                <w:color w:val="auto"/>
                <w:szCs w:val="21"/>
              </w:rPr>
            </w:pPr>
            <w:r>
              <w:rPr>
                <w:b/>
                <w:bCs/>
                <w:color w:val="auto"/>
                <w:szCs w:val="21"/>
              </w:rPr>
              <w:t>表</w:t>
            </w:r>
            <w:r>
              <w:rPr>
                <w:rFonts w:hint="eastAsia"/>
                <w:b/>
                <w:bCs/>
                <w:color w:val="auto"/>
                <w:szCs w:val="21"/>
                <w:lang w:val="en-US" w:eastAsia="zh-CN"/>
              </w:rPr>
              <w:t>5-9</w:t>
            </w:r>
            <w:r>
              <w:rPr>
                <w:b/>
                <w:bCs/>
                <w:color w:val="auto"/>
                <w:szCs w:val="21"/>
              </w:rPr>
              <w:t xml:space="preserve">  建设项目设备噪声源强一览表</w:t>
            </w:r>
          </w:p>
          <w:tbl>
            <w:tblPr>
              <w:tblStyle w:val="22"/>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632"/>
              <w:gridCol w:w="954"/>
              <w:gridCol w:w="2176"/>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kern w:val="21"/>
                      <w:sz w:val="21"/>
                      <w:szCs w:val="21"/>
                    </w:rPr>
                  </w:pPr>
                  <w:r>
                    <w:rPr>
                      <w:rFonts w:hint="eastAsia" w:ascii="Times New Roman" w:hAnsi="Times New Roman"/>
                      <w:color w:val="auto"/>
                      <w:kern w:val="21"/>
                      <w:sz w:val="21"/>
                      <w:szCs w:val="21"/>
                    </w:rPr>
                    <w:t>序号</w:t>
                  </w:r>
                </w:p>
              </w:tc>
              <w:tc>
                <w:tcPr>
                  <w:tcW w:w="1632"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kern w:val="21"/>
                      <w:sz w:val="21"/>
                      <w:szCs w:val="21"/>
                    </w:rPr>
                  </w:pPr>
                  <w:r>
                    <w:rPr>
                      <w:rFonts w:hint="eastAsia" w:ascii="Times New Roman" w:hAnsi="Times New Roman"/>
                      <w:color w:val="auto"/>
                      <w:kern w:val="21"/>
                      <w:sz w:val="21"/>
                      <w:szCs w:val="21"/>
                    </w:rPr>
                    <w:t>设备名称</w:t>
                  </w:r>
                </w:p>
              </w:tc>
              <w:tc>
                <w:tcPr>
                  <w:tcW w:w="954"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1"/>
                      <w:szCs w:val="21"/>
                    </w:rPr>
                  </w:pPr>
                  <w:r>
                    <w:rPr>
                      <w:rFonts w:hint="eastAsia" w:ascii="Times New Roman" w:hAnsi="Times New Roman"/>
                      <w:color w:val="auto"/>
                      <w:kern w:val="21"/>
                      <w:sz w:val="21"/>
                      <w:szCs w:val="21"/>
                    </w:rPr>
                    <w:t>数量</w:t>
                  </w:r>
                </w:p>
              </w:tc>
              <w:tc>
                <w:tcPr>
                  <w:tcW w:w="2176"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1"/>
                      <w:szCs w:val="21"/>
                    </w:rPr>
                  </w:pPr>
                  <w:r>
                    <w:rPr>
                      <w:rFonts w:hint="eastAsia" w:ascii="Times New Roman" w:hAnsi="Times New Roman"/>
                      <w:color w:val="auto"/>
                      <w:kern w:val="21"/>
                      <w:sz w:val="21"/>
                      <w:szCs w:val="21"/>
                    </w:rPr>
                    <w:t>单机噪声源强</w:t>
                  </w:r>
                </w:p>
              </w:tc>
              <w:tc>
                <w:tcPr>
                  <w:tcW w:w="3169"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kern w:val="21"/>
                      <w:sz w:val="21"/>
                      <w:szCs w:val="21"/>
                    </w:rPr>
                  </w:pPr>
                  <w:r>
                    <w:rPr>
                      <w:rFonts w:hint="eastAsia" w:ascii="Times New Roman" w:hAnsi="Times New Roman"/>
                      <w:color w:val="auto"/>
                      <w:kern w:val="21"/>
                      <w:sz w:val="21"/>
                      <w:szCs w:val="21"/>
                    </w:rPr>
                    <w:t>噪声污染治理措施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kern w:val="21"/>
                      <w:sz w:val="21"/>
                      <w:szCs w:val="21"/>
                      <w:lang w:val="en-US" w:eastAsia="zh-CN"/>
                    </w:rPr>
                  </w:pPr>
                  <w:r>
                    <w:rPr>
                      <w:rFonts w:hint="eastAsia"/>
                      <w:color w:val="auto"/>
                      <w:kern w:val="21"/>
                      <w:sz w:val="21"/>
                      <w:szCs w:val="21"/>
                      <w:lang w:val="en-US" w:eastAsia="zh-CN"/>
                    </w:rPr>
                    <w:t>1</w:t>
                  </w:r>
                </w:p>
              </w:tc>
              <w:tc>
                <w:tcPr>
                  <w:tcW w:w="1632"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粉碎机</w:t>
                  </w:r>
                </w:p>
              </w:tc>
              <w:tc>
                <w:tcPr>
                  <w:tcW w:w="954"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1</w:t>
                  </w:r>
                  <w:r>
                    <w:rPr>
                      <w:rFonts w:hint="eastAsia" w:ascii="Times New Roman" w:hAnsi="Times New Roman"/>
                      <w:color w:val="auto"/>
                      <w:sz w:val="21"/>
                      <w:szCs w:val="21"/>
                    </w:rPr>
                    <w:t>台</w:t>
                  </w:r>
                </w:p>
              </w:tc>
              <w:tc>
                <w:tcPr>
                  <w:tcW w:w="2176"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kern w:val="21"/>
                      <w:sz w:val="21"/>
                      <w:szCs w:val="21"/>
                      <w:lang w:val="en-US" w:eastAsia="zh-CN"/>
                    </w:rPr>
                  </w:pPr>
                  <w:r>
                    <w:rPr>
                      <w:rFonts w:hint="eastAsia" w:ascii="Times New Roman" w:hAnsi="Times New Roman"/>
                      <w:color w:val="auto"/>
                      <w:kern w:val="21"/>
                      <w:sz w:val="21"/>
                      <w:szCs w:val="21"/>
                    </w:rPr>
                    <w:t>80~</w:t>
                  </w:r>
                  <w:r>
                    <w:rPr>
                      <w:rFonts w:hint="eastAsia" w:ascii="Times New Roman" w:hAnsi="Times New Roman"/>
                      <w:color w:val="auto"/>
                      <w:kern w:val="21"/>
                      <w:sz w:val="21"/>
                      <w:szCs w:val="21"/>
                      <w:lang w:val="en-US" w:eastAsia="zh-CN"/>
                    </w:rPr>
                    <w:t>105</w:t>
                  </w:r>
                  <w:r>
                    <w:rPr>
                      <w:rFonts w:hint="eastAsia" w:ascii="Times New Roman" w:hAnsi="Times New Roman"/>
                      <w:color w:val="auto"/>
                      <w:kern w:val="21"/>
                      <w:sz w:val="21"/>
                      <w:szCs w:val="21"/>
                    </w:rPr>
                    <w:t>dB(A)</w:t>
                  </w:r>
                </w:p>
              </w:tc>
              <w:tc>
                <w:tcPr>
                  <w:tcW w:w="3169" w:type="dxa"/>
                  <w:vMerge w:val="restart"/>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rPr>
                  </w:pPr>
                  <w:r>
                    <w:rPr>
                      <w:rFonts w:hint="eastAsia" w:ascii="Times New Roman" w:hAnsi="Times New Roman"/>
                      <w:color w:val="auto"/>
                      <w:sz w:val="21"/>
                      <w:szCs w:val="21"/>
                      <w:lang w:eastAsia="zh-CN"/>
                    </w:rPr>
                    <w:t>低噪声设备、</w:t>
                  </w:r>
                  <w:r>
                    <w:rPr>
                      <w:rFonts w:hint="eastAsia" w:ascii="Times New Roman" w:hAnsi="Times New Roman"/>
                      <w:color w:val="auto"/>
                      <w:sz w:val="21"/>
                      <w:szCs w:val="21"/>
                    </w:rPr>
                    <w:t>基础减振</w:t>
                  </w:r>
                  <w:r>
                    <w:rPr>
                      <w:rFonts w:hint="eastAsia" w:ascii="Times New Roman" w:hAnsi="Times New Roman"/>
                      <w:color w:val="auto"/>
                      <w:sz w:val="21"/>
                      <w:szCs w:val="21"/>
                      <w:lang w:eastAsia="zh-CN"/>
                    </w:rPr>
                    <w:t>、合理布局、山体阻隔、树木吸声等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olor w:val="auto"/>
                      <w:kern w:val="21"/>
                      <w:sz w:val="21"/>
                      <w:szCs w:val="21"/>
                      <w:lang w:val="en-US" w:eastAsia="zh-CN"/>
                    </w:rPr>
                  </w:pPr>
                  <w:r>
                    <w:rPr>
                      <w:rFonts w:hint="eastAsia"/>
                      <w:color w:val="auto"/>
                      <w:kern w:val="21"/>
                      <w:sz w:val="21"/>
                      <w:szCs w:val="21"/>
                      <w:lang w:val="en-US" w:eastAsia="zh-CN"/>
                    </w:rPr>
                    <w:t>2</w:t>
                  </w:r>
                </w:p>
              </w:tc>
              <w:tc>
                <w:tcPr>
                  <w:tcW w:w="1632"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rPr>
                  </w:pPr>
                  <w:r>
                    <w:rPr>
                      <w:rFonts w:hint="eastAsia" w:ascii="Times New Roman" w:hAnsi="Times New Roman"/>
                      <w:color w:val="auto"/>
                      <w:sz w:val="21"/>
                      <w:szCs w:val="21"/>
                      <w:lang w:eastAsia="zh-CN"/>
                    </w:rPr>
                    <w:t>烘干机</w:t>
                  </w:r>
                </w:p>
              </w:tc>
              <w:tc>
                <w:tcPr>
                  <w:tcW w:w="954"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1台</w:t>
                  </w:r>
                </w:p>
              </w:tc>
              <w:tc>
                <w:tcPr>
                  <w:tcW w:w="2176"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70~90</w:t>
                  </w:r>
                  <w:r>
                    <w:rPr>
                      <w:rFonts w:hint="eastAsia" w:ascii="Times New Roman" w:hAnsi="Times New Roman"/>
                      <w:color w:val="auto"/>
                      <w:kern w:val="21"/>
                      <w:sz w:val="21"/>
                      <w:szCs w:val="21"/>
                    </w:rPr>
                    <w:t>dB(A)</w:t>
                  </w:r>
                </w:p>
              </w:tc>
              <w:tc>
                <w:tcPr>
                  <w:tcW w:w="3169"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olor w:val="auto"/>
                      <w:kern w:val="21"/>
                      <w:sz w:val="21"/>
                      <w:szCs w:val="21"/>
                      <w:lang w:val="en-US" w:eastAsia="zh-CN"/>
                    </w:rPr>
                  </w:pPr>
                  <w:r>
                    <w:rPr>
                      <w:rFonts w:hint="eastAsia"/>
                      <w:color w:val="auto"/>
                      <w:kern w:val="21"/>
                      <w:sz w:val="21"/>
                      <w:szCs w:val="21"/>
                      <w:lang w:val="en-US" w:eastAsia="zh-CN"/>
                    </w:rPr>
                    <w:t>3</w:t>
                  </w:r>
                </w:p>
              </w:tc>
              <w:tc>
                <w:tcPr>
                  <w:tcW w:w="1632"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引风</w:t>
                  </w:r>
                  <w:r>
                    <w:rPr>
                      <w:rFonts w:hint="eastAsia" w:ascii="Times New Roman" w:hAnsi="Times New Roman"/>
                      <w:color w:val="auto"/>
                      <w:sz w:val="21"/>
                      <w:szCs w:val="21"/>
                    </w:rPr>
                    <w:t>机</w:t>
                  </w:r>
                </w:p>
              </w:tc>
              <w:tc>
                <w:tcPr>
                  <w:tcW w:w="954"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台</w:t>
                  </w:r>
                </w:p>
              </w:tc>
              <w:tc>
                <w:tcPr>
                  <w:tcW w:w="2176"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kern w:val="21"/>
                      <w:sz w:val="21"/>
                      <w:szCs w:val="21"/>
                      <w:lang w:val="en-US" w:eastAsia="zh-CN"/>
                    </w:rPr>
                  </w:pPr>
                  <w:r>
                    <w:rPr>
                      <w:rFonts w:hint="eastAsia" w:ascii="Times New Roman" w:hAnsi="Times New Roman"/>
                      <w:color w:val="auto"/>
                      <w:kern w:val="21"/>
                      <w:sz w:val="21"/>
                      <w:szCs w:val="21"/>
                      <w:lang w:val="en-US" w:eastAsia="zh-CN"/>
                    </w:rPr>
                    <w:t>80</w:t>
                  </w:r>
                  <w:r>
                    <w:rPr>
                      <w:rFonts w:hint="eastAsia" w:ascii="Times New Roman" w:hAnsi="Times New Roman"/>
                      <w:color w:val="auto"/>
                      <w:kern w:val="21"/>
                      <w:sz w:val="21"/>
                      <w:szCs w:val="21"/>
                    </w:rPr>
                    <w:t>~</w:t>
                  </w:r>
                  <w:r>
                    <w:rPr>
                      <w:rFonts w:hint="eastAsia" w:ascii="Times New Roman" w:hAnsi="Times New Roman"/>
                      <w:color w:val="auto"/>
                      <w:kern w:val="21"/>
                      <w:sz w:val="21"/>
                      <w:szCs w:val="21"/>
                      <w:lang w:val="en-US" w:eastAsia="zh-CN"/>
                    </w:rPr>
                    <w:t>95</w:t>
                  </w:r>
                  <w:r>
                    <w:rPr>
                      <w:rFonts w:hint="eastAsia" w:ascii="Times New Roman" w:hAnsi="Times New Roman"/>
                      <w:color w:val="auto"/>
                      <w:kern w:val="21"/>
                      <w:sz w:val="21"/>
                      <w:szCs w:val="21"/>
                    </w:rPr>
                    <w:t>dB(A)</w:t>
                  </w:r>
                </w:p>
              </w:tc>
              <w:tc>
                <w:tcPr>
                  <w:tcW w:w="3169"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olor w:val="auto"/>
                      <w:kern w:val="21"/>
                      <w:sz w:val="21"/>
                      <w:szCs w:val="21"/>
                      <w:lang w:val="en-US" w:eastAsia="zh-CN"/>
                    </w:rPr>
                  </w:pPr>
                  <w:r>
                    <w:rPr>
                      <w:rFonts w:hint="eastAsia"/>
                      <w:color w:val="auto"/>
                      <w:kern w:val="21"/>
                      <w:sz w:val="21"/>
                      <w:szCs w:val="21"/>
                      <w:lang w:val="en-US" w:eastAsia="zh-CN"/>
                    </w:rPr>
                    <w:t>4</w:t>
                  </w:r>
                </w:p>
              </w:tc>
              <w:tc>
                <w:tcPr>
                  <w:tcW w:w="1632"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lang w:eastAsia="zh-CN"/>
                    </w:rPr>
                  </w:pPr>
                  <w:r>
                    <w:rPr>
                      <w:rFonts w:hint="eastAsia" w:ascii="Times New Roman" w:hAnsi="Times New Roman"/>
                      <w:color w:val="auto"/>
                      <w:sz w:val="21"/>
                      <w:szCs w:val="21"/>
                    </w:rPr>
                    <w:t>制棒机</w:t>
                  </w:r>
                </w:p>
              </w:tc>
              <w:tc>
                <w:tcPr>
                  <w:tcW w:w="954"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r>
                    <w:rPr>
                      <w:rFonts w:hint="eastAsia" w:ascii="Times New Roman" w:hAnsi="Times New Roman"/>
                      <w:color w:val="auto"/>
                      <w:sz w:val="21"/>
                      <w:szCs w:val="21"/>
                    </w:rPr>
                    <w:t>台</w:t>
                  </w:r>
                </w:p>
              </w:tc>
              <w:tc>
                <w:tcPr>
                  <w:tcW w:w="2176"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rPr>
                    <w:t>80~</w:t>
                  </w:r>
                  <w:r>
                    <w:rPr>
                      <w:rFonts w:hint="eastAsia" w:ascii="Times New Roman" w:hAnsi="Times New Roman"/>
                      <w:color w:val="auto"/>
                      <w:kern w:val="21"/>
                      <w:sz w:val="21"/>
                      <w:szCs w:val="21"/>
                      <w:lang w:val="en-US" w:eastAsia="zh-CN"/>
                    </w:rPr>
                    <w:t>105</w:t>
                  </w:r>
                  <w:r>
                    <w:rPr>
                      <w:rFonts w:hint="eastAsia" w:ascii="Times New Roman" w:hAnsi="Times New Roman"/>
                      <w:color w:val="auto"/>
                      <w:kern w:val="21"/>
                      <w:sz w:val="21"/>
                      <w:szCs w:val="21"/>
                    </w:rPr>
                    <w:t>dB(A)</w:t>
                  </w:r>
                </w:p>
              </w:tc>
              <w:tc>
                <w:tcPr>
                  <w:tcW w:w="3169"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olor w:val="auto"/>
                      <w:kern w:val="21"/>
                      <w:sz w:val="21"/>
                      <w:szCs w:val="21"/>
                      <w:lang w:val="en-US" w:eastAsia="zh-CN"/>
                    </w:rPr>
                  </w:pPr>
                  <w:r>
                    <w:rPr>
                      <w:rFonts w:hint="eastAsia"/>
                      <w:color w:val="auto"/>
                      <w:kern w:val="21"/>
                      <w:sz w:val="21"/>
                      <w:szCs w:val="21"/>
                      <w:lang w:val="en-US" w:eastAsia="zh-CN"/>
                    </w:rPr>
                    <w:t>5</w:t>
                  </w:r>
                </w:p>
              </w:tc>
              <w:tc>
                <w:tcPr>
                  <w:tcW w:w="1632"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rPr>
                  </w:pPr>
                  <w:r>
                    <w:rPr>
                      <w:rFonts w:hint="eastAsia" w:ascii="Times New Roman" w:hAnsi="Times New Roman"/>
                      <w:color w:val="auto"/>
                      <w:sz w:val="21"/>
                      <w:szCs w:val="21"/>
                      <w:lang w:eastAsia="zh-CN"/>
                    </w:rPr>
                    <w:t>循环水泵</w:t>
                  </w:r>
                </w:p>
              </w:tc>
              <w:tc>
                <w:tcPr>
                  <w:tcW w:w="954"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r>
                    <w:rPr>
                      <w:rFonts w:hint="eastAsia" w:ascii="Times New Roman" w:hAnsi="Times New Roman"/>
                      <w:color w:val="auto"/>
                      <w:sz w:val="21"/>
                      <w:szCs w:val="21"/>
                    </w:rPr>
                    <w:t>台</w:t>
                  </w:r>
                </w:p>
              </w:tc>
              <w:tc>
                <w:tcPr>
                  <w:tcW w:w="2176"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olor w:val="auto"/>
                      <w:kern w:val="21"/>
                      <w:sz w:val="21"/>
                      <w:szCs w:val="21"/>
                      <w:lang w:val="en-US" w:eastAsia="zh-CN"/>
                    </w:rPr>
                  </w:pPr>
                  <w:r>
                    <w:rPr>
                      <w:rFonts w:hint="eastAsia" w:ascii="Times New Roman" w:hAnsi="Times New Roman" w:eastAsia="宋体"/>
                      <w:color w:val="auto"/>
                      <w:kern w:val="21"/>
                      <w:sz w:val="21"/>
                      <w:szCs w:val="21"/>
                      <w:lang w:val="en-US" w:eastAsia="zh-CN"/>
                    </w:rPr>
                    <w:t>75~85</w:t>
                  </w:r>
                  <w:r>
                    <w:rPr>
                      <w:rFonts w:hint="eastAsia" w:ascii="Times New Roman" w:hAnsi="Times New Roman"/>
                      <w:color w:val="auto"/>
                      <w:kern w:val="21"/>
                      <w:sz w:val="21"/>
                      <w:szCs w:val="21"/>
                    </w:rPr>
                    <w:t>dB(A)</w:t>
                  </w:r>
                </w:p>
              </w:tc>
              <w:tc>
                <w:tcPr>
                  <w:tcW w:w="3169"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9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olor w:val="auto"/>
                      <w:kern w:val="21"/>
                      <w:sz w:val="21"/>
                      <w:szCs w:val="21"/>
                      <w:lang w:val="en-US" w:eastAsia="zh-CN"/>
                    </w:rPr>
                  </w:pPr>
                  <w:r>
                    <w:rPr>
                      <w:rFonts w:hint="eastAsia"/>
                      <w:color w:val="auto"/>
                      <w:kern w:val="21"/>
                      <w:sz w:val="21"/>
                      <w:szCs w:val="21"/>
                      <w:lang w:val="en-US" w:eastAsia="zh-CN"/>
                    </w:rPr>
                    <w:t>6</w:t>
                  </w:r>
                </w:p>
              </w:tc>
              <w:tc>
                <w:tcPr>
                  <w:tcW w:w="1632"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eastAsia="宋体"/>
                      <w:color w:val="auto"/>
                      <w:sz w:val="21"/>
                      <w:szCs w:val="21"/>
                      <w:lang w:eastAsia="zh-CN"/>
                    </w:rPr>
                  </w:pPr>
                  <w:r>
                    <w:rPr>
                      <w:rFonts w:hint="eastAsia"/>
                      <w:color w:val="auto"/>
                      <w:sz w:val="21"/>
                      <w:szCs w:val="21"/>
                      <w:lang w:eastAsia="zh-CN"/>
                    </w:rPr>
                    <w:t>螺旋输送机</w:t>
                  </w:r>
                </w:p>
              </w:tc>
              <w:tc>
                <w:tcPr>
                  <w:tcW w:w="954"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台</w:t>
                  </w:r>
                </w:p>
              </w:tc>
              <w:tc>
                <w:tcPr>
                  <w:tcW w:w="2176"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kern w:val="21"/>
                      <w:sz w:val="21"/>
                      <w:szCs w:val="21"/>
                      <w:lang w:val="en-US" w:eastAsia="zh-CN"/>
                    </w:rPr>
                  </w:pPr>
                  <w:r>
                    <w:rPr>
                      <w:rFonts w:hint="eastAsia" w:ascii="Times New Roman" w:hAnsi="Times New Roman"/>
                      <w:color w:val="auto"/>
                      <w:kern w:val="21"/>
                      <w:sz w:val="21"/>
                      <w:szCs w:val="21"/>
                    </w:rPr>
                    <w:t>75~85dB(A)</w:t>
                  </w:r>
                </w:p>
              </w:tc>
              <w:tc>
                <w:tcPr>
                  <w:tcW w:w="3169"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olor w:val="auto"/>
                      <w:sz w:val="21"/>
                      <w:szCs w:val="21"/>
                    </w:rPr>
                  </w:pPr>
                </w:p>
              </w:tc>
            </w:tr>
          </w:tbl>
          <w:p>
            <w:pPr>
              <w:pStyle w:val="2"/>
              <w:keepNext w:val="0"/>
              <w:keepLines w:val="0"/>
              <w:numPr>
                <w:ilvl w:val="0"/>
                <w:numId w:val="0"/>
              </w:numPr>
              <w:suppressLineNumbers w:val="0"/>
              <w:spacing w:before="0" w:beforeAutospacing="0" w:after="0" w:afterAutospacing="0" w:line="360" w:lineRule="auto"/>
              <w:ind w:right="0" w:firstLine="482" w:firstLineChars="200"/>
              <w:rPr>
                <w:rFonts w:hint="eastAsia" w:eastAsia="宋体"/>
                <w:b/>
                <w:bCs/>
                <w:color w:val="auto"/>
                <w:szCs w:val="20"/>
                <w:lang w:val="en-US" w:eastAsia="zh-CN"/>
              </w:rPr>
            </w:pPr>
            <w:r>
              <w:rPr>
                <w:rFonts w:hint="eastAsia"/>
                <w:b/>
                <w:bCs/>
                <w:color w:val="auto"/>
                <w:sz w:val="24"/>
                <w:szCs w:val="24"/>
                <w:lang w:val="en-US" w:eastAsia="zh-CN"/>
              </w:rPr>
              <w:t>2.4</w:t>
            </w:r>
            <w:r>
              <w:rPr>
                <w:b/>
                <w:bCs/>
                <w:color w:val="auto"/>
                <w:sz w:val="24"/>
              </w:rPr>
              <w:t>营运期</w:t>
            </w:r>
            <w:r>
              <w:rPr>
                <w:rFonts w:hint="eastAsia"/>
                <w:b/>
                <w:bCs/>
                <w:color w:val="auto"/>
                <w:sz w:val="24"/>
              </w:rPr>
              <w:t>固体废物</w:t>
            </w:r>
          </w:p>
          <w:p>
            <w:pPr>
              <w:spacing w:line="360" w:lineRule="auto"/>
              <w:ind w:firstLine="480" w:firstLineChars="200"/>
              <w:jc w:val="left"/>
              <w:rPr>
                <w:color w:val="auto"/>
                <w:sz w:val="24"/>
              </w:rPr>
            </w:pPr>
            <w:r>
              <w:rPr>
                <w:color w:val="auto"/>
                <w:sz w:val="24"/>
              </w:rPr>
              <w:t>项目投入营运后，产生的固体废物主要有烘干炉渣、沉淀池沉渣、不合格产品、员工生活垃圾</w:t>
            </w:r>
            <w:r>
              <w:rPr>
                <w:rFonts w:hint="eastAsia"/>
                <w:color w:val="auto"/>
                <w:sz w:val="24"/>
                <w:lang w:eastAsia="zh-CN"/>
              </w:rPr>
              <w:t>等</w:t>
            </w:r>
            <w:r>
              <w:rPr>
                <w:color w:val="auto"/>
                <w:sz w:val="24"/>
              </w:rPr>
              <w:t>。</w:t>
            </w:r>
          </w:p>
          <w:p>
            <w:pPr>
              <w:spacing w:line="360" w:lineRule="auto"/>
              <w:ind w:firstLine="480" w:firstLineChars="200"/>
              <w:jc w:val="left"/>
              <w:rPr>
                <w:color w:val="auto"/>
                <w:sz w:val="24"/>
              </w:rPr>
            </w:pPr>
            <w:r>
              <w:rPr>
                <w:color w:val="auto"/>
                <w:sz w:val="24"/>
              </w:rPr>
              <w:t>（1）烘干</w:t>
            </w:r>
            <w:r>
              <w:rPr>
                <w:rFonts w:hint="eastAsia"/>
                <w:color w:val="auto"/>
                <w:sz w:val="24"/>
                <w:lang w:eastAsia="zh-CN"/>
              </w:rPr>
              <w:t>机</w:t>
            </w:r>
            <w:r>
              <w:rPr>
                <w:color w:val="auto"/>
                <w:sz w:val="24"/>
              </w:rPr>
              <w:t>炉渣</w:t>
            </w:r>
          </w:p>
          <w:p>
            <w:pPr>
              <w:spacing w:line="360" w:lineRule="auto"/>
              <w:ind w:firstLine="480" w:firstLineChars="200"/>
              <w:jc w:val="left"/>
              <w:rPr>
                <w:color w:val="auto"/>
                <w:sz w:val="24"/>
              </w:rPr>
            </w:pPr>
            <w:r>
              <w:rPr>
                <w:color w:val="auto"/>
                <w:sz w:val="24"/>
              </w:rPr>
              <w:t>项目年用生物质燃料约</w:t>
            </w:r>
            <w:r>
              <w:rPr>
                <w:rFonts w:hint="eastAsia"/>
                <w:color w:val="auto"/>
                <w:sz w:val="24"/>
                <w:u w:val="single"/>
                <w:lang w:val="en-US" w:eastAsia="zh-CN"/>
              </w:rPr>
              <w:t>150</w:t>
            </w:r>
            <w:r>
              <w:rPr>
                <w:color w:val="auto"/>
                <w:sz w:val="24"/>
              </w:rPr>
              <w:t>t/a，炉渣的产生系数为耗用量的2%，即</w:t>
            </w:r>
            <w:r>
              <w:rPr>
                <w:rFonts w:hint="eastAsia"/>
                <w:color w:val="auto"/>
                <w:sz w:val="24"/>
                <w:u w:val="single"/>
                <w:lang w:val="en-US" w:eastAsia="zh-CN"/>
              </w:rPr>
              <w:t>3</w:t>
            </w:r>
            <w:r>
              <w:rPr>
                <w:color w:val="auto"/>
                <w:sz w:val="24"/>
              </w:rPr>
              <w:t>t/a。</w:t>
            </w:r>
          </w:p>
          <w:p>
            <w:pPr>
              <w:spacing w:line="360" w:lineRule="auto"/>
              <w:ind w:firstLine="480" w:firstLineChars="200"/>
              <w:jc w:val="left"/>
              <w:rPr>
                <w:color w:val="auto"/>
                <w:sz w:val="24"/>
              </w:rPr>
            </w:pPr>
            <w:r>
              <w:rPr>
                <w:color w:val="auto"/>
                <w:sz w:val="24"/>
              </w:rPr>
              <w:t>（2）沉淀池沉渣</w:t>
            </w:r>
          </w:p>
          <w:p>
            <w:pPr>
              <w:spacing w:line="360" w:lineRule="auto"/>
              <w:ind w:firstLine="480" w:firstLineChars="200"/>
              <w:jc w:val="left"/>
              <w:rPr>
                <w:color w:val="auto"/>
                <w:sz w:val="24"/>
                <w:u w:val="single"/>
              </w:rPr>
            </w:pPr>
            <w:r>
              <w:rPr>
                <w:color w:val="auto"/>
                <w:sz w:val="24"/>
              </w:rPr>
              <w:t>根据前文分析可得，本项目烘干机废气中粉（烟）</w:t>
            </w:r>
            <w:r>
              <w:rPr>
                <w:color w:val="auto"/>
                <w:sz w:val="24"/>
                <w:u w:val="single"/>
              </w:rPr>
              <w:t>尘产生量为</w:t>
            </w:r>
            <w:r>
              <w:rPr>
                <w:rFonts w:hint="eastAsia"/>
                <w:color w:val="auto"/>
                <w:sz w:val="24"/>
                <w:u w:val="single"/>
                <w:lang w:val="en-US" w:eastAsia="zh-CN"/>
              </w:rPr>
              <w:t>36.81</w:t>
            </w:r>
            <w:r>
              <w:rPr>
                <w:color w:val="auto"/>
                <w:sz w:val="24"/>
                <w:u w:val="single"/>
              </w:rPr>
              <w:t>t/a，本评价除尘效率取90%，则沉淀池干沉渣产生总量约</w:t>
            </w:r>
            <w:r>
              <w:rPr>
                <w:rFonts w:hint="eastAsia"/>
                <w:color w:val="auto"/>
                <w:sz w:val="24"/>
                <w:u w:val="single"/>
                <w:lang w:val="en-US" w:eastAsia="zh-CN"/>
              </w:rPr>
              <w:t>33.13</w:t>
            </w:r>
            <w:r>
              <w:rPr>
                <w:color w:val="auto"/>
                <w:sz w:val="24"/>
                <w:u w:val="single"/>
              </w:rPr>
              <w:t>t/a。沉淀池污泥含水率约</w:t>
            </w:r>
            <w:r>
              <w:rPr>
                <w:rFonts w:hint="eastAsia"/>
                <w:color w:val="auto"/>
                <w:sz w:val="24"/>
                <w:u w:val="single"/>
                <w:lang w:val="en-US" w:eastAsia="zh-CN"/>
              </w:rPr>
              <w:t>3</w:t>
            </w:r>
            <w:r>
              <w:rPr>
                <w:color w:val="auto"/>
                <w:sz w:val="24"/>
                <w:u w:val="single"/>
              </w:rPr>
              <w:t>0%，则沉淀池沉渣量为</w:t>
            </w:r>
            <w:r>
              <w:rPr>
                <w:rFonts w:hint="eastAsia"/>
                <w:color w:val="auto"/>
                <w:sz w:val="24"/>
                <w:u w:val="single"/>
                <w:lang w:val="en-US" w:eastAsia="zh-CN"/>
              </w:rPr>
              <w:t>47.33</w:t>
            </w:r>
            <w:r>
              <w:rPr>
                <w:color w:val="auto"/>
                <w:sz w:val="24"/>
                <w:u w:val="single"/>
              </w:rPr>
              <w:t>t/a。</w:t>
            </w:r>
          </w:p>
          <w:p>
            <w:pPr>
              <w:spacing w:line="360" w:lineRule="auto"/>
              <w:ind w:firstLine="480" w:firstLineChars="200"/>
              <w:jc w:val="left"/>
              <w:rPr>
                <w:rFonts w:hint="eastAsia" w:eastAsia="宋体"/>
                <w:color w:val="auto"/>
                <w:sz w:val="24"/>
                <w:lang w:eastAsia="zh-CN"/>
              </w:rPr>
            </w:pPr>
            <w:r>
              <w:rPr>
                <w:color w:val="auto"/>
                <w:sz w:val="24"/>
              </w:rPr>
              <w:t>（3）</w:t>
            </w:r>
            <w:r>
              <w:rPr>
                <w:rFonts w:hint="eastAsia"/>
                <w:color w:val="auto"/>
                <w:sz w:val="24"/>
                <w:lang w:eastAsia="zh-CN"/>
              </w:rPr>
              <w:t>残次品</w:t>
            </w:r>
          </w:p>
          <w:p>
            <w:pPr>
              <w:spacing w:line="360" w:lineRule="auto"/>
              <w:ind w:firstLine="480" w:firstLineChars="200"/>
              <w:jc w:val="left"/>
              <w:rPr>
                <w:color w:val="auto"/>
                <w:sz w:val="24"/>
              </w:rPr>
            </w:pPr>
            <w:r>
              <w:rPr>
                <w:color w:val="auto"/>
                <w:sz w:val="24"/>
              </w:rPr>
              <w:t>根据建设单位提供资料，不合格产品约为60t/a。</w:t>
            </w:r>
          </w:p>
          <w:p>
            <w:pPr>
              <w:spacing w:line="360" w:lineRule="auto"/>
              <w:ind w:firstLine="480" w:firstLineChars="200"/>
              <w:jc w:val="left"/>
              <w:rPr>
                <w:rFonts w:hint="eastAsia" w:eastAsia="宋体"/>
                <w:color w:val="auto"/>
                <w:sz w:val="24"/>
                <w:lang w:eastAsia="zh-CN"/>
              </w:rPr>
            </w:pPr>
            <w:r>
              <w:rPr>
                <w:color w:val="auto"/>
                <w:sz w:val="24"/>
              </w:rPr>
              <w:t>（4）</w:t>
            </w:r>
            <w:r>
              <w:rPr>
                <w:rFonts w:hint="eastAsia"/>
                <w:color w:val="auto"/>
                <w:sz w:val="24"/>
                <w:lang w:eastAsia="zh-CN"/>
              </w:rPr>
              <w:t>回收粉尘</w:t>
            </w:r>
          </w:p>
          <w:p>
            <w:pPr>
              <w:keepNext w:val="0"/>
              <w:keepLines w:val="0"/>
              <w:suppressLineNumbers w:val="0"/>
              <w:spacing w:before="0" w:beforeAutospacing="0" w:after="0" w:afterAutospacing="0" w:line="360" w:lineRule="auto"/>
              <w:ind w:left="0" w:right="0" w:firstLine="480" w:firstLineChars="200"/>
              <w:rPr>
                <w:color w:val="auto"/>
                <w:sz w:val="24"/>
              </w:rPr>
            </w:pPr>
            <w:r>
              <w:rPr>
                <w:color w:val="auto"/>
                <w:sz w:val="24"/>
              </w:rPr>
              <w:t>根据前文分析可得，</w:t>
            </w:r>
            <w:r>
              <w:rPr>
                <w:rFonts w:hint="eastAsia"/>
                <w:color w:val="auto"/>
                <w:sz w:val="24"/>
                <w:u w:val="single"/>
                <w:lang w:eastAsia="zh-CN"/>
              </w:rPr>
              <w:t>废气先经过水幕除尘器处理（除尘效率</w:t>
            </w:r>
            <w:r>
              <w:rPr>
                <w:rFonts w:hint="eastAsia"/>
                <w:color w:val="auto"/>
                <w:sz w:val="24"/>
                <w:u w:val="single"/>
                <w:lang w:val="en-US" w:eastAsia="zh-CN"/>
              </w:rPr>
              <w:t>90%</w:t>
            </w:r>
            <w:r>
              <w:rPr>
                <w:rFonts w:hint="eastAsia"/>
                <w:color w:val="auto"/>
                <w:sz w:val="24"/>
                <w:u w:val="single"/>
                <w:lang w:eastAsia="zh-CN"/>
              </w:rPr>
              <w:t>），</w:t>
            </w:r>
            <w:r>
              <w:rPr>
                <w:rFonts w:hint="eastAsia"/>
                <w:color w:val="auto"/>
                <w:sz w:val="24"/>
                <w:lang w:eastAsia="zh-CN"/>
              </w:rPr>
              <w:t>经水雾除尘</w:t>
            </w:r>
            <w:r>
              <w:rPr>
                <w:rFonts w:hint="eastAsia"/>
                <w:color w:val="auto"/>
                <w:sz w:val="24"/>
                <w:u w:val="single"/>
                <w:lang w:eastAsia="zh-CN"/>
              </w:rPr>
              <w:t>器处理后</w:t>
            </w:r>
            <w:r>
              <w:rPr>
                <w:color w:val="auto"/>
                <w:sz w:val="24"/>
                <w:u w:val="single"/>
              </w:rPr>
              <w:t>粉尘量为</w:t>
            </w:r>
            <w:r>
              <w:rPr>
                <w:rFonts w:hint="eastAsia"/>
                <w:color w:val="auto"/>
                <w:sz w:val="24"/>
                <w:u w:val="single"/>
                <w:lang w:val="en-US" w:eastAsia="zh-CN"/>
              </w:rPr>
              <w:t>3.681</w:t>
            </w:r>
            <w:r>
              <w:rPr>
                <w:color w:val="auto"/>
                <w:sz w:val="24"/>
                <w:u w:val="single"/>
              </w:rPr>
              <w:t>t/a，</w:t>
            </w:r>
            <w:r>
              <w:rPr>
                <w:rFonts w:hint="eastAsia" w:asciiTheme="minorEastAsia" w:hAnsiTheme="minorEastAsia" w:eastAsiaTheme="minorEastAsia" w:cstheme="minorEastAsia"/>
                <w:color w:val="auto"/>
                <w:sz w:val="24"/>
                <w:szCs w:val="24"/>
                <w:u w:val="single"/>
                <w:lang w:eastAsia="zh-CN"/>
              </w:rPr>
              <w:t>静电除尘</w:t>
            </w:r>
            <w:r>
              <w:rPr>
                <w:color w:val="auto"/>
                <w:sz w:val="24"/>
                <w:u w:val="single"/>
              </w:rPr>
              <w:t>器收集效率以9</w:t>
            </w:r>
            <w:r>
              <w:rPr>
                <w:rFonts w:hint="eastAsia"/>
                <w:color w:val="auto"/>
                <w:sz w:val="24"/>
                <w:u w:val="single"/>
                <w:lang w:val="en-US" w:eastAsia="zh-CN"/>
              </w:rPr>
              <w:t>5</w:t>
            </w:r>
            <w:r>
              <w:rPr>
                <w:color w:val="auto"/>
                <w:sz w:val="24"/>
                <w:u w:val="single"/>
              </w:rPr>
              <w:t>％计算，</w:t>
            </w:r>
            <w:r>
              <w:rPr>
                <w:rFonts w:hint="eastAsia" w:asciiTheme="minorEastAsia" w:hAnsiTheme="minorEastAsia" w:eastAsiaTheme="minorEastAsia" w:cstheme="minorEastAsia"/>
                <w:color w:val="auto"/>
                <w:sz w:val="24"/>
                <w:szCs w:val="24"/>
                <w:u w:val="single"/>
                <w:lang w:eastAsia="zh-CN"/>
              </w:rPr>
              <w:t>静电除尘</w:t>
            </w:r>
            <w:r>
              <w:rPr>
                <w:color w:val="auto"/>
                <w:sz w:val="24"/>
                <w:u w:val="single"/>
              </w:rPr>
              <w:t>收尘灰约为</w:t>
            </w:r>
            <w:r>
              <w:rPr>
                <w:rFonts w:hint="eastAsia"/>
                <w:color w:val="auto"/>
                <w:sz w:val="24"/>
                <w:u w:val="single"/>
                <w:lang w:val="en-US" w:eastAsia="zh-CN"/>
              </w:rPr>
              <w:t>3.5</w:t>
            </w:r>
            <w:r>
              <w:rPr>
                <w:color w:val="auto"/>
                <w:sz w:val="24"/>
              </w:rPr>
              <w:t>t/a。</w:t>
            </w:r>
            <w:r>
              <w:rPr>
                <w:rFonts w:hint="eastAsia" w:asciiTheme="minorEastAsia" w:hAnsiTheme="minorEastAsia" w:eastAsiaTheme="minorEastAsia" w:cstheme="minorEastAsia"/>
                <w:color w:val="auto"/>
                <w:sz w:val="24"/>
                <w:szCs w:val="24"/>
                <w:lang w:eastAsia="zh-CN"/>
              </w:rPr>
              <w:t>粉尘</w:t>
            </w:r>
            <w:r>
              <w:rPr>
                <w:rFonts w:hint="eastAsia" w:asciiTheme="minorEastAsia" w:hAnsiTheme="minorEastAsia" w:eastAsiaTheme="minorEastAsia" w:cstheme="minorEastAsia"/>
                <w:color w:val="auto"/>
                <w:sz w:val="24"/>
                <w:szCs w:val="24"/>
              </w:rPr>
              <w:t>可返回生产线作为原料再利用。</w:t>
            </w:r>
          </w:p>
          <w:p>
            <w:pPr>
              <w:spacing w:line="360" w:lineRule="auto"/>
              <w:ind w:firstLine="480" w:firstLineChars="200"/>
              <w:jc w:val="left"/>
              <w:rPr>
                <w:color w:val="auto"/>
                <w:sz w:val="24"/>
              </w:rPr>
            </w:pPr>
            <w:r>
              <w:rPr>
                <w:color w:val="auto"/>
                <w:sz w:val="24"/>
              </w:rPr>
              <w:t>（</w:t>
            </w:r>
            <w:r>
              <w:rPr>
                <w:rFonts w:hint="eastAsia"/>
                <w:color w:val="auto"/>
                <w:sz w:val="24"/>
                <w:lang w:val="en-US" w:eastAsia="zh-CN"/>
              </w:rPr>
              <w:t>5</w:t>
            </w:r>
            <w:r>
              <w:rPr>
                <w:color w:val="auto"/>
                <w:sz w:val="24"/>
              </w:rPr>
              <w:t>）员工生活垃圾</w:t>
            </w:r>
          </w:p>
          <w:p>
            <w:pPr>
              <w:pStyle w:val="2"/>
              <w:keepNext w:val="0"/>
              <w:keepLines w:val="0"/>
              <w:pageBreakBefore w:val="0"/>
              <w:widowControl w:val="0"/>
              <w:kinsoku/>
              <w:wordWrap/>
              <w:overflowPunct/>
              <w:topLinePunct w:val="0"/>
              <w:bidi w:val="0"/>
              <w:snapToGrid/>
              <w:spacing w:line="360" w:lineRule="auto"/>
              <w:ind w:firstLine="480" w:firstLineChars="200"/>
              <w:rPr>
                <w:color w:val="auto"/>
                <w:sz w:val="24"/>
              </w:rPr>
            </w:pPr>
            <w:r>
              <w:rPr>
                <w:color w:val="auto"/>
                <w:sz w:val="24"/>
              </w:rPr>
              <w:t>项目职工定员</w:t>
            </w:r>
            <w:r>
              <w:rPr>
                <w:rFonts w:hint="eastAsia"/>
                <w:color w:val="auto"/>
                <w:sz w:val="24"/>
                <w:lang w:val="en-US" w:eastAsia="zh-CN"/>
              </w:rPr>
              <w:t>8</w:t>
            </w:r>
            <w:r>
              <w:rPr>
                <w:color w:val="auto"/>
                <w:sz w:val="24"/>
              </w:rPr>
              <w:t>人，职工生活垃圾产生量取0.5kg/(人·天)，年工作日按300天计算，项目生活垃圾产生量为</w:t>
            </w:r>
            <w:r>
              <w:rPr>
                <w:rFonts w:hint="eastAsia"/>
                <w:color w:val="auto"/>
                <w:sz w:val="24"/>
                <w:lang w:val="en-US" w:eastAsia="zh-CN"/>
              </w:rPr>
              <w:t>4</w:t>
            </w:r>
            <w:r>
              <w:rPr>
                <w:color w:val="auto"/>
                <w:sz w:val="24"/>
              </w:rPr>
              <w:t>kg/</w:t>
            </w:r>
            <w:r>
              <w:rPr>
                <w:rFonts w:hint="eastAsia"/>
                <w:color w:val="auto"/>
                <w:sz w:val="24"/>
                <w:lang w:val="en-US" w:eastAsia="zh-CN"/>
              </w:rPr>
              <w:t>d</w:t>
            </w:r>
            <w:r>
              <w:rPr>
                <w:color w:val="auto"/>
                <w:sz w:val="24"/>
              </w:rPr>
              <w:t>（</w:t>
            </w:r>
            <w:r>
              <w:rPr>
                <w:rFonts w:hint="eastAsia"/>
                <w:color w:val="auto"/>
                <w:sz w:val="24"/>
                <w:lang w:val="en-US" w:eastAsia="zh-CN"/>
              </w:rPr>
              <w:t>1.2</w:t>
            </w:r>
            <w:r>
              <w:rPr>
                <w:color w:val="auto"/>
                <w:sz w:val="24"/>
              </w:rPr>
              <w:t>t/a）。生活垃圾集中收集，由环卫部门统一清运处理。</w:t>
            </w:r>
          </w:p>
          <w:p>
            <w:pPr>
              <w:pStyle w:val="2"/>
              <w:keepNext w:val="0"/>
              <w:keepLines w:val="0"/>
              <w:pageBreakBefore w:val="0"/>
              <w:widowControl w:val="0"/>
              <w:kinsoku/>
              <w:wordWrap/>
              <w:overflowPunct/>
              <w:topLinePunct w:val="0"/>
              <w:bidi w:val="0"/>
              <w:snapToGrid/>
              <w:spacing w:line="360" w:lineRule="auto"/>
              <w:ind w:firstLine="480" w:firstLineChars="200"/>
              <w:rPr>
                <w:rFonts w:hint="eastAsia"/>
                <w:color w:val="auto"/>
                <w:sz w:val="24"/>
                <w:szCs w:val="24"/>
                <w:lang w:val="en-US" w:eastAsia="zh-CN"/>
              </w:rPr>
            </w:pPr>
            <w:r>
              <w:rPr>
                <w:rFonts w:hint="eastAsia"/>
                <w:color w:val="auto"/>
                <w:sz w:val="24"/>
                <w:lang w:eastAsia="zh-CN"/>
              </w:rPr>
              <w:t>（</w:t>
            </w:r>
            <w:r>
              <w:rPr>
                <w:rFonts w:hint="eastAsia"/>
                <w:color w:val="auto"/>
                <w:sz w:val="24"/>
                <w:lang w:val="en-US" w:eastAsia="zh-CN"/>
              </w:rPr>
              <w:t>6</w:t>
            </w:r>
            <w:r>
              <w:rPr>
                <w:rFonts w:hint="eastAsia"/>
                <w:color w:val="auto"/>
                <w:sz w:val="24"/>
                <w:lang w:eastAsia="zh-CN"/>
              </w:rPr>
              <w:t>）</w:t>
            </w:r>
            <w:r>
              <w:rPr>
                <w:rFonts w:hint="eastAsia"/>
                <w:color w:val="auto"/>
                <w:sz w:val="24"/>
                <w:szCs w:val="24"/>
                <w:lang w:val="en-US" w:eastAsia="zh-CN"/>
              </w:rPr>
              <w:t>木焦油、木醋液</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textAlignment w:val="auto"/>
              <w:rPr>
                <w:rFonts w:hint="eastAsia"/>
                <w:color w:val="auto"/>
                <w:sz w:val="24"/>
                <w:u w:val="none"/>
              </w:rPr>
            </w:pPr>
            <w:r>
              <w:rPr>
                <w:rFonts w:hint="eastAsia"/>
                <w:color w:val="auto"/>
                <w:sz w:val="24"/>
                <w:u w:val="none"/>
              </w:rPr>
              <w:t>本项目炭化</w:t>
            </w:r>
            <w:r>
              <w:rPr>
                <w:color w:val="auto"/>
                <w:sz w:val="24"/>
                <w:u w:val="none"/>
              </w:rPr>
              <w:t>窑</w:t>
            </w:r>
            <w:r>
              <w:rPr>
                <w:rFonts w:hint="eastAsia"/>
                <w:color w:val="auto"/>
                <w:sz w:val="24"/>
                <w:u w:val="none"/>
              </w:rPr>
              <w:t>炭化过程中会产生</w:t>
            </w:r>
            <w:r>
              <w:rPr>
                <w:rFonts w:hint="eastAsia"/>
                <w:color w:val="auto"/>
                <w:sz w:val="24"/>
                <w:szCs w:val="24"/>
                <w:lang w:val="en-US" w:eastAsia="zh-CN"/>
              </w:rPr>
              <w:t>木焦油、木醋液</w:t>
            </w:r>
            <w:r>
              <w:rPr>
                <w:rFonts w:hint="eastAsia"/>
                <w:color w:val="auto"/>
                <w:sz w:val="24"/>
                <w:u w:val="none"/>
              </w:rPr>
              <w:t>，</w:t>
            </w:r>
            <w:r>
              <w:rPr>
                <w:rFonts w:hint="eastAsia"/>
                <w:color w:val="auto"/>
                <w:sz w:val="24"/>
                <w:u w:val="single"/>
              </w:rPr>
              <w:t>依据南方等人在《综合利用是秸秆气化长期运行的经济保证》一文中提出，木醋液产生系数为250kg/t燃料、木焦油产生系数为50kg/t燃料，依据前文分析，进入炭化炉的干原料合计</w:t>
            </w:r>
            <w:r>
              <w:rPr>
                <w:rFonts w:hint="eastAsia"/>
                <w:color w:val="auto"/>
                <w:sz w:val="24"/>
                <w:u w:val="single"/>
                <w:lang w:val="en-US" w:eastAsia="zh-CN"/>
              </w:rPr>
              <w:t>10000</w:t>
            </w:r>
            <w:r>
              <w:rPr>
                <w:rFonts w:hint="eastAsia"/>
                <w:color w:val="auto"/>
                <w:sz w:val="24"/>
                <w:u w:val="single"/>
              </w:rPr>
              <w:t>t/a，则产生木醋液</w:t>
            </w:r>
            <w:r>
              <w:rPr>
                <w:rFonts w:hint="eastAsia"/>
                <w:color w:val="auto"/>
                <w:sz w:val="24"/>
                <w:u w:val="single"/>
                <w:lang w:val="en-US" w:eastAsia="zh-CN"/>
              </w:rPr>
              <w:t>2500</w:t>
            </w:r>
            <w:r>
              <w:rPr>
                <w:rFonts w:hint="eastAsia"/>
                <w:color w:val="auto"/>
                <w:sz w:val="24"/>
                <w:u w:val="single"/>
              </w:rPr>
              <w:t>t/a、木焦油</w:t>
            </w:r>
            <w:r>
              <w:rPr>
                <w:rFonts w:hint="eastAsia"/>
                <w:color w:val="auto"/>
                <w:sz w:val="24"/>
                <w:u w:val="single"/>
                <w:lang w:val="en-US" w:eastAsia="zh-CN"/>
              </w:rPr>
              <w:t>500</w:t>
            </w:r>
            <w:r>
              <w:rPr>
                <w:rFonts w:hint="eastAsia"/>
                <w:color w:val="auto"/>
                <w:sz w:val="24"/>
                <w:u w:val="single"/>
              </w:rPr>
              <w:t>t/a，二者不分离，合计</w:t>
            </w:r>
            <w:r>
              <w:rPr>
                <w:rFonts w:hint="eastAsia"/>
                <w:color w:val="auto"/>
                <w:sz w:val="24"/>
                <w:u w:val="single"/>
                <w:lang w:val="en-US" w:eastAsia="zh-CN"/>
              </w:rPr>
              <w:t>3000</w:t>
            </w:r>
            <w:r>
              <w:rPr>
                <w:rFonts w:hint="eastAsia"/>
                <w:color w:val="auto"/>
                <w:sz w:val="24"/>
                <w:u w:val="single"/>
              </w:rPr>
              <w:t>t/a。</w:t>
            </w:r>
            <w:r>
              <w:rPr>
                <w:rFonts w:hint="eastAsia"/>
                <w:color w:val="auto"/>
                <w:sz w:val="24"/>
                <w:u w:val="none"/>
                <w:lang w:eastAsia="zh-CN"/>
              </w:rPr>
              <w:t>木</w:t>
            </w:r>
            <w:r>
              <w:rPr>
                <w:rFonts w:hint="eastAsia"/>
                <w:color w:val="auto"/>
                <w:sz w:val="24"/>
                <w:u w:val="none"/>
              </w:rPr>
              <w:t>焦油及</w:t>
            </w:r>
            <w:r>
              <w:rPr>
                <w:rFonts w:hint="eastAsia"/>
                <w:color w:val="auto"/>
                <w:sz w:val="24"/>
                <w:u w:val="none"/>
                <w:lang w:eastAsia="zh-CN"/>
              </w:rPr>
              <w:t>木</w:t>
            </w:r>
            <w:r>
              <w:rPr>
                <w:rFonts w:hint="eastAsia"/>
                <w:color w:val="auto"/>
                <w:sz w:val="24"/>
                <w:u w:val="none"/>
              </w:rPr>
              <w:t>醋液主要</w:t>
            </w:r>
            <w:r>
              <w:rPr>
                <w:color w:val="auto"/>
                <w:sz w:val="24"/>
                <w:u w:val="none"/>
              </w:rPr>
              <w:t>含有</w:t>
            </w:r>
            <w:r>
              <w:rPr>
                <w:rFonts w:hint="eastAsia"/>
                <w:color w:val="auto"/>
                <w:sz w:val="24"/>
                <w:u w:val="none"/>
              </w:rPr>
              <w:t>水分及</w:t>
            </w:r>
            <w:r>
              <w:rPr>
                <w:color w:val="auto"/>
                <w:sz w:val="24"/>
                <w:u w:val="none"/>
              </w:rPr>
              <w:t>有机酸、醇类、酮类、酯类、醛类、酚类、芳香族化合物等200余种有机物</w:t>
            </w:r>
            <w:r>
              <w:rPr>
                <w:rFonts w:hint="eastAsia"/>
                <w:color w:val="auto"/>
                <w:sz w:val="24"/>
                <w:u w:val="none"/>
              </w:rPr>
              <w:t>，</w:t>
            </w:r>
            <w:r>
              <w:rPr>
                <w:rFonts w:hint="eastAsia"/>
                <w:color w:val="auto"/>
                <w:sz w:val="24"/>
                <w:u w:val="single"/>
              </w:rPr>
              <w:t>根据《国家危险废物名录（2018）》，木焦油、木醋液属于危险废物，类别为HW11（精（蒸）馏残渣），废物代码为252-014-11。</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textAlignment w:val="auto"/>
              <w:rPr>
                <w:rFonts w:hint="eastAsia"/>
                <w:color w:val="auto"/>
                <w:sz w:val="24"/>
                <w:u w:val="none"/>
                <w:lang w:eastAsia="zh-CN"/>
              </w:rPr>
            </w:pPr>
            <w:r>
              <w:rPr>
                <w:color w:val="auto"/>
                <w:sz w:val="24"/>
                <w:u w:val="none"/>
              </w:rPr>
              <w:t>本项目直接将</w:t>
            </w:r>
            <w:r>
              <w:rPr>
                <w:rFonts w:hint="eastAsia"/>
                <w:color w:val="auto"/>
                <w:sz w:val="24"/>
                <w:szCs w:val="24"/>
                <w:lang w:val="en-US" w:eastAsia="zh-CN"/>
              </w:rPr>
              <w:t>木焦油、木醋液</w:t>
            </w:r>
            <w:r>
              <w:rPr>
                <w:rFonts w:hint="eastAsia"/>
                <w:color w:val="auto"/>
                <w:sz w:val="24"/>
                <w:u w:val="none"/>
              </w:rPr>
              <w:t>（未冷却）以气态形式经风机送至</w:t>
            </w:r>
            <w:r>
              <w:rPr>
                <w:rFonts w:hint="eastAsia"/>
                <w:color w:val="auto"/>
                <w:sz w:val="24"/>
                <w:u w:val="none"/>
                <w:lang w:eastAsia="zh-CN"/>
              </w:rPr>
              <w:t>烘干机</w:t>
            </w:r>
            <w:r>
              <w:rPr>
                <w:rFonts w:hint="eastAsia"/>
                <w:color w:val="auto"/>
                <w:sz w:val="24"/>
                <w:u w:val="none"/>
              </w:rPr>
              <w:t>做燃料</w:t>
            </w:r>
            <w:r>
              <w:rPr>
                <w:color w:val="auto"/>
                <w:sz w:val="24"/>
                <w:u w:val="none"/>
              </w:rPr>
              <w:t>燃烧</w:t>
            </w:r>
            <w:r>
              <w:rPr>
                <w:rFonts w:hint="eastAsia"/>
                <w:color w:val="auto"/>
                <w:sz w:val="24"/>
                <w:u w:val="none"/>
              </w:rPr>
              <w:t>掉</w:t>
            </w:r>
            <w:r>
              <w:rPr>
                <w:color w:val="auto"/>
                <w:sz w:val="24"/>
                <w:u w:val="none"/>
              </w:rPr>
              <w:t>，生成二氧化碳和水</w:t>
            </w:r>
            <w:r>
              <w:rPr>
                <w:rFonts w:hint="eastAsia"/>
                <w:color w:val="auto"/>
                <w:sz w:val="24"/>
                <w:u w:val="none"/>
                <w:lang w:eastAsia="zh-CN"/>
              </w:rPr>
              <w:t>。</w:t>
            </w:r>
            <w:r>
              <w:rPr>
                <w:rFonts w:hint="eastAsia"/>
                <w:color w:val="auto"/>
                <w:sz w:val="24"/>
                <w:u w:val="single"/>
                <w:lang w:eastAsia="zh-CN"/>
              </w:rPr>
              <w:t>少量未被燃烧的</w:t>
            </w:r>
            <w:r>
              <w:rPr>
                <w:rFonts w:hint="eastAsia"/>
                <w:color w:val="auto"/>
                <w:sz w:val="24"/>
                <w:szCs w:val="24"/>
                <w:u w:val="single"/>
                <w:lang w:val="en-US" w:eastAsia="zh-CN"/>
              </w:rPr>
              <w:t>木焦油在沉淀池内沉淀，产生量约为0.5t/a。定期清掏，与沉淀池内沉淀渣一同混入原料中回用。不在厂区内暂存。</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textAlignment w:val="auto"/>
              <w:rPr>
                <w:rFonts w:hint="eastAsia"/>
                <w:color w:val="auto"/>
                <w:sz w:val="24"/>
                <w:u w:val="none"/>
                <w:lang w:eastAsia="zh-CN"/>
              </w:rPr>
            </w:pPr>
            <w:r>
              <w:rPr>
                <w:rFonts w:hint="eastAsia"/>
                <w:color w:val="auto"/>
                <w:sz w:val="24"/>
                <w:u w:val="none"/>
                <w:lang w:eastAsia="zh-CN"/>
              </w:rPr>
              <w:t>（</w:t>
            </w:r>
            <w:r>
              <w:rPr>
                <w:rFonts w:hint="eastAsia"/>
                <w:color w:val="auto"/>
                <w:sz w:val="24"/>
                <w:u w:val="none"/>
                <w:lang w:val="en-US" w:eastAsia="zh-CN"/>
              </w:rPr>
              <w:t>7</w:t>
            </w:r>
            <w:r>
              <w:rPr>
                <w:rFonts w:hint="eastAsia"/>
                <w:color w:val="auto"/>
                <w:sz w:val="24"/>
                <w:u w:val="none"/>
                <w:lang w:eastAsia="zh-CN"/>
              </w:rPr>
              <w:t>）包装废弃物</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textAlignment w:val="auto"/>
              <w:rPr>
                <w:rFonts w:hint="eastAsia"/>
                <w:color w:val="auto"/>
                <w:sz w:val="24"/>
                <w:u w:val="none"/>
                <w:lang w:eastAsia="zh-CN"/>
              </w:rPr>
            </w:pPr>
            <w:r>
              <w:rPr>
                <w:rFonts w:hint="eastAsia"/>
                <w:color w:val="auto"/>
                <w:sz w:val="24"/>
                <w:u w:val="none"/>
                <w:lang w:eastAsia="zh-CN"/>
              </w:rPr>
              <w:t>项目产品包装过程中会产生一定量的包装废弃物，其产生量约为0.</w:t>
            </w:r>
            <w:r>
              <w:rPr>
                <w:rFonts w:hint="eastAsia"/>
                <w:color w:val="auto"/>
                <w:sz w:val="24"/>
                <w:u w:val="none"/>
                <w:lang w:val="en-US" w:eastAsia="zh-CN"/>
              </w:rPr>
              <w:t>3</w:t>
            </w:r>
            <w:r>
              <w:rPr>
                <w:rFonts w:hint="eastAsia"/>
                <w:color w:val="auto"/>
                <w:sz w:val="24"/>
                <w:u w:val="none"/>
                <w:lang w:eastAsia="zh-CN"/>
              </w:rPr>
              <w:t>t/a，此类废弃物作为废品外售于废品回收站。</w:t>
            </w:r>
          </w:p>
          <w:p>
            <w:pPr>
              <w:spacing w:line="360" w:lineRule="auto"/>
              <w:ind w:firstLine="480" w:firstLineChars="200"/>
              <w:jc w:val="left"/>
              <w:rPr>
                <w:rFonts w:hint="eastAsia" w:eastAsia="宋体"/>
                <w:color w:val="auto"/>
                <w:sz w:val="24"/>
                <w:u w:val="single"/>
                <w:lang w:eastAsia="zh-CN"/>
              </w:rPr>
            </w:pPr>
            <w:r>
              <w:rPr>
                <w:rFonts w:hint="eastAsia"/>
                <w:color w:val="auto"/>
                <w:sz w:val="24"/>
                <w:u w:val="none"/>
                <w:lang w:eastAsia="zh-CN"/>
              </w:rPr>
              <w:t>（</w:t>
            </w:r>
            <w:r>
              <w:rPr>
                <w:rFonts w:hint="eastAsia"/>
                <w:color w:val="auto"/>
                <w:sz w:val="24"/>
                <w:u w:val="none"/>
                <w:lang w:val="en-US" w:eastAsia="zh-CN"/>
              </w:rPr>
              <w:t>8）</w:t>
            </w:r>
            <w:r>
              <w:rPr>
                <w:color w:val="auto"/>
                <w:sz w:val="24"/>
                <w:u w:val="single"/>
              </w:rPr>
              <w:t>废</w:t>
            </w:r>
            <w:r>
              <w:rPr>
                <w:rFonts w:hint="eastAsia"/>
                <w:color w:val="auto"/>
                <w:sz w:val="24"/>
                <w:u w:val="single"/>
                <w:lang w:eastAsia="zh-CN"/>
              </w:rPr>
              <w:t>润滑油</w:t>
            </w:r>
          </w:p>
          <w:p>
            <w:pPr>
              <w:spacing w:line="360" w:lineRule="auto"/>
              <w:ind w:firstLine="480" w:firstLineChars="200"/>
              <w:rPr>
                <w:rFonts w:hint="eastAsia"/>
                <w:color w:val="auto"/>
                <w:sz w:val="24"/>
                <w:u w:val="single"/>
              </w:rPr>
            </w:pPr>
            <w:r>
              <w:rPr>
                <w:rFonts w:ascii="T" w:hAnsi="T"/>
                <w:color w:val="auto"/>
                <w:kern w:val="1"/>
                <w:sz w:val="24"/>
                <w:u w:val="single"/>
              </w:rPr>
              <w:t>设备在机修、运行过程中跑、冒、滴、漏产生废</w:t>
            </w:r>
            <w:r>
              <w:rPr>
                <w:rFonts w:hint="eastAsia" w:ascii="T" w:hAnsi="T"/>
                <w:color w:val="auto"/>
                <w:kern w:val="1"/>
                <w:sz w:val="24"/>
                <w:u w:val="single"/>
              </w:rPr>
              <w:t>润滑</w:t>
            </w:r>
            <w:r>
              <w:rPr>
                <w:rFonts w:ascii="T" w:hAnsi="T"/>
                <w:color w:val="auto"/>
                <w:kern w:val="1"/>
                <w:sz w:val="24"/>
                <w:u w:val="single"/>
              </w:rPr>
              <w:t>油，根据建设单位</w:t>
            </w:r>
            <w:r>
              <w:rPr>
                <w:rFonts w:hint="eastAsia" w:ascii="T" w:hAnsi="T"/>
                <w:color w:val="auto"/>
                <w:kern w:val="1"/>
                <w:sz w:val="24"/>
                <w:u w:val="single"/>
              </w:rPr>
              <w:t>提供资料</w:t>
            </w:r>
            <w:r>
              <w:rPr>
                <w:rFonts w:ascii="T" w:hAnsi="T"/>
                <w:color w:val="auto"/>
                <w:kern w:val="1"/>
                <w:sz w:val="24"/>
                <w:u w:val="single"/>
              </w:rPr>
              <w:t>，</w:t>
            </w:r>
            <w:r>
              <w:rPr>
                <w:rFonts w:hint="eastAsia" w:ascii="T" w:hAnsi="T"/>
                <w:color w:val="auto"/>
                <w:kern w:val="1"/>
                <w:sz w:val="24"/>
                <w:u w:val="single"/>
              </w:rPr>
              <w:t>废润滑油</w:t>
            </w:r>
            <w:r>
              <w:rPr>
                <w:rFonts w:ascii="T" w:hAnsi="T"/>
                <w:color w:val="auto"/>
                <w:kern w:val="1"/>
                <w:sz w:val="24"/>
                <w:u w:val="single"/>
              </w:rPr>
              <w:t>预计产生量为0.</w:t>
            </w:r>
            <w:r>
              <w:rPr>
                <w:rFonts w:hint="eastAsia" w:ascii="T" w:hAnsi="T"/>
                <w:color w:val="auto"/>
                <w:kern w:val="1"/>
                <w:sz w:val="24"/>
                <w:u w:val="single"/>
                <w:lang w:val="en-US" w:eastAsia="zh-CN"/>
              </w:rPr>
              <w:t>02</w:t>
            </w:r>
            <w:r>
              <w:rPr>
                <w:rFonts w:ascii="T" w:hAnsi="T"/>
                <w:color w:val="auto"/>
                <w:kern w:val="1"/>
                <w:sz w:val="24"/>
                <w:u w:val="single"/>
              </w:rPr>
              <w:t>t/a</w:t>
            </w:r>
            <w:r>
              <w:rPr>
                <w:rFonts w:hint="eastAsia" w:ascii="T" w:hAnsi="T"/>
                <w:color w:val="auto"/>
                <w:kern w:val="1"/>
                <w:sz w:val="24"/>
                <w:u w:val="single"/>
              </w:rPr>
              <w:t>，废润滑油属于危险废物（代码为HW08，</w:t>
            </w:r>
            <w:r>
              <w:rPr>
                <w:rFonts w:hint="eastAsia"/>
                <w:bCs/>
                <w:color w:val="auto"/>
                <w:sz w:val="24"/>
                <w:szCs w:val="28"/>
                <w:u w:val="single"/>
              </w:rPr>
              <w:t>业来源：非特定行业；废物代码9</w:t>
            </w:r>
            <w:r>
              <w:rPr>
                <w:bCs/>
                <w:color w:val="auto"/>
                <w:sz w:val="24"/>
                <w:szCs w:val="28"/>
                <w:u w:val="single"/>
              </w:rPr>
              <w:t>00-249-08</w:t>
            </w:r>
            <w:r>
              <w:rPr>
                <w:rFonts w:hint="eastAsia"/>
                <w:bCs/>
                <w:color w:val="auto"/>
                <w:sz w:val="24"/>
                <w:szCs w:val="28"/>
                <w:u w:val="single"/>
                <w:lang w:eastAsia="zh-CN"/>
              </w:rPr>
              <w:t>。</w:t>
            </w:r>
            <w:r>
              <w:rPr>
                <w:rFonts w:hint="eastAsia" w:ascii="T" w:hAnsi="T"/>
                <w:color w:val="auto"/>
                <w:kern w:val="1"/>
                <w:sz w:val="24"/>
                <w:u w:val="single"/>
              </w:rPr>
              <w:t>集中收集后暂存于危废暂存间，定期交由有资质单位处置</w:t>
            </w:r>
            <w:r>
              <w:rPr>
                <w:rFonts w:hint="eastAsia"/>
                <w:color w:val="auto"/>
                <w:sz w:val="24"/>
                <w:u w:val="single"/>
              </w:rPr>
              <w:t>。</w:t>
            </w:r>
          </w:p>
          <w:p>
            <w:pPr>
              <w:spacing w:line="360" w:lineRule="auto"/>
              <w:ind w:firstLine="480" w:firstLineChars="200"/>
              <w:jc w:val="left"/>
              <w:rPr>
                <w:color w:val="auto"/>
                <w:sz w:val="24"/>
                <w:u w:val="single"/>
              </w:rPr>
            </w:pPr>
            <w:r>
              <w:rPr>
                <w:rFonts w:hint="eastAsia"/>
                <w:color w:val="auto"/>
                <w:sz w:val="24"/>
                <w:u w:val="none"/>
                <w:lang w:eastAsia="zh-CN"/>
              </w:rPr>
              <w:t>（</w:t>
            </w:r>
            <w:r>
              <w:rPr>
                <w:rFonts w:hint="eastAsia"/>
                <w:color w:val="auto"/>
                <w:sz w:val="24"/>
                <w:u w:val="none"/>
                <w:lang w:val="en-US" w:eastAsia="zh-CN"/>
              </w:rPr>
              <w:t>9</w:t>
            </w:r>
            <w:r>
              <w:rPr>
                <w:rFonts w:hint="eastAsia"/>
                <w:color w:val="auto"/>
                <w:sz w:val="24"/>
                <w:u w:val="none"/>
                <w:lang w:eastAsia="zh-CN"/>
              </w:rPr>
              <w:t>）</w:t>
            </w:r>
            <w:r>
              <w:rPr>
                <w:rFonts w:hint="eastAsia"/>
                <w:color w:val="auto"/>
                <w:sz w:val="24"/>
                <w:u w:val="single"/>
              </w:rPr>
              <w:t>含油废手套（抹布）</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u w:val="single"/>
              </w:rPr>
              <w:t>项目员工在加工作业、维修设备时会产生含油废手套（抹布），属于危险废物</w:t>
            </w:r>
            <w:r>
              <w:rPr>
                <w:rFonts w:hint="eastAsia" w:ascii="T" w:hAnsi="T"/>
                <w:color w:val="auto"/>
                <w:kern w:val="1"/>
                <w:sz w:val="24"/>
                <w:u w:val="single"/>
              </w:rPr>
              <w:t>（代码为HW49，</w:t>
            </w:r>
            <w:r>
              <w:rPr>
                <w:rFonts w:hint="eastAsia"/>
                <w:bCs/>
                <w:color w:val="auto"/>
                <w:sz w:val="24"/>
                <w:szCs w:val="28"/>
                <w:u w:val="single"/>
              </w:rPr>
              <w:t>废物代码</w:t>
            </w:r>
            <w:r>
              <w:rPr>
                <w:bCs/>
                <w:color w:val="auto"/>
                <w:sz w:val="24"/>
                <w:szCs w:val="28"/>
                <w:u w:val="single"/>
              </w:rPr>
              <w:t>900-041-49</w:t>
            </w:r>
            <w:r>
              <w:rPr>
                <w:rFonts w:hint="eastAsia"/>
                <w:bCs/>
                <w:color w:val="auto"/>
                <w:sz w:val="24"/>
                <w:szCs w:val="28"/>
                <w:u w:val="single"/>
                <w:lang w:eastAsia="zh-CN"/>
              </w:rPr>
              <w:t>）</w:t>
            </w:r>
            <w:r>
              <w:rPr>
                <w:rFonts w:hint="eastAsia"/>
                <w:color w:val="auto"/>
                <w:sz w:val="24"/>
                <w:u w:val="single"/>
              </w:rPr>
              <w:t>，根据业主提供资料，产生量约为0.0</w:t>
            </w:r>
            <w:r>
              <w:rPr>
                <w:rFonts w:hint="eastAsia"/>
                <w:color w:val="auto"/>
                <w:sz w:val="24"/>
                <w:u w:val="single"/>
                <w:lang w:val="en-US" w:eastAsia="zh-CN"/>
              </w:rPr>
              <w:t>1</w:t>
            </w:r>
            <w:r>
              <w:rPr>
                <w:rFonts w:hint="eastAsia"/>
                <w:color w:val="auto"/>
                <w:sz w:val="24"/>
                <w:u w:val="single"/>
              </w:rPr>
              <w:t>t/a，含油废手套（抹布）不能主动混入生活垃圾，应按危险废物</w:t>
            </w:r>
            <w:r>
              <w:rPr>
                <w:rFonts w:hint="eastAsia" w:ascii="T" w:hAnsi="T"/>
                <w:color w:val="auto"/>
                <w:kern w:val="1"/>
                <w:sz w:val="24"/>
                <w:u w:val="single"/>
              </w:rPr>
              <w:t>集中收集后暂存于危废暂存间，定期交由有资质单位处置</w:t>
            </w:r>
            <w:r>
              <w:rPr>
                <w:color w:val="auto"/>
                <w:sz w:val="24"/>
                <w:u w:val="single"/>
              </w:rPr>
              <w:t>。</w:t>
            </w:r>
          </w:p>
        </w:tc>
      </w:tr>
    </w:tbl>
    <w:p>
      <w:pPr>
        <w:pStyle w:val="2"/>
        <w:rPr>
          <w:color w:val="auto"/>
          <w:sz w:val="24"/>
          <w:szCs w:val="24"/>
        </w:rPr>
      </w:pPr>
    </w:p>
    <w:p>
      <w:pPr>
        <w:pStyle w:val="2"/>
        <w:rPr>
          <w:color w:val="auto"/>
          <w:sz w:val="24"/>
          <w:szCs w:val="24"/>
        </w:rPr>
        <w:sectPr>
          <w:pgSz w:w="11906" w:h="16838"/>
          <w:pgMar w:top="1440" w:right="1800" w:bottom="1440" w:left="1800" w:header="851" w:footer="992" w:gutter="0"/>
          <w:pgNumType w:fmt="decimal"/>
          <w:cols w:space="425" w:num="1"/>
          <w:docGrid w:type="lines" w:linePitch="312" w:charSpace="0"/>
        </w:sectPr>
      </w:pPr>
    </w:p>
    <w:p>
      <w:pPr>
        <w:pStyle w:val="3"/>
        <w:keepNext w:val="0"/>
        <w:keepLines w:val="0"/>
        <w:suppressAutoHyphens/>
        <w:topLinePunct/>
        <w:spacing w:before="0" w:after="0" w:line="240" w:lineRule="auto"/>
        <w:rPr>
          <w:rFonts w:hint="eastAsia"/>
          <w:bCs w:val="0"/>
          <w:color w:val="auto"/>
          <w:kern w:val="0"/>
          <w:sz w:val="28"/>
          <w:szCs w:val="28"/>
        </w:rPr>
      </w:pPr>
      <w:bookmarkStart w:id="9" w:name="_Toc29307431"/>
      <w:bookmarkStart w:id="10" w:name="_Toc29308631"/>
      <w:r>
        <w:rPr>
          <w:rFonts w:hint="eastAsia"/>
          <w:bCs w:val="0"/>
          <w:color w:val="auto"/>
          <w:kern w:val="0"/>
          <w:sz w:val="28"/>
          <w:szCs w:val="28"/>
        </w:rPr>
        <w:t>六、项目主要污染物产生及预计排放情况</w:t>
      </w:r>
      <w:bookmarkEnd w:id="9"/>
      <w:bookmarkEnd w:id="10"/>
    </w:p>
    <w:tbl>
      <w:tblPr>
        <w:tblStyle w:val="22"/>
        <w:tblW w:w="9459" w:type="dxa"/>
        <w:tblInd w:w="-287"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56"/>
        <w:gridCol w:w="960"/>
        <w:gridCol w:w="1740"/>
        <w:gridCol w:w="1710"/>
        <w:gridCol w:w="2143"/>
        <w:gridCol w:w="245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1416" w:type="dxa"/>
            <w:gridSpan w:val="2"/>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内容类型</w:t>
            </w:r>
          </w:p>
        </w:tc>
        <w:tc>
          <w:tcPr>
            <w:tcW w:w="174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排放源</w:t>
            </w: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污染物名称</w:t>
            </w:r>
          </w:p>
        </w:tc>
        <w:tc>
          <w:tcPr>
            <w:tcW w:w="2143"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处理前产生浓度及产生量（单位）</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处理后排放浓度及排放量（单位）</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56"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大气污染物</w:t>
            </w:r>
          </w:p>
        </w:tc>
        <w:tc>
          <w:tcPr>
            <w:tcW w:w="96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施工期</w:t>
            </w:r>
          </w:p>
        </w:tc>
        <w:tc>
          <w:tcPr>
            <w:tcW w:w="174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施工扬尘</w:t>
            </w: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TSP</w:t>
            </w:r>
          </w:p>
        </w:tc>
        <w:tc>
          <w:tcPr>
            <w:tcW w:w="2143"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少量，无组织排放</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少量，无组织排放</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施工机械及汽车尾气</w:t>
            </w: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CO、HC、NOx</w:t>
            </w:r>
          </w:p>
        </w:tc>
        <w:tc>
          <w:tcPr>
            <w:tcW w:w="2143"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少量，无组织排放</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少量，无组织排放</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装修废气</w:t>
            </w: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甲苯、二甲苯等有机废气</w:t>
            </w:r>
          </w:p>
        </w:tc>
        <w:tc>
          <w:tcPr>
            <w:tcW w:w="2143"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少量，无组织排放</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少量，无组织排放</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8"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营运期</w:t>
            </w:r>
          </w:p>
        </w:tc>
        <w:tc>
          <w:tcPr>
            <w:tcW w:w="1740" w:type="dxa"/>
            <w:vMerge w:val="restart"/>
            <w:noWrap w:val="0"/>
            <w:vAlign w:val="center"/>
          </w:tcPr>
          <w:p>
            <w:pPr>
              <w:pStyle w:val="55"/>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烘干、</w:t>
            </w:r>
          </w:p>
          <w:p>
            <w:pPr>
              <w:pStyle w:val="55"/>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lang w:eastAsia="zh-CN"/>
              </w:rPr>
              <w:t>粉碎、</w:t>
            </w:r>
          </w:p>
          <w:p>
            <w:pPr>
              <w:pStyle w:val="55"/>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制棒、</w:t>
            </w:r>
          </w:p>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eastAsiaTheme="minorEastAsia"/>
                <w:color w:val="auto"/>
                <w:sz w:val="21"/>
                <w:szCs w:val="21"/>
                <w:u w:val="none"/>
              </w:rPr>
              <w:t>炭化废气</w:t>
            </w:r>
          </w:p>
        </w:tc>
        <w:tc>
          <w:tcPr>
            <w:tcW w:w="1710" w:type="dxa"/>
            <w:noWrap w:val="0"/>
            <w:vAlign w:val="center"/>
          </w:tcPr>
          <w:p>
            <w:pPr>
              <w:pStyle w:val="5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u w:val="none"/>
              </w:rPr>
            </w:pPr>
            <w:r>
              <w:rPr>
                <w:rFonts w:hint="default" w:ascii="Times New Roman" w:hAnsi="Times New Roman" w:cs="Times New Roman" w:eastAsiaTheme="minorEastAsia"/>
                <w:color w:val="auto"/>
                <w:sz w:val="21"/>
                <w:szCs w:val="21"/>
                <w:u w:val="none"/>
              </w:rPr>
              <w:t>烟</w:t>
            </w:r>
            <w:r>
              <w:rPr>
                <w:rFonts w:hint="eastAsia" w:cs="Times New Roman" w:eastAsiaTheme="minorEastAsia"/>
                <w:color w:val="auto"/>
                <w:sz w:val="21"/>
                <w:szCs w:val="21"/>
                <w:u w:val="none"/>
                <w:lang w:eastAsia="zh-CN"/>
              </w:rPr>
              <w:t>、</w:t>
            </w:r>
            <w:r>
              <w:rPr>
                <w:rFonts w:hint="default" w:ascii="Times New Roman" w:hAnsi="Times New Roman" w:cs="Times New Roman" w:eastAsiaTheme="minorEastAsia"/>
                <w:color w:val="auto"/>
                <w:sz w:val="21"/>
                <w:szCs w:val="21"/>
                <w:u w:val="none"/>
                <w:lang w:val="en-US" w:eastAsia="zh-CN"/>
              </w:rPr>
              <w:t>粉尘</w:t>
            </w:r>
          </w:p>
        </w:tc>
        <w:tc>
          <w:tcPr>
            <w:tcW w:w="2143"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0"/>
                <w:sz w:val="21"/>
                <w:szCs w:val="21"/>
                <w:u w:val="single"/>
              </w:rPr>
            </w:pPr>
            <w:r>
              <w:rPr>
                <w:rFonts w:hint="eastAsia" w:cs="Times New Roman" w:eastAsiaTheme="minorEastAsia"/>
                <w:i w:val="0"/>
                <w:color w:val="auto"/>
                <w:kern w:val="0"/>
                <w:sz w:val="21"/>
                <w:szCs w:val="21"/>
                <w:u w:val="single"/>
                <w:lang w:val="en-US" w:eastAsia="zh-CN" w:bidi="ar"/>
              </w:rPr>
              <w:t>36.81</w:t>
            </w:r>
            <w:r>
              <w:rPr>
                <w:rFonts w:hint="default" w:ascii="Times New Roman" w:hAnsi="Times New Roman" w:cs="Times New Roman" w:eastAsiaTheme="minorEastAsia"/>
                <w:i w:val="0"/>
                <w:color w:val="auto"/>
                <w:kern w:val="0"/>
                <w:sz w:val="21"/>
                <w:szCs w:val="21"/>
                <w:u w:val="single"/>
                <w:lang w:val="en-US" w:eastAsia="zh-CN" w:bidi="ar"/>
              </w:rPr>
              <w:t>t/a</w:t>
            </w:r>
          </w:p>
        </w:tc>
        <w:tc>
          <w:tcPr>
            <w:tcW w:w="245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0"/>
                <w:sz w:val="21"/>
                <w:szCs w:val="21"/>
                <w:u w:val="single"/>
              </w:rPr>
            </w:pPr>
            <w:r>
              <w:rPr>
                <w:rFonts w:hint="eastAsia" w:cs="Times New Roman" w:eastAsiaTheme="minorEastAsia"/>
                <w:i w:val="0"/>
                <w:color w:val="auto"/>
                <w:kern w:val="0"/>
                <w:sz w:val="21"/>
                <w:szCs w:val="21"/>
                <w:u w:val="single"/>
                <w:lang w:val="en-US" w:eastAsia="zh-CN" w:bidi="ar"/>
              </w:rPr>
              <w:t>0.18</w:t>
            </w:r>
            <w:r>
              <w:rPr>
                <w:rFonts w:hint="default" w:ascii="Times New Roman" w:hAnsi="Times New Roman" w:cs="Times New Roman" w:eastAsiaTheme="minorEastAsia"/>
                <w:i w:val="0"/>
                <w:color w:val="auto"/>
                <w:kern w:val="0"/>
                <w:sz w:val="21"/>
                <w:szCs w:val="21"/>
                <w:u w:val="single"/>
                <w:lang w:val="en-US" w:eastAsia="zh-CN" w:bidi="ar"/>
              </w:rPr>
              <w:t>t/a，</w:t>
            </w:r>
            <w:r>
              <w:rPr>
                <w:rFonts w:hint="eastAsia" w:cs="Times New Roman" w:eastAsiaTheme="minorEastAsia"/>
                <w:i w:val="0"/>
                <w:color w:val="auto"/>
                <w:kern w:val="0"/>
                <w:sz w:val="21"/>
                <w:szCs w:val="21"/>
                <w:u w:val="single"/>
                <w:lang w:val="en-US" w:eastAsia="zh-CN" w:bidi="ar"/>
              </w:rPr>
              <w:t>0.95</w:t>
            </w:r>
            <w:r>
              <w:rPr>
                <w:rFonts w:hint="default" w:ascii="Times New Roman" w:hAnsi="Times New Roman" w:cs="Times New Roman" w:eastAsiaTheme="minorEastAsia"/>
                <w:i w:val="0"/>
                <w:color w:val="auto"/>
                <w:kern w:val="0"/>
                <w:sz w:val="21"/>
                <w:szCs w:val="21"/>
                <w:u w:val="single"/>
                <w:lang w:val="en-US" w:eastAsia="zh-CN" w:bidi="ar"/>
              </w:rPr>
              <w:t>mg/m</w:t>
            </w:r>
            <w:r>
              <w:rPr>
                <w:rFonts w:hint="default" w:ascii="Times New Roman" w:hAnsi="Times New Roman" w:cs="Times New Roman" w:eastAsiaTheme="minorEastAsia"/>
                <w:i w:val="0"/>
                <w:color w:val="auto"/>
                <w:kern w:val="0"/>
                <w:sz w:val="21"/>
                <w:szCs w:val="21"/>
                <w:u w:val="single"/>
                <w:vertAlign w:val="superscript"/>
                <w:lang w:val="en-US" w:eastAsia="zh-CN" w:bidi="ar"/>
              </w:rPr>
              <w:t>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18"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10" w:type="dxa"/>
            <w:noWrap w:val="0"/>
            <w:vAlign w:val="center"/>
          </w:tcPr>
          <w:p>
            <w:pPr>
              <w:pStyle w:val="5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u w:val="none"/>
              </w:rPr>
            </w:pPr>
            <w:r>
              <w:rPr>
                <w:rFonts w:hint="default" w:ascii="Times New Roman" w:hAnsi="Times New Roman" w:cs="Times New Roman" w:eastAsiaTheme="minorEastAsia"/>
                <w:color w:val="auto"/>
                <w:sz w:val="21"/>
                <w:szCs w:val="21"/>
                <w:u w:val="none"/>
              </w:rPr>
              <w:t>二氧化硫</w:t>
            </w:r>
          </w:p>
        </w:tc>
        <w:tc>
          <w:tcPr>
            <w:tcW w:w="2143" w:type="dxa"/>
            <w:noWrap w:val="0"/>
            <w:vAlign w:val="center"/>
          </w:tcPr>
          <w:p>
            <w:pPr>
              <w:pStyle w:val="5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u w:val="single"/>
              </w:rPr>
            </w:pPr>
            <w:r>
              <w:rPr>
                <w:rFonts w:hint="eastAsia" w:cs="Times New Roman" w:eastAsiaTheme="minorEastAsia"/>
                <w:color w:val="auto"/>
                <w:sz w:val="21"/>
                <w:szCs w:val="21"/>
                <w:u w:val="single"/>
                <w:lang w:val="en-US" w:eastAsia="zh-CN"/>
              </w:rPr>
              <w:t>1.455</w:t>
            </w:r>
            <w:r>
              <w:rPr>
                <w:rFonts w:hint="default" w:ascii="Times New Roman" w:hAnsi="Times New Roman" w:cs="Times New Roman" w:eastAsiaTheme="minorEastAsia"/>
                <w:color w:val="auto"/>
                <w:sz w:val="21"/>
                <w:szCs w:val="21"/>
                <w:u w:val="single"/>
                <w:lang w:val="en-US" w:eastAsia="zh-CN"/>
              </w:rPr>
              <w:t>t/a</w:t>
            </w:r>
          </w:p>
        </w:tc>
        <w:tc>
          <w:tcPr>
            <w:tcW w:w="2450" w:type="dxa"/>
            <w:noWrap w:val="0"/>
            <w:vAlign w:val="center"/>
          </w:tcPr>
          <w:p>
            <w:pPr>
              <w:pStyle w:val="5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u w:val="single"/>
              </w:rPr>
            </w:pPr>
            <w:r>
              <w:rPr>
                <w:rFonts w:hint="eastAsia" w:cs="Times New Roman" w:eastAsiaTheme="minorEastAsia"/>
                <w:color w:val="auto"/>
                <w:sz w:val="21"/>
                <w:szCs w:val="21"/>
                <w:u w:val="single"/>
                <w:lang w:val="en-US" w:eastAsia="zh-CN"/>
              </w:rPr>
              <w:t>1.24</w:t>
            </w:r>
            <w:r>
              <w:rPr>
                <w:rFonts w:hint="default" w:ascii="Times New Roman" w:hAnsi="Times New Roman" w:cs="Times New Roman" w:eastAsiaTheme="minorEastAsia"/>
                <w:color w:val="auto"/>
                <w:sz w:val="21"/>
                <w:szCs w:val="21"/>
                <w:u w:val="single"/>
                <w:lang w:val="en-US" w:eastAsia="zh-CN"/>
              </w:rPr>
              <w:t>t/a，</w:t>
            </w:r>
            <w:r>
              <w:rPr>
                <w:rFonts w:hint="eastAsia" w:cs="Times New Roman" w:eastAsiaTheme="minorEastAsia"/>
                <w:color w:val="auto"/>
                <w:sz w:val="21"/>
                <w:szCs w:val="21"/>
                <w:u w:val="single"/>
                <w:lang w:val="en-US" w:eastAsia="zh-CN"/>
              </w:rPr>
              <w:t>6.36</w:t>
            </w:r>
            <w:r>
              <w:rPr>
                <w:rFonts w:hint="default" w:ascii="Times New Roman" w:hAnsi="Times New Roman" w:cs="Times New Roman" w:eastAsiaTheme="minorEastAsia"/>
                <w:i w:val="0"/>
                <w:color w:val="auto"/>
                <w:kern w:val="0"/>
                <w:sz w:val="21"/>
                <w:szCs w:val="21"/>
                <w:u w:val="single"/>
                <w:lang w:val="en-US" w:eastAsia="zh-CN" w:bidi="ar"/>
              </w:rPr>
              <w:t>mg/m</w:t>
            </w:r>
            <w:r>
              <w:rPr>
                <w:rFonts w:hint="default" w:ascii="Times New Roman" w:hAnsi="Times New Roman" w:cs="Times New Roman" w:eastAsiaTheme="minorEastAsia"/>
                <w:i w:val="0"/>
                <w:color w:val="auto"/>
                <w:kern w:val="0"/>
                <w:sz w:val="21"/>
                <w:szCs w:val="21"/>
                <w:u w:val="single"/>
                <w:vertAlign w:val="superscript"/>
                <w:lang w:val="en-US" w:eastAsia="zh-CN" w:bidi="ar"/>
              </w:rPr>
              <w:t>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10" w:type="dxa"/>
            <w:noWrap w:val="0"/>
            <w:vAlign w:val="center"/>
          </w:tcPr>
          <w:p>
            <w:pPr>
              <w:pStyle w:val="5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u w:val="none"/>
              </w:rPr>
            </w:pPr>
            <w:r>
              <w:rPr>
                <w:rFonts w:hint="default" w:ascii="Times New Roman" w:hAnsi="Times New Roman" w:cs="Times New Roman" w:eastAsiaTheme="minorEastAsia"/>
                <w:color w:val="auto"/>
                <w:sz w:val="21"/>
                <w:szCs w:val="21"/>
                <w:u w:val="none"/>
              </w:rPr>
              <w:t>氮氧化物</w:t>
            </w:r>
          </w:p>
        </w:tc>
        <w:tc>
          <w:tcPr>
            <w:tcW w:w="2143" w:type="dxa"/>
            <w:noWrap w:val="0"/>
            <w:vAlign w:val="center"/>
          </w:tcPr>
          <w:p>
            <w:pPr>
              <w:pStyle w:val="5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u w:val="single"/>
              </w:rPr>
            </w:pPr>
            <w:r>
              <w:rPr>
                <w:rFonts w:hint="eastAsia" w:cs="Times New Roman" w:eastAsiaTheme="minorEastAsia"/>
                <w:color w:val="auto"/>
                <w:sz w:val="21"/>
                <w:szCs w:val="21"/>
                <w:u w:val="single"/>
                <w:lang w:val="en-US" w:eastAsia="zh-CN"/>
              </w:rPr>
              <w:t>2.043</w:t>
            </w:r>
            <w:r>
              <w:rPr>
                <w:rFonts w:hint="default" w:ascii="Times New Roman" w:hAnsi="Times New Roman" w:cs="Times New Roman" w:eastAsiaTheme="minorEastAsia"/>
                <w:color w:val="auto"/>
                <w:sz w:val="21"/>
                <w:szCs w:val="21"/>
                <w:u w:val="single"/>
                <w:lang w:val="en-US" w:eastAsia="zh-CN"/>
              </w:rPr>
              <w:t>t/a</w:t>
            </w:r>
          </w:p>
        </w:tc>
        <w:tc>
          <w:tcPr>
            <w:tcW w:w="2450" w:type="dxa"/>
            <w:noWrap w:val="0"/>
            <w:vAlign w:val="center"/>
          </w:tcPr>
          <w:p>
            <w:pPr>
              <w:pStyle w:val="5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u w:val="single"/>
              </w:rPr>
            </w:pPr>
            <w:r>
              <w:rPr>
                <w:rFonts w:hint="eastAsia" w:cs="Times New Roman" w:eastAsiaTheme="minorEastAsia"/>
                <w:color w:val="auto"/>
                <w:sz w:val="21"/>
                <w:szCs w:val="21"/>
                <w:u w:val="single"/>
                <w:lang w:val="en-US" w:eastAsia="zh-CN"/>
              </w:rPr>
              <w:t>2.04</w:t>
            </w:r>
            <w:r>
              <w:rPr>
                <w:rFonts w:hint="default" w:ascii="Times New Roman" w:hAnsi="Times New Roman" w:cs="Times New Roman" w:eastAsiaTheme="minorEastAsia"/>
                <w:color w:val="auto"/>
                <w:sz w:val="21"/>
                <w:szCs w:val="21"/>
                <w:u w:val="single"/>
                <w:lang w:val="en-US" w:eastAsia="zh-CN"/>
              </w:rPr>
              <w:t>t/a，</w:t>
            </w:r>
            <w:r>
              <w:rPr>
                <w:rFonts w:hint="eastAsia" w:cs="Times New Roman" w:eastAsiaTheme="minorEastAsia"/>
                <w:color w:val="auto"/>
                <w:sz w:val="21"/>
                <w:szCs w:val="21"/>
                <w:u w:val="single"/>
                <w:lang w:val="en-US" w:eastAsia="zh-CN"/>
              </w:rPr>
              <w:t>10.51</w:t>
            </w:r>
            <w:r>
              <w:rPr>
                <w:rFonts w:hint="default" w:ascii="Times New Roman" w:hAnsi="Times New Roman" w:cs="Times New Roman" w:eastAsiaTheme="minorEastAsia"/>
                <w:i w:val="0"/>
                <w:color w:val="auto"/>
                <w:kern w:val="0"/>
                <w:sz w:val="21"/>
                <w:szCs w:val="21"/>
                <w:u w:val="single"/>
                <w:lang w:val="en-US" w:eastAsia="zh-CN" w:bidi="ar"/>
              </w:rPr>
              <w:t>mg/m</w:t>
            </w:r>
            <w:r>
              <w:rPr>
                <w:rFonts w:hint="default" w:ascii="Times New Roman" w:hAnsi="Times New Roman" w:cs="Times New Roman" w:eastAsiaTheme="minorEastAsia"/>
                <w:i w:val="0"/>
                <w:color w:val="auto"/>
                <w:kern w:val="0"/>
                <w:sz w:val="21"/>
                <w:szCs w:val="21"/>
                <w:u w:val="single"/>
                <w:vertAlign w:val="superscript"/>
                <w:lang w:val="en-US" w:eastAsia="zh-CN" w:bidi="ar"/>
              </w:rPr>
              <w:t>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456"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水污染物</w:t>
            </w:r>
          </w:p>
        </w:tc>
        <w:tc>
          <w:tcPr>
            <w:tcW w:w="96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施工期</w:t>
            </w:r>
          </w:p>
        </w:tc>
        <w:tc>
          <w:tcPr>
            <w:tcW w:w="174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施工废水</w:t>
            </w: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废水量</w:t>
            </w:r>
          </w:p>
        </w:tc>
        <w:tc>
          <w:tcPr>
            <w:tcW w:w="2143"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1.6m</w:t>
            </w:r>
            <w:r>
              <w:rPr>
                <w:rFonts w:hint="default" w:ascii="Times New Roman" w:hAnsi="Times New Roman" w:cs="Times New Roman"/>
                <w:color w:val="auto"/>
                <w:sz w:val="21"/>
                <w:szCs w:val="21"/>
                <w:u w:val="none"/>
                <w:vertAlign w:val="superscript"/>
              </w:rPr>
              <w:t>3</w:t>
            </w:r>
            <w:r>
              <w:rPr>
                <w:rFonts w:hint="default" w:ascii="Times New Roman" w:hAnsi="Times New Roman" w:cs="Times New Roman"/>
                <w:color w:val="auto"/>
                <w:sz w:val="21"/>
                <w:szCs w:val="21"/>
                <w:u w:val="none"/>
              </w:rPr>
              <w:t>/d</w:t>
            </w:r>
          </w:p>
        </w:tc>
        <w:tc>
          <w:tcPr>
            <w:tcW w:w="2450" w:type="dxa"/>
            <w:vMerge w:val="restart"/>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简易沉淀池处理后用于降尘，不外排</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石油类</w:t>
            </w:r>
          </w:p>
        </w:tc>
        <w:tc>
          <w:tcPr>
            <w:tcW w:w="2143"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0.04kg/d</w:t>
            </w:r>
          </w:p>
        </w:tc>
        <w:tc>
          <w:tcPr>
            <w:tcW w:w="2450" w:type="dxa"/>
            <w:vMerge w:val="continue"/>
            <w:noWrap w:val="0"/>
            <w:vAlign w:val="center"/>
          </w:tcPr>
          <w:p>
            <w:pPr>
              <w:jc w:val="center"/>
              <w:rPr>
                <w:rFonts w:hint="default" w:ascii="Times New Roman" w:hAnsi="Times New Roman" w:cs="Times New Roman"/>
                <w:color w:val="auto"/>
                <w:kern w:val="0"/>
                <w:sz w:val="21"/>
                <w:szCs w:val="21"/>
                <w:u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SS</w:t>
            </w:r>
          </w:p>
        </w:tc>
        <w:tc>
          <w:tcPr>
            <w:tcW w:w="2143"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3.2kg/d</w:t>
            </w:r>
          </w:p>
        </w:tc>
        <w:tc>
          <w:tcPr>
            <w:tcW w:w="2450" w:type="dxa"/>
            <w:vMerge w:val="continue"/>
            <w:noWrap w:val="0"/>
            <w:vAlign w:val="center"/>
          </w:tcPr>
          <w:p>
            <w:pPr>
              <w:jc w:val="center"/>
              <w:rPr>
                <w:rFonts w:hint="default" w:ascii="Times New Roman" w:hAnsi="Times New Roman" w:cs="Times New Roman"/>
                <w:color w:val="auto"/>
                <w:kern w:val="0"/>
                <w:sz w:val="21"/>
                <w:szCs w:val="21"/>
                <w:highlight w:val="yellow"/>
                <w:u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生活废水</w:t>
            </w: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COD、BOD</w:t>
            </w:r>
            <w:r>
              <w:rPr>
                <w:rFonts w:hint="default" w:ascii="Times New Roman" w:hAnsi="Times New Roman" w:cs="Times New Roman"/>
                <w:color w:val="auto"/>
                <w:kern w:val="0"/>
                <w:sz w:val="21"/>
                <w:szCs w:val="21"/>
                <w:u w:val="none"/>
                <w:vertAlign w:val="subscript"/>
              </w:rPr>
              <w:t>5</w:t>
            </w:r>
            <w:r>
              <w:rPr>
                <w:rFonts w:hint="default" w:ascii="Times New Roman" w:hAnsi="Times New Roman" w:cs="Times New Roman"/>
                <w:color w:val="auto"/>
                <w:kern w:val="0"/>
                <w:sz w:val="21"/>
                <w:szCs w:val="21"/>
                <w:u w:val="none"/>
              </w:rPr>
              <w:t>、SS、氨氮等</w:t>
            </w:r>
          </w:p>
        </w:tc>
        <w:tc>
          <w:tcPr>
            <w:tcW w:w="2143"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少量，难以计量</w:t>
            </w:r>
          </w:p>
        </w:tc>
        <w:tc>
          <w:tcPr>
            <w:tcW w:w="2450" w:type="dxa"/>
            <w:noWrap w:val="0"/>
            <w:vAlign w:val="center"/>
          </w:tcPr>
          <w:p>
            <w:pPr>
              <w:jc w:val="center"/>
              <w:rPr>
                <w:rFonts w:hint="default" w:ascii="Times New Roman" w:hAnsi="Times New Roman" w:cs="Times New Roman"/>
                <w:color w:val="auto"/>
                <w:kern w:val="0"/>
                <w:sz w:val="21"/>
                <w:szCs w:val="21"/>
                <w:highlight w:val="yellow"/>
                <w:u w:val="none"/>
              </w:rPr>
            </w:pPr>
            <w:r>
              <w:rPr>
                <w:rFonts w:hint="default" w:ascii="Times New Roman" w:hAnsi="Times New Roman" w:cs="Times New Roman"/>
                <w:color w:val="auto"/>
                <w:kern w:val="0"/>
                <w:sz w:val="21"/>
                <w:szCs w:val="21"/>
                <w:u w:val="none"/>
              </w:rPr>
              <w:t>依托周边居民污水处理措施收集处理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营运期</w:t>
            </w:r>
          </w:p>
        </w:tc>
        <w:tc>
          <w:tcPr>
            <w:tcW w:w="1740" w:type="dxa"/>
            <w:noWrap w:val="0"/>
            <w:vAlign w:val="center"/>
          </w:tcPr>
          <w:p>
            <w:pPr>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生活污水</w:t>
            </w:r>
          </w:p>
        </w:tc>
        <w:tc>
          <w:tcPr>
            <w:tcW w:w="1710" w:type="dxa"/>
            <w:noWrap w:val="0"/>
            <w:vAlign w:val="center"/>
          </w:tcPr>
          <w:p>
            <w:pPr>
              <w:jc w:val="center"/>
              <w:rPr>
                <w:rFonts w:hint="default" w:ascii="Times New Roman" w:hAnsi="Times New Roman" w:eastAsia="宋体" w:cs="Times New Roman"/>
                <w:color w:val="auto"/>
                <w:kern w:val="0"/>
                <w:sz w:val="21"/>
                <w:szCs w:val="21"/>
                <w:u w:val="none"/>
                <w:lang w:val="en-US" w:eastAsia="zh-CN"/>
              </w:rPr>
            </w:pPr>
            <w:r>
              <w:rPr>
                <w:rFonts w:hint="default" w:asciiTheme="minorEastAsia" w:hAnsiTheme="minorEastAsia" w:eastAsiaTheme="minorEastAsia" w:cstheme="minorEastAsia"/>
                <w:bCs/>
                <w:color w:val="auto"/>
                <w:kern w:val="0"/>
                <w:sz w:val="21"/>
                <w:szCs w:val="21"/>
                <w:u w:val="single"/>
                <w:lang w:eastAsia="zh-CN"/>
              </w:rPr>
              <w:t>COD、BOD</w:t>
            </w:r>
            <w:r>
              <w:rPr>
                <w:rFonts w:hint="default" w:asciiTheme="minorEastAsia" w:hAnsiTheme="minorEastAsia" w:eastAsiaTheme="minorEastAsia" w:cstheme="minorEastAsia"/>
                <w:bCs/>
                <w:color w:val="auto"/>
                <w:kern w:val="0"/>
                <w:sz w:val="21"/>
                <w:szCs w:val="21"/>
                <w:u w:val="single"/>
                <w:vertAlign w:val="subscript"/>
                <w:lang w:eastAsia="zh-CN"/>
              </w:rPr>
              <w:t>5</w:t>
            </w:r>
            <w:r>
              <w:rPr>
                <w:rFonts w:hint="default" w:asciiTheme="minorEastAsia" w:hAnsiTheme="minorEastAsia" w:eastAsiaTheme="minorEastAsia" w:cstheme="minorEastAsia"/>
                <w:bCs/>
                <w:color w:val="auto"/>
                <w:kern w:val="0"/>
                <w:sz w:val="21"/>
                <w:szCs w:val="21"/>
                <w:u w:val="single"/>
                <w:lang w:eastAsia="zh-CN"/>
              </w:rPr>
              <w:t>、SS、氨氮等</w:t>
            </w:r>
          </w:p>
        </w:tc>
        <w:tc>
          <w:tcPr>
            <w:tcW w:w="4593" w:type="dxa"/>
            <w:gridSpan w:val="2"/>
            <w:noWrap w:val="0"/>
            <w:vAlign w:val="center"/>
          </w:tcPr>
          <w:p>
            <w:pPr>
              <w:jc w:val="center"/>
              <w:rPr>
                <w:rFonts w:hint="eastAsia" w:ascii="Times New Roman" w:hAnsi="Times New Roman" w:eastAsia="宋体" w:cs="Times New Roman"/>
                <w:color w:val="auto"/>
                <w:kern w:val="0"/>
                <w:sz w:val="21"/>
                <w:szCs w:val="21"/>
                <w:highlight w:val="none"/>
                <w:u w:val="none"/>
                <w:lang w:eastAsia="zh-CN"/>
              </w:rPr>
            </w:pPr>
            <w:r>
              <w:rPr>
                <w:rFonts w:hint="eastAsia" w:asciiTheme="minorEastAsia" w:hAnsiTheme="minorEastAsia" w:eastAsiaTheme="minorEastAsia" w:cstheme="minorEastAsia"/>
                <w:bCs/>
                <w:color w:val="auto"/>
                <w:kern w:val="0"/>
                <w:sz w:val="21"/>
                <w:szCs w:val="21"/>
                <w:u w:val="single"/>
                <w:lang w:eastAsia="zh-CN"/>
              </w:rPr>
              <w:t>员工洗手洗脸、如厕均借用附近居民家用洗手间</w:t>
            </w:r>
            <w:r>
              <w:rPr>
                <w:rFonts w:hint="eastAsia" w:asciiTheme="minorEastAsia" w:hAnsiTheme="minorEastAsia" w:eastAsiaTheme="minorEastAsia" w:cstheme="minorEastAsia"/>
                <w:color w:val="auto"/>
                <w:kern w:val="0"/>
                <w:sz w:val="21"/>
                <w:szCs w:val="21"/>
                <w:u w:val="single"/>
              </w:rPr>
              <w:t>。</w:t>
            </w:r>
            <w:r>
              <w:rPr>
                <w:rFonts w:hint="eastAsia" w:asciiTheme="minorEastAsia" w:hAnsiTheme="minorEastAsia" w:eastAsiaTheme="minorEastAsia" w:cstheme="minorEastAsia"/>
                <w:color w:val="auto"/>
                <w:kern w:val="0"/>
                <w:sz w:val="21"/>
                <w:szCs w:val="21"/>
                <w:u w:val="single"/>
                <w:lang w:eastAsia="zh-CN"/>
              </w:rPr>
              <w:t>厂区无生活污水产生。</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noWrap w:val="0"/>
            <w:vAlign w:val="center"/>
          </w:tcPr>
          <w:p>
            <w:pPr>
              <w:jc w:val="center"/>
              <w:rPr>
                <w:rFonts w:hint="eastAsia"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eastAsia="zh-CN"/>
              </w:rPr>
              <w:t>水雾除尘器</w:t>
            </w:r>
          </w:p>
        </w:tc>
        <w:tc>
          <w:tcPr>
            <w:tcW w:w="1710" w:type="dxa"/>
            <w:noWrap w:val="0"/>
            <w:vAlign w:val="center"/>
          </w:tcPr>
          <w:p>
            <w:pPr>
              <w:jc w:val="center"/>
              <w:rPr>
                <w:rFonts w:hint="eastAsia"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rPr>
              <w:t>SS</w:t>
            </w:r>
          </w:p>
        </w:tc>
        <w:tc>
          <w:tcPr>
            <w:tcW w:w="4593" w:type="dxa"/>
            <w:gridSpan w:val="2"/>
            <w:noWrap w:val="0"/>
            <w:vAlign w:val="center"/>
          </w:tcPr>
          <w:p>
            <w:pPr>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s="Times New Roman"/>
                <w:color w:val="auto"/>
                <w:kern w:val="0"/>
                <w:sz w:val="21"/>
                <w:szCs w:val="21"/>
                <w:highlight w:val="none"/>
                <w:u w:val="none"/>
                <w:lang w:eastAsia="zh-CN"/>
              </w:rPr>
              <w:t>沉淀后循环使用，不外排</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noWrap w:val="0"/>
            <w:vAlign w:val="center"/>
          </w:tcPr>
          <w:p>
            <w:pPr>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产品冷却水</w:t>
            </w:r>
          </w:p>
        </w:tc>
        <w:tc>
          <w:tcPr>
            <w:tcW w:w="1710" w:type="dxa"/>
            <w:noWrap w:val="0"/>
            <w:vAlign w:val="center"/>
          </w:tcPr>
          <w:p>
            <w:pPr>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SS</w:t>
            </w:r>
          </w:p>
        </w:tc>
        <w:tc>
          <w:tcPr>
            <w:tcW w:w="4593" w:type="dxa"/>
            <w:gridSpan w:val="2"/>
            <w:noWrap w:val="0"/>
            <w:vAlign w:val="center"/>
          </w:tcPr>
          <w:p>
            <w:pPr>
              <w:jc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经冷却池收集后循环使用，不外排</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94" w:hRule="atLeast"/>
        </w:trPr>
        <w:tc>
          <w:tcPr>
            <w:tcW w:w="456" w:type="dxa"/>
            <w:vMerge w:val="restart"/>
            <w:noWrap w:val="0"/>
            <w:vAlign w:val="center"/>
          </w:tcPr>
          <w:p>
            <w:pPr>
              <w:jc w:val="center"/>
              <w:rPr>
                <w:rFonts w:hint="default" w:ascii="Times New Roman" w:hAnsi="Times New Roman" w:cs="Times New Roman"/>
                <w:color w:val="auto"/>
                <w:kern w:val="0"/>
                <w:sz w:val="21"/>
                <w:szCs w:val="21"/>
                <w:highlight w:val="yellow"/>
                <w:u w:val="none"/>
              </w:rPr>
            </w:pPr>
            <w:r>
              <w:rPr>
                <w:rFonts w:hint="default" w:ascii="Times New Roman" w:hAnsi="Times New Roman" w:cs="Times New Roman"/>
                <w:color w:val="auto"/>
                <w:kern w:val="0"/>
                <w:sz w:val="21"/>
                <w:szCs w:val="21"/>
                <w:u w:val="none"/>
              </w:rPr>
              <w:t>噪声</w:t>
            </w:r>
          </w:p>
        </w:tc>
        <w:tc>
          <w:tcPr>
            <w:tcW w:w="96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施工期</w:t>
            </w:r>
          </w:p>
        </w:tc>
        <w:tc>
          <w:tcPr>
            <w:tcW w:w="1740" w:type="dxa"/>
            <w:noWrap w:val="0"/>
            <w:vAlign w:val="center"/>
          </w:tcPr>
          <w:p>
            <w:pPr>
              <w:suppressAutoHyphens/>
              <w:topLinePunct/>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施工噪声</w:t>
            </w: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Leq（A）</w:t>
            </w:r>
          </w:p>
        </w:tc>
        <w:tc>
          <w:tcPr>
            <w:tcW w:w="2143"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sz w:val="21"/>
                <w:szCs w:val="21"/>
                <w:u w:val="none"/>
              </w:rPr>
              <w:t>76~97dB(A)</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昼间≤70dB（A）</w:t>
            </w:r>
          </w:p>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夜间≤55dB（A）</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营运期</w:t>
            </w:r>
          </w:p>
        </w:tc>
        <w:tc>
          <w:tcPr>
            <w:tcW w:w="1740" w:type="dxa"/>
            <w:noWrap w:val="0"/>
            <w:vAlign w:val="center"/>
          </w:tcPr>
          <w:p>
            <w:pPr>
              <w:suppressAutoHyphens/>
              <w:topLinePunct/>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设备噪声</w:t>
            </w:r>
          </w:p>
        </w:tc>
        <w:tc>
          <w:tcPr>
            <w:tcW w:w="171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Leq（A）</w:t>
            </w:r>
          </w:p>
        </w:tc>
        <w:tc>
          <w:tcPr>
            <w:tcW w:w="2143" w:type="dxa"/>
            <w:vMerge w:val="restart"/>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60～105dB(A)</w:t>
            </w:r>
          </w:p>
        </w:tc>
        <w:tc>
          <w:tcPr>
            <w:tcW w:w="245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昼间≤60dB（A）</w:t>
            </w:r>
          </w:p>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夜间≤50dB（A）</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noWrap w:val="0"/>
            <w:vAlign w:val="center"/>
          </w:tcPr>
          <w:p>
            <w:pPr>
              <w:suppressAutoHyphens/>
              <w:topLinePunct/>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来往车辆噪声</w:t>
            </w:r>
          </w:p>
        </w:tc>
        <w:tc>
          <w:tcPr>
            <w:tcW w:w="171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2143" w:type="dxa"/>
            <w:vMerge w:val="continue"/>
            <w:noWrap w:val="0"/>
            <w:vAlign w:val="center"/>
          </w:tcPr>
          <w:p>
            <w:pPr>
              <w:jc w:val="center"/>
              <w:rPr>
                <w:rFonts w:hint="default" w:ascii="Times New Roman" w:hAnsi="Times New Roman" w:cs="Times New Roman"/>
                <w:color w:val="auto"/>
                <w:sz w:val="21"/>
                <w:szCs w:val="21"/>
                <w:u w:val="none"/>
              </w:rPr>
            </w:pPr>
          </w:p>
        </w:tc>
        <w:tc>
          <w:tcPr>
            <w:tcW w:w="2450" w:type="dxa"/>
            <w:vMerge w:val="continue"/>
            <w:noWrap w:val="0"/>
            <w:vAlign w:val="center"/>
          </w:tcPr>
          <w:p>
            <w:pPr>
              <w:jc w:val="center"/>
              <w:rPr>
                <w:rFonts w:hint="default" w:ascii="Times New Roman" w:hAnsi="Times New Roman" w:cs="Times New Roman"/>
                <w:color w:val="auto"/>
                <w:kern w:val="0"/>
                <w:sz w:val="21"/>
                <w:szCs w:val="21"/>
                <w:u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456" w:type="dxa"/>
            <w:vMerge w:val="restart"/>
            <w:noWrap w:val="0"/>
            <w:vAlign w:val="center"/>
          </w:tcPr>
          <w:p>
            <w:pPr>
              <w:jc w:val="center"/>
              <w:rPr>
                <w:rFonts w:hint="default" w:ascii="Times New Roman" w:hAnsi="Times New Roman" w:cs="Times New Roman"/>
                <w:color w:val="auto"/>
                <w:kern w:val="0"/>
                <w:sz w:val="21"/>
                <w:szCs w:val="21"/>
                <w:highlight w:val="yellow"/>
                <w:u w:val="none"/>
              </w:rPr>
            </w:pPr>
            <w:r>
              <w:rPr>
                <w:rFonts w:hint="default" w:ascii="Times New Roman" w:hAnsi="Times New Roman" w:cs="Times New Roman"/>
                <w:color w:val="auto"/>
                <w:kern w:val="0"/>
                <w:sz w:val="21"/>
                <w:szCs w:val="21"/>
                <w:u w:val="none"/>
              </w:rPr>
              <w:t>固体废物</w:t>
            </w:r>
          </w:p>
        </w:tc>
        <w:tc>
          <w:tcPr>
            <w:tcW w:w="96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施工期</w:t>
            </w:r>
          </w:p>
        </w:tc>
        <w:tc>
          <w:tcPr>
            <w:tcW w:w="174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建筑垃圾</w:t>
            </w: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w:t>
            </w:r>
          </w:p>
        </w:tc>
        <w:tc>
          <w:tcPr>
            <w:tcW w:w="2143" w:type="dxa"/>
            <w:noWrap w:val="0"/>
            <w:vAlign w:val="center"/>
          </w:tcPr>
          <w:p>
            <w:pPr>
              <w:jc w:val="center"/>
              <w:rPr>
                <w:rFonts w:hint="default" w:ascii="Times New Roman" w:hAnsi="Times New Roman" w:cs="Times New Roman"/>
                <w:color w:val="auto"/>
                <w:sz w:val="21"/>
                <w:szCs w:val="21"/>
                <w:u w:val="none"/>
              </w:rPr>
            </w:pPr>
            <w:r>
              <w:rPr>
                <w:rFonts w:hint="eastAsia" w:cs="Times New Roman"/>
                <w:color w:val="auto"/>
                <w:sz w:val="21"/>
                <w:szCs w:val="21"/>
                <w:u w:val="none"/>
                <w:lang w:val="en-US" w:eastAsia="zh-CN"/>
              </w:rPr>
              <w:t>23.75</w:t>
            </w:r>
            <w:r>
              <w:rPr>
                <w:rFonts w:hint="default" w:ascii="Times New Roman" w:hAnsi="Times New Roman" w:cs="Times New Roman"/>
                <w:color w:val="auto"/>
                <w:sz w:val="21"/>
                <w:szCs w:val="21"/>
                <w:u w:val="none"/>
              </w:rPr>
              <w:t>t</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部分回收，不可回收部分外运至指定填埋点填埋</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生活</w:t>
            </w:r>
          </w:p>
        </w:tc>
        <w:tc>
          <w:tcPr>
            <w:tcW w:w="171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生活垃圾</w:t>
            </w:r>
          </w:p>
        </w:tc>
        <w:tc>
          <w:tcPr>
            <w:tcW w:w="2143" w:type="dxa"/>
            <w:noWrap w:val="0"/>
            <w:vAlign w:val="center"/>
          </w:tcPr>
          <w:p>
            <w:pPr>
              <w:jc w:val="center"/>
              <w:rPr>
                <w:rFonts w:hint="default" w:ascii="Times New Roman" w:hAnsi="Times New Roman" w:cs="Times New Roman"/>
                <w:color w:val="auto"/>
                <w:kern w:val="0"/>
                <w:sz w:val="21"/>
                <w:szCs w:val="21"/>
                <w:u w:val="none"/>
              </w:rPr>
            </w:pPr>
            <w:r>
              <w:rPr>
                <w:rFonts w:hint="eastAsia" w:cs="Times New Roman"/>
                <w:color w:val="auto"/>
                <w:kern w:val="0"/>
                <w:sz w:val="21"/>
                <w:szCs w:val="21"/>
                <w:u w:val="none"/>
                <w:lang w:val="en-US" w:eastAsia="zh-CN"/>
              </w:rPr>
              <w:t>1</w:t>
            </w:r>
            <w:r>
              <w:rPr>
                <w:rFonts w:hint="default" w:ascii="Times New Roman" w:hAnsi="Times New Roman" w:cs="Times New Roman"/>
                <w:color w:val="auto"/>
                <w:kern w:val="0"/>
                <w:sz w:val="21"/>
                <w:szCs w:val="21"/>
                <w:u w:val="none"/>
              </w:rPr>
              <w:t>0kg/d</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依托当地乡镇垃圾转运系统进行处理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4" w:hRule="atLeast"/>
        </w:trPr>
        <w:tc>
          <w:tcPr>
            <w:tcW w:w="456" w:type="dxa"/>
            <w:vMerge w:val="continue"/>
            <w:noWrap w:val="0"/>
            <w:vAlign w:val="center"/>
          </w:tcPr>
          <w:p>
            <w:pPr>
              <w:jc w:val="center"/>
              <w:rPr>
                <w:rFonts w:hint="default" w:ascii="Times New Roman" w:hAnsi="Times New Roman" w:cs="Times New Roman"/>
                <w:color w:val="auto"/>
                <w:kern w:val="0"/>
                <w:sz w:val="21"/>
                <w:szCs w:val="21"/>
                <w:highlight w:val="yellow"/>
                <w:u w:val="none"/>
              </w:rPr>
            </w:pPr>
          </w:p>
        </w:tc>
        <w:tc>
          <w:tcPr>
            <w:tcW w:w="960" w:type="dxa"/>
            <w:vMerge w:val="restart"/>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营运期</w:t>
            </w:r>
          </w:p>
        </w:tc>
        <w:tc>
          <w:tcPr>
            <w:tcW w:w="1740"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u w:val="none"/>
                <w:lang w:eastAsia="zh-CN"/>
              </w:rPr>
            </w:pPr>
            <w:r>
              <w:rPr>
                <w:rFonts w:hint="eastAsia" w:ascii="Times New Roman" w:hAnsi="Times New Roman" w:cs="Times New Roman"/>
                <w:color w:val="auto"/>
                <w:kern w:val="0"/>
                <w:sz w:val="21"/>
                <w:szCs w:val="21"/>
                <w:u w:val="none"/>
                <w:lang w:eastAsia="zh-CN"/>
              </w:rPr>
              <w:t>生产</w:t>
            </w:r>
          </w:p>
        </w:tc>
        <w:tc>
          <w:tcPr>
            <w:tcW w:w="1710"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r>
              <w:rPr>
                <w:rFonts w:hint="eastAsia" w:ascii="宋体" w:hAnsi="宋体" w:eastAsia="宋体" w:cs="宋体"/>
                <w:i w:val="0"/>
                <w:color w:val="auto"/>
                <w:kern w:val="0"/>
                <w:sz w:val="21"/>
                <w:szCs w:val="21"/>
                <w:u w:val="none"/>
                <w:lang w:val="en-US" w:eastAsia="zh-CN" w:bidi="ar"/>
              </w:rPr>
              <w:t>烘干炉渣</w:t>
            </w:r>
          </w:p>
        </w:tc>
        <w:tc>
          <w:tcPr>
            <w:tcW w:w="2143" w:type="dxa"/>
            <w:noWrap w:val="0"/>
            <w:vAlign w:val="center"/>
          </w:tcPr>
          <w:p>
            <w:pPr>
              <w:jc w:val="center"/>
              <w:rPr>
                <w:rFonts w:hint="default" w:ascii="Times New Roman" w:hAnsi="Times New Roman" w:cs="Times New Roman"/>
                <w:color w:val="auto"/>
                <w:kern w:val="0"/>
                <w:sz w:val="21"/>
                <w:szCs w:val="21"/>
                <w:u w:val="single"/>
              </w:rPr>
            </w:pPr>
            <w:r>
              <w:rPr>
                <w:rFonts w:hint="eastAsia" w:cs="Times New Roman"/>
                <w:color w:val="auto"/>
                <w:kern w:val="0"/>
                <w:sz w:val="21"/>
                <w:szCs w:val="21"/>
                <w:u w:val="single"/>
                <w:lang w:val="en-US" w:eastAsia="zh-CN"/>
              </w:rPr>
              <w:t>3</w:t>
            </w:r>
            <w:r>
              <w:rPr>
                <w:rFonts w:hint="default" w:ascii="Times New Roman" w:hAnsi="Times New Roman" w:cs="Times New Roman"/>
                <w:color w:val="auto"/>
                <w:kern w:val="0"/>
                <w:sz w:val="21"/>
                <w:szCs w:val="21"/>
                <w:u w:val="single"/>
              </w:rPr>
              <w:t xml:space="preserve"> t/a</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eastAsia" w:asciiTheme="minorEastAsia" w:hAnsiTheme="minorEastAsia" w:eastAsiaTheme="minorEastAsia" w:cstheme="minorEastAsia"/>
                <w:color w:val="auto"/>
                <w:kern w:val="0"/>
                <w:sz w:val="21"/>
                <w:szCs w:val="21"/>
                <w:lang w:val="en-US" w:eastAsia="zh-CN" w:bidi="ar"/>
              </w:rPr>
              <w:t>送交附近农户用做农肥</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p>
        </w:tc>
        <w:tc>
          <w:tcPr>
            <w:tcW w:w="1710"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r>
              <w:rPr>
                <w:rFonts w:hint="eastAsia" w:ascii="宋体" w:hAnsi="宋体" w:eastAsia="宋体" w:cs="宋体"/>
                <w:i w:val="0"/>
                <w:color w:val="auto"/>
                <w:kern w:val="0"/>
                <w:sz w:val="21"/>
                <w:szCs w:val="21"/>
                <w:u w:val="none"/>
                <w:lang w:val="en-US" w:eastAsia="zh-CN" w:bidi="ar"/>
              </w:rPr>
              <w:t>沉淀池沉渣</w:t>
            </w:r>
          </w:p>
        </w:tc>
        <w:tc>
          <w:tcPr>
            <w:tcW w:w="2143" w:type="dxa"/>
            <w:noWrap w:val="0"/>
            <w:vAlign w:val="center"/>
          </w:tcPr>
          <w:p>
            <w:pPr>
              <w:jc w:val="center"/>
              <w:rPr>
                <w:rFonts w:hint="default" w:ascii="Times New Roman" w:hAnsi="Times New Roman" w:cs="Times New Roman"/>
                <w:color w:val="auto"/>
                <w:kern w:val="0"/>
                <w:sz w:val="21"/>
                <w:szCs w:val="21"/>
                <w:u w:val="single"/>
              </w:rPr>
            </w:pPr>
            <w:r>
              <w:rPr>
                <w:rFonts w:hint="eastAsia" w:cs="Times New Roman"/>
                <w:color w:val="auto"/>
                <w:kern w:val="0"/>
                <w:sz w:val="21"/>
                <w:szCs w:val="21"/>
                <w:u w:val="single"/>
                <w:lang w:val="en-US" w:eastAsia="zh-CN"/>
              </w:rPr>
              <w:t>47.33</w:t>
            </w:r>
            <w:r>
              <w:rPr>
                <w:rFonts w:hint="default" w:ascii="Times New Roman" w:hAnsi="Times New Roman" w:cs="Times New Roman"/>
                <w:color w:val="auto"/>
                <w:kern w:val="0"/>
                <w:sz w:val="21"/>
                <w:szCs w:val="21"/>
                <w:u w:val="single"/>
              </w:rPr>
              <w:t>t/a</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eastAsia" w:asciiTheme="minorEastAsia" w:hAnsiTheme="minorEastAsia" w:eastAsiaTheme="minorEastAsia" w:cstheme="minorEastAsia"/>
                <w:color w:val="auto"/>
                <w:sz w:val="21"/>
                <w:szCs w:val="21"/>
              </w:rPr>
              <w:t>返回生产线作为原料</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p>
        </w:tc>
        <w:tc>
          <w:tcPr>
            <w:tcW w:w="1710"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r>
              <w:rPr>
                <w:rFonts w:hint="eastAsia" w:ascii="宋体" w:hAnsi="宋体" w:eastAsia="宋体" w:cs="宋体"/>
                <w:i w:val="0"/>
                <w:color w:val="auto"/>
                <w:kern w:val="0"/>
                <w:sz w:val="21"/>
                <w:szCs w:val="21"/>
                <w:u w:val="none"/>
                <w:lang w:val="en-US" w:eastAsia="zh-CN" w:bidi="ar"/>
              </w:rPr>
              <w:t>残次品</w:t>
            </w:r>
          </w:p>
        </w:tc>
        <w:tc>
          <w:tcPr>
            <w:tcW w:w="2143" w:type="dxa"/>
            <w:noWrap w:val="0"/>
            <w:vAlign w:val="center"/>
          </w:tcPr>
          <w:p>
            <w:pPr>
              <w:jc w:val="center"/>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rPr>
              <w:t xml:space="preserve"> </w:t>
            </w:r>
            <w:r>
              <w:rPr>
                <w:rFonts w:hint="eastAsia" w:ascii="Times New Roman" w:hAnsi="Times New Roman" w:cs="Times New Roman"/>
                <w:color w:val="auto"/>
                <w:kern w:val="0"/>
                <w:sz w:val="21"/>
                <w:szCs w:val="21"/>
                <w:u w:val="single"/>
                <w:lang w:val="en-US" w:eastAsia="zh-CN"/>
              </w:rPr>
              <w:t>60</w:t>
            </w:r>
            <w:r>
              <w:rPr>
                <w:rFonts w:hint="default" w:ascii="Times New Roman" w:hAnsi="Times New Roman" w:cs="Times New Roman"/>
                <w:color w:val="auto"/>
                <w:kern w:val="0"/>
                <w:sz w:val="21"/>
                <w:szCs w:val="21"/>
                <w:u w:val="single"/>
              </w:rPr>
              <w:t>t/a</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eastAsia" w:asciiTheme="minorEastAsia" w:hAnsiTheme="minorEastAsia" w:eastAsiaTheme="minorEastAsia" w:cstheme="minorEastAsia"/>
                <w:color w:val="auto"/>
                <w:sz w:val="21"/>
                <w:szCs w:val="21"/>
                <w:lang w:val="en-US" w:eastAsia="zh-CN"/>
              </w:rPr>
              <w:t>用作烘干炉补充燃料</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p>
        </w:tc>
        <w:tc>
          <w:tcPr>
            <w:tcW w:w="1710"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r>
              <w:rPr>
                <w:rFonts w:hint="eastAsia" w:ascii="宋体" w:hAnsi="宋体" w:eastAsia="宋体" w:cs="宋体"/>
                <w:i w:val="0"/>
                <w:color w:val="auto"/>
                <w:kern w:val="0"/>
                <w:sz w:val="21"/>
                <w:szCs w:val="21"/>
                <w:u w:val="none"/>
                <w:lang w:val="en-US" w:eastAsia="zh-CN" w:bidi="ar"/>
              </w:rPr>
              <w:t>回收粉尘</w:t>
            </w:r>
          </w:p>
        </w:tc>
        <w:tc>
          <w:tcPr>
            <w:tcW w:w="2143" w:type="dxa"/>
            <w:noWrap w:val="0"/>
            <w:vAlign w:val="center"/>
          </w:tcPr>
          <w:p>
            <w:pPr>
              <w:jc w:val="center"/>
              <w:rPr>
                <w:rFonts w:hint="default" w:ascii="Times New Roman" w:hAnsi="Times New Roman" w:eastAsia="宋体" w:cs="Times New Roman"/>
                <w:color w:val="auto"/>
                <w:kern w:val="0"/>
                <w:sz w:val="21"/>
                <w:szCs w:val="21"/>
                <w:u w:val="single"/>
                <w:lang w:val="en-US" w:eastAsia="zh-CN"/>
              </w:rPr>
            </w:pPr>
            <w:r>
              <w:rPr>
                <w:rFonts w:hint="eastAsia" w:cs="Times New Roman"/>
                <w:color w:val="auto"/>
                <w:kern w:val="0"/>
                <w:sz w:val="21"/>
                <w:szCs w:val="21"/>
                <w:u w:val="single"/>
                <w:lang w:val="en-US" w:eastAsia="zh-CN"/>
              </w:rPr>
              <w:t>3.5</w:t>
            </w:r>
            <w:r>
              <w:rPr>
                <w:rFonts w:hint="default" w:ascii="Times New Roman" w:hAnsi="Times New Roman" w:cs="Times New Roman"/>
                <w:color w:val="auto"/>
                <w:kern w:val="0"/>
                <w:sz w:val="21"/>
                <w:szCs w:val="21"/>
                <w:u w:val="single"/>
              </w:rPr>
              <w:t xml:space="preserve"> t/a</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eastAsia" w:asciiTheme="minorEastAsia" w:hAnsiTheme="minorEastAsia" w:eastAsiaTheme="minorEastAsia" w:cstheme="minorEastAsia"/>
                <w:color w:val="auto"/>
                <w:sz w:val="21"/>
                <w:szCs w:val="21"/>
              </w:rPr>
              <w:t>返回生产线作为原料</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u w:val="none"/>
                <w:lang w:eastAsia="zh-CN"/>
              </w:rPr>
            </w:pPr>
          </w:p>
        </w:tc>
        <w:tc>
          <w:tcPr>
            <w:tcW w:w="171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cs="Times New Roman"/>
                <w:color w:val="auto"/>
                <w:kern w:val="0"/>
                <w:sz w:val="21"/>
                <w:szCs w:val="21"/>
                <w:u w:val="none"/>
                <w:lang w:eastAsia="zh-CN"/>
              </w:rPr>
              <w:t>木焦油、木醋液</w:t>
            </w:r>
          </w:p>
        </w:tc>
        <w:tc>
          <w:tcPr>
            <w:tcW w:w="2143" w:type="dxa"/>
            <w:noWrap w:val="0"/>
            <w:vAlign w:val="center"/>
          </w:tcPr>
          <w:p>
            <w:pPr>
              <w:jc w:val="center"/>
              <w:rPr>
                <w:rFonts w:hint="eastAsia" w:ascii="Times New Roman" w:hAnsi="Times New Roman" w:cs="Times New Roman"/>
                <w:color w:val="auto"/>
                <w:kern w:val="0"/>
                <w:sz w:val="21"/>
                <w:szCs w:val="21"/>
                <w:u w:val="none"/>
                <w:lang w:val="en-US" w:eastAsia="zh-CN"/>
              </w:rPr>
            </w:pPr>
            <w:r>
              <w:rPr>
                <w:rFonts w:hint="eastAsia" w:cs="Times New Roman"/>
                <w:color w:val="auto"/>
                <w:kern w:val="0"/>
                <w:sz w:val="21"/>
                <w:szCs w:val="21"/>
                <w:u w:val="single"/>
                <w:lang w:val="en-US" w:eastAsia="zh-CN"/>
              </w:rPr>
              <w:t>3000</w:t>
            </w:r>
            <w:r>
              <w:rPr>
                <w:rFonts w:hint="default" w:ascii="Times New Roman" w:hAnsi="Times New Roman" w:cs="Times New Roman"/>
                <w:color w:val="auto"/>
                <w:kern w:val="0"/>
                <w:sz w:val="21"/>
                <w:szCs w:val="21"/>
                <w:u w:val="single"/>
              </w:rPr>
              <w:t>t/a</w:t>
            </w:r>
          </w:p>
        </w:tc>
        <w:tc>
          <w:tcPr>
            <w:tcW w:w="2450" w:type="dxa"/>
            <w:noWrap w:val="0"/>
            <w:vAlign w:val="center"/>
          </w:tcPr>
          <w:p>
            <w:pPr>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在烘干炉内燃烧</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p>
        </w:tc>
        <w:tc>
          <w:tcPr>
            <w:tcW w:w="171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color w:val="auto"/>
                <w:szCs w:val="21"/>
              </w:rPr>
              <w:t>包装废弃物</w:t>
            </w:r>
          </w:p>
        </w:tc>
        <w:tc>
          <w:tcPr>
            <w:tcW w:w="2143" w:type="dxa"/>
            <w:noWrap w:val="0"/>
            <w:vAlign w:val="center"/>
          </w:tcPr>
          <w:p>
            <w:pPr>
              <w:jc w:val="center"/>
              <w:rPr>
                <w:rFonts w:hint="eastAsia" w:ascii="Times New Roman" w:hAnsi="Times New Roman" w:cs="Times New Roman"/>
                <w:color w:val="auto"/>
                <w:kern w:val="0"/>
                <w:sz w:val="21"/>
                <w:szCs w:val="21"/>
                <w:u w:val="none"/>
                <w:lang w:val="en-US" w:eastAsia="zh-CN"/>
              </w:rPr>
            </w:pPr>
            <w:r>
              <w:rPr>
                <w:rFonts w:hint="eastAsia" w:ascii="Times New Roman" w:hAnsi="Times New Roman" w:cs="Times New Roman"/>
                <w:color w:val="auto"/>
                <w:kern w:val="0"/>
                <w:sz w:val="21"/>
                <w:szCs w:val="21"/>
                <w:u w:val="none"/>
                <w:lang w:val="en-US" w:eastAsia="zh-CN"/>
              </w:rPr>
              <w:t>0.</w:t>
            </w:r>
            <w:r>
              <w:rPr>
                <w:rFonts w:hint="eastAsia" w:cs="Times New Roman"/>
                <w:color w:val="auto"/>
                <w:kern w:val="0"/>
                <w:sz w:val="21"/>
                <w:szCs w:val="21"/>
                <w:u w:val="none"/>
                <w:lang w:val="en-US" w:eastAsia="zh-CN"/>
              </w:rPr>
              <w:t>3</w:t>
            </w:r>
            <w:r>
              <w:rPr>
                <w:rFonts w:hint="default" w:ascii="Times New Roman" w:hAnsi="Times New Roman" w:cs="Times New Roman"/>
                <w:color w:val="auto"/>
                <w:kern w:val="0"/>
                <w:sz w:val="21"/>
                <w:szCs w:val="21"/>
                <w:u w:val="none"/>
              </w:rPr>
              <w:t>t/a</w:t>
            </w:r>
          </w:p>
        </w:tc>
        <w:tc>
          <w:tcPr>
            <w:tcW w:w="2450" w:type="dxa"/>
            <w:noWrap w:val="0"/>
            <w:vAlign w:val="center"/>
          </w:tcPr>
          <w:p>
            <w:pPr>
              <w:jc w:val="center"/>
              <w:rPr>
                <w:rFonts w:hint="eastAsia" w:asciiTheme="minorEastAsia" w:hAnsiTheme="minorEastAsia" w:eastAsiaTheme="minorEastAsia" w:cstheme="minorEastAsia"/>
                <w:color w:val="auto"/>
                <w:sz w:val="21"/>
                <w:szCs w:val="21"/>
              </w:rPr>
            </w:pPr>
            <w:r>
              <w:rPr>
                <w:rFonts w:hint="eastAsia"/>
                <w:color w:val="auto"/>
                <w:szCs w:val="21"/>
              </w:rPr>
              <w:t>外售废品收购站</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single"/>
              </w:rPr>
            </w:pPr>
            <w:r>
              <w:rPr>
                <w:rFonts w:hint="eastAsia"/>
                <w:color w:val="auto"/>
                <w:u w:val="single"/>
              </w:rPr>
              <w:t>机械维修</w:t>
            </w:r>
          </w:p>
        </w:tc>
        <w:tc>
          <w:tcPr>
            <w:tcW w:w="1710" w:type="dxa"/>
            <w:noWrap w:val="0"/>
            <w:vAlign w:val="center"/>
          </w:tcPr>
          <w:p>
            <w:pPr>
              <w:keepNext w:val="0"/>
              <w:keepLines w:val="0"/>
              <w:widowControl/>
              <w:suppressLineNumbers w:val="0"/>
              <w:jc w:val="center"/>
              <w:textAlignment w:val="center"/>
              <w:rPr>
                <w:rFonts w:hint="eastAsia" w:eastAsia="宋体"/>
                <w:color w:val="auto"/>
                <w:szCs w:val="21"/>
                <w:u w:val="single"/>
                <w:lang w:eastAsia="zh-CN"/>
              </w:rPr>
            </w:pPr>
            <w:r>
              <w:rPr>
                <w:rFonts w:hint="eastAsia"/>
                <w:color w:val="auto"/>
                <w:szCs w:val="21"/>
                <w:u w:val="single"/>
                <w:lang w:eastAsia="zh-CN"/>
              </w:rPr>
              <w:t>废润滑油</w:t>
            </w:r>
          </w:p>
        </w:tc>
        <w:tc>
          <w:tcPr>
            <w:tcW w:w="2143" w:type="dxa"/>
            <w:noWrap w:val="0"/>
            <w:vAlign w:val="center"/>
          </w:tcPr>
          <w:p>
            <w:pPr>
              <w:jc w:val="center"/>
              <w:rPr>
                <w:rFonts w:hint="eastAsia" w:ascii="Times New Roman" w:hAnsi="Times New Roman" w:cs="Times New Roman"/>
                <w:color w:val="auto"/>
                <w:kern w:val="0"/>
                <w:sz w:val="21"/>
                <w:szCs w:val="21"/>
                <w:u w:val="single"/>
                <w:lang w:val="en-US" w:eastAsia="zh-CN"/>
              </w:rPr>
            </w:pPr>
            <w:r>
              <w:rPr>
                <w:rFonts w:hint="eastAsia" w:cs="Times New Roman"/>
                <w:color w:val="auto"/>
                <w:kern w:val="0"/>
                <w:sz w:val="21"/>
                <w:szCs w:val="21"/>
                <w:u w:val="single"/>
                <w:lang w:val="en-US" w:eastAsia="zh-CN"/>
              </w:rPr>
              <w:t>0.02</w:t>
            </w:r>
            <w:r>
              <w:rPr>
                <w:rFonts w:hint="default" w:ascii="Times New Roman" w:hAnsi="Times New Roman" w:cs="Times New Roman"/>
                <w:color w:val="auto"/>
                <w:kern w:val="0"/>
                <w:sz w:val="21"/>
                <w:szCs w:val="21"/>
                <w:u w:val="single"/>
              </w:rPr>
              <w:t>t/a</w:t>
            </w:r>
          </w:p>
        </w:tc>
        <w:tc>
          <w:tcPr>
            <w:tcW w:w="2450" w:type="dxa"/>
            <w:vMerge w:val="restart"/>
            <w:noWrap w:val="0"/>
            <w:vAlign w:val="center"/>
          </w:tcPr>
          <w:p>
            <w:pPr>
              <w:jc w:val="center"/>
              <w:rPr>
                <w:rFonts w:hint="eastAsia" w:eastAsia="宋体"/>
                <w:color w:val="auto"/>
                <w:szCs w:val="21"/>
                <w:u w:val="single"/>
                <w:lang w:eastAsia="zh-CN"/>
              </w:rPr>
            </w:pPr>
            <w:r>
              <w:rPr>
                <w:rFonts w:hint="eastAsia"/>
                <w:color w:val="auto"/>
                <w:szCs w:val="21"/>
                <w:u w:val="single"/>
                <w:lang w:eastAsia="zh-CN"/>
              </w:rPr>
              <w:t>定期交由有资质单位回收处置</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single"/>
              </w:rPr>
            </w:pPr>
          </w:p>
        </w:tc>
        <w:tc>
          <w:tcPr>
            <w:tcW w:w="1710" w:type="dxa"/>
            <w:noWrap w:val="0"/>
            <w:vAlign w:val="center"/>
          </w:tcPr>
          <w:p>
            <w:pPr>
              <w:keepNext w:val="0"/>
              <w:keepLines w:val="0"/>
              <w:widowControl/>
              <w:suppressLineNumbers w:val="0"/>
              <w:jc w:val="center"/>
              <w:textAlignment w:val="center"/>
              <w:rPr>
                <w:color w:val="auto"/>
                <w:szCs w:val="21"/>
                <w:u w:val="single"/>
              </w:rPr>
            </w:pPr>
            <w:r>
              <w:rPr>
                <w:rFonts w:hint="eastAsia"/>
                <w:color w:val="auto"/>
                <w:u w:val="single"/>
              </w:rPr>
              <w:t>含油废手套（抹布）</w:t>
            </w:r>
          </w:p>
        </w:tc>
        <w:tc>
          <w:tcPr>
            <w:tcW w:w="2143" w:type="dxa"/>
            <w:noWrap w:val="0"/>
            <w:vAlign w:val="center"/>
          </w:tcPr>
          <w:p>
            <w:pPr>
              <w:jc w:val="center"/>
              <w:rPr>
                <w:rFonts w:hint="eastAsia" w:ascii="Times New Roman" w:hAnsi="Times New Roman" w:cs="Times New Roman"/>
                <w:color w:val="auto"/>
                <w:kern w:val="0"/>
                <w:sz w:val="21"/>
                <w:szCs w:val="21"/>
                <w:u w:val="single"/>
                <w:lang w:val="en-US" w:eastAsia="zh-CN"/>
              </w:rPr>
            </w:pPr>
            <w:r>
              <w:rPr>
                <w:rFonts w:hint="eastAsia" w:cs="Times New Roman"/>
                <w:color w:val="auto"/>
                <w:kern w:val="0"/>
                <w:sz w:val="21"/>
                <w:szCs w:val="21"/>
                <w:u w:val="single"/>
                <w:lang w:val="en-US" w:eastAsia="zh-CN"/>
              </w:rPr>
              <w:t>0.01</w:t>
            </w:r>
            <w:r>
              <w:rPr>
                <w:rFonts w:hint="default" w:ascii="Times New Roman" w:hAnsi="Times New Roman" w:cs="Times New Roman"/>
                <w:color w:val="auto"/>
                <w:kern w:val="0"/>
                <w:sz w:val="21"/>
                <w:szCs w:val="21"/>
                <w:u w:val="single"/>
              </w:rPr>
              <w:t>t/a</w:t>
            </w:r>
          </w:p>
        </w:tc>
        <w:tc>
          <w:tcPr>
            <w:tcW w:w="2450" w:type="dxa"/>
            <w:vMerge w:val="continue"/>
            <w:noWrap w:val="0"/>
            <w:vAlign w:val="center"/>
          </w:tcPr>
          <w:p>
            <w:pPr>
              <w:jc w:val="center"/>
              <w:rPr>
                <w:rFonts w:hint="eastAsia"/>
                <w:color w:val="auto"/>
                <w:szCs w:val="21"/>
                <w:u w:val="singl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5" w:hRule="atLeast"/>
        </w:trPr>
        <w:tc>
          <w:tcPr>
            <w:tcW w:w="456"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960" w:type="dxa"/>
            <w:vMerge w:val="continue"/>
            <w:noWrap w:val="0"/>
            <w:vAlign w:val="center"/>
          </w:tcPr>
          <w:p>
            <w:pPr>
              <w:jc w:val="center"/>
              <w:rPr>
                <w:rFonts w:hint="default" w:ascii="Times New Roman" w:hAnsi="Times New Roman" w:cs="Times New Roman"/>
                <w:color w:val="auto"/>
                <w:kern w:val="0"/>
                <w:sz w:val="21"/>
                <w:szCs w:val="21"/>
                <w:u w:val="none"/>
              </w:rPr>
            </w:pPr>
          </w:p>
        </w:tc>
        <w:tc>
          <w:tcPr>
            <w:tcW w:w="1740"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r>
              <w:rPr>
                <w:rFonts w:hint="eastAsia" w:ascii="宋体" w:hAnsi="宋体" w:eastAsia="宋体" w:cs="宋体"/>
                <w:i w:val="0"/>
                <w:color w:val="auto"/>
                <w:kern w:val="0"/>
                <w:sz w:val="21"/>
                <w:szCs w:val="21"/>
                <w:u w:val="none"/>
                <w:lang w:val="en-US" w:eastAsia="zh-CN" w:bidi="ar"/>
              </w:rPr>
              <w:t>生活</w:t>
            </w:r>
          </w:p>
        </w:tc>
        <w:tc>
          <w:tcPr>
            <w:tcW w:w="1710"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u w:val="none"/>
              </w:rPr>
            </w:pPr>
            <w:r>
              <w:rPr>
                <w:rFonts w:hint="eastAsia" w:ascii="宋体" w:hAnsi="宋体" w:eastAsia="宋体" w:cs="宋体"/>
                <w:i w:val="0"/>
                <w:color w:val="auto"/>
                <w:kern w:val="0"/>
                <w:sz w:val="21"/>
                <w:szCs w:val="21"/>
                <w:u w:val="none"/>
                <w:lang w:val="en-US" w:eastAsia="zh-CN" w:bidi="ar"/>
              </w:rPr>
              <w:t>员工生活垃圾</w:t>
            </w:r>
          </w:p>
        </w:tc>
        <w:tc>
          <w:tcPr>
            <w:tcW w:w="2143" w:type="dxa"/>
            <w:noWrap w:val="0"/>
            <w:vAlign w:val="center"/>
          </w:tcPr>
          <w:p>
            <w:pPr>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cs="Times New Roman"/>
                <w:color w:val="auto"/>
                <w:kern w:val="0"/>
                <w:sz w:val="21"/>
                <w:szCs w:val="21"/>
                <w:u w:val="none"/>
              </w:rPr>
              <w:t xml:space="preserve"> </w:t>
            </w:r>
            <w:r>
              <w:rPr>
                <w:rFonts w:hint="eastAsia" w:ascii="Times New Roman" w:hAnsi="Times New Roman" w:cs="Times New Roman"/>
                <w:color w:val="auto"/>
                <w:kern w:val="0"/>
                <w:sz w:val="21"/>
                <w:szCs w:val="21"/>
                <w:u w:val="none"/>
                <w:lang w:val="en-US" w:eastAsia="zh-CN"/>
              </w:rPr>
              <w:t>1.2</w:t>
            </w:r>
            <w:r>
              <w:rPr>
                <w:rFonts w:hint="default" w:ascii="Times New Roman" w:hAnsi="Times New Roman" w:cs="Times New Roman"/>
                <w:color w:val="auto"/>
                <w:kern w:val="0"/>
                <w:sz w:val="21"/>
                <w:szCs w:val="21"/>
                <w:u w:val="none"/>
              </w:rPr>
              <w:t>t/a</w:t>
            </w:r>
          </w:p>
        </w:tc>
        <w:tc>
          <w:tcPr>
            <w:tcW w:w="2450" w:type="dxa"/>
            <w:noWrap w:val="0"/>
            <w:vAlign w:val="center"/>
          </w:tcPr>
          <w:p>
            <w:pPr>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依托当地乡镇垃圾转运系统进行处理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26" w:hRule="atLeast"/>
        </w:trPr>
        <w:tc>
          <w:tcPr>
            <w:tcW w:w="9459" w:type="dxa"/>
            <w:gridSpan w:val="6"/>
            <w:noWrap w:val="0"/>
            <w:vAlign w:val="center"/>
          </w:tcPr>
          <w:p>
            <w:pPr>
              <w:spacing w:line="60" w:lineRule="auto"/>
              <w:jc w:val="left"/>
              <w:rPr>
                <w:rStyle w:val="27"/>
                <w:rFonts w:hint="default" w:ascii="Times New Roman" w:hAnsi="Times New Roman" w:eastAsia="宋体" w:cs="Times New Roman"/>
                <w:color w:val="auto"/>
                <w:sz w:val="21"/>
                <w:szCs w:val="21"/>
                <w:u w:val="none"/>
              </w:rPr>
            </w:pPr>
            <w:r>
              <w:rPr>
                <w:rStyle w:val="27"/>
                <w:rFonts w:hint="default" w:ascii="Times New Roman" w:hAnsi="Times New Roman" w:eastAsia="宋体" w:cs="Times New Roman"/>
                <w:color w:val="auto"/>
                <w:sz w:val="21"/>
                <w:szCs w:val="21"/>
                <w:u w:val="none"/>
              </w:rPr>
              <w:t>主要生态影响（不够时可附另页）</w:t>
            </w:r>
          </w:p>
          <w:p>
            <w:pPr>
              <w:suppressAutoHyphens/>
              <w:topLinePunct/>
              <w:spacing w:line="360" w:lineRule="auto"/>
              <w:ind w:firstLine="420" w:firstLineChars="200"/>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项目对生态环境的影响主要是施工期，项目所在地周边主要植被类型为少量的灌木植被，周边主要为</w:t>
            </w:r>
            <w:r>
              <w:rPr>
                <w:rFonts w:hint="eastAsia" w:ascii="Times New Roman" w:hAnsi="Times New Roman" w:cs="Times New Roman"/>
                <w:color w:val="auto"/>
                <w:kern w:val="0"/>
                <w:sz w:val="21"/>
                <w:szCs w:val="21"/>
                <w:u w:val="none"/>
                <w:lang w:eastAsia="zh-CN"/>
              </w:rPr>
              <w:t>山</w:t>
            </w:r>
            <w:r>
              <w:rPr>
                <w:rFonts w:hint="default" w:ascii="Times New Roman" w:hAnsi="Times New Roman" w:cs="Times New Roman"/>
                <w:color w:val="auto"/>
                <w:kern w:val="0"/>
                <w:sz w:val="21"/>
                <w:szCs w:val="21"/>
                <w:u w:val="none"/>
              </w:rPr>
              <w:t>地</w:t>
            </w:r>
            <w:r>
              <w:rPr>
                <w:rFonts w:hint="eastAsia" w:ascii="Times New Roman" w:hAnsi="Times New Roman" w:cs="Times New Roman"/>
                <w:color w:val="auto"/>
                <w:kern w:val="0"/>
                <w:sz w:val="21"/>
                <w:szCs w:val="21"/>
                <w:u w:val="none"/>
                <w:lang w:eastAsia="zh-CN"/>
              </w:rPr>
              <w:t>及周边企业</w:t>
            </w:r>
            <w:r>
              <w:rPr>
                <w:rFonts w:hint="default" w:ascii="Times New Roman" w:hAnsi="Times New Roman" w:cs="Times New Roman"/>
                <w:color w:val="auto"/>
                <w:kern w:val="0"/>
                <w:sz w:val="21"/>
                <w:szCs w:val="21"/>
                <w:u w:val="none"/>
              </w:rPr>
              <w:t>，施工期对生态环境的影响主要表现为水体流失影响。施工过程由于扰动表土结构，可能造成水土流失。在施工过程中加强施工管理，减少施工造成的水土流失，项目建设后尽快进行相应的绿化。</w:t>
            </w:r>
          </w:p>
          <w:p>
            <w:pPr>
              <w:suppressAutoHyphens/>
              <w:topLinePunct/>
              <w:spacing w:line="360" w:lineRule="auto"/>
              <w:ind w:firstLine="420" w:firstLineChars="200"/>
              <w:rPr>
                <w:rFonts w:hint="default" w:ascii="Times New Roman" w:hAnsi="Times New Roman" w:cs="Times New Roman"/>
                <w:color w:val="auto"/>
                <w:kern w:val="0"/>
                <w:sz w:val="21"/>
                <w:szCs w:val="21"/>
                <w:u w:val="none"/>
              </w:rPr>
            </w:pPr>
          </w:p>
          <w:p>
            <w:pPr>
              <w:suppressAutoHyphens/>
              <w:topLinePunct/>
              <w:spacing w:line="360" w:lineRule="auto"/>
              <w:ind w:firstLine="420" w:firstLineChars="200"/>
              <w:rPr>
                <w:rFonts w:hint="default" w:ascii="Times New Roman" w:hAnsi="Times New Roman" w:cs="Times New Roman"/>
                <w:color w:val="auto"/>
                <w:kern w:val="0"/>
                <w:sz w:val="21"/>
                <w:szCs w:val="21"/>
                <w:u w:val="none"/>
              </w:rPr>
            </w:pPr>
          </w:p>
          <w:p>
            <w:pPr>
              <w:suppressAutoHyphens/>
              <w:topLinePunct/>
              <w:spacing w:line="360" w:lineRule="auto"/>
              <w:rPr>
                <w:rFonts w:hint="default" w:ascii="Times New Roman" w:hAnsi="Times New Roman" w:cs="Times New Roman"/>
                <w:color w:val="auto"/>
                <w:kern w:val="0"/>
                <w:sz w:val="21"/>
                <w:szCs w:val="21"/>
                <w:u w:val="none"/>
              </w:rPr>
            </w:pPr>
          </w:p>
        </w:tc>
      </w:tr>
    </w:tbl>
    <w:p>
      <w:pPr>
        <w:pStyle w:val="2"/>
        <w:rPr>
          <w:bCs w:val="0"/>
          <w:color w:val="auto"/>
          <w:kern w:val="0"/>
          <w:sz w:val="28"/>
          <w:szCs w:val="28"/>
        </w:rPr>
      </w:pPr>
      <w:r>
        <w:rPr>
          <w:bCs w:val="0"/>
          <w:color w:val="auto"/>
          <w:kern w:val="0"/>
          <w:sz w:val="28"/>
          <w:szCs w:val="28"/>
        </w:rPr>
        <w:br w:type="page"/>
      </w:r>
    </w:p>
    <w:p>
      <w:pPr>
        <w:pStyle w:val="3"/>
        <w:keepNext w:val="0"/>
        <w:keepLines w:val="0"/>
        <w:suppressAutoHyphens/>
        <w:topLinePunct/>
        <w:spacing w:before="0" w:after="0" w:line="240" w:lineRule="auto"/>
        <w:rPr>
          <w:rFonts w:hint="eastAsia"/>
          <w:bCs w:val="0"/>
          <w:color w:val="auto"/>
          <w:kern w:val="0"/>
          <w:sz w:val="28"/>
          <w:szCs w:val="28"/>
        </w:rPr>
      </w:pPr>
      <w:bookmarkStart w:id="11" w:name="_Toc29307432"/>
      <w:bookmarkStart w:id="12" w:name="_Toc29308632"/>
      <w:r>
        <w:rPr>
          <w:rFonts w:hint="eastAsia"/>
          <w:bCs w:val="0"/>
          <w:color w:val="auto"/>
          <w:kern w:val="0"/>
          <w:sz w:val="28"/>
          <w:szCs w:val="28"/>
        </w:rPr>
        <w:t>七、环境影响分析</w:t>
      </w:r>
      <w:bookmarkEnd w:id="11"/>
      <w:bookmarkEnd w:id="12"/>
    </w:p>
    <w:tbl>
      <w:tblPr>
        <w:tblStyle w:val="22"/>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3" w:hRule="atLeast"/>
        </w:trPr>
        <w:tc>
          <w:tcPr>
            <w:tcW w:w="8789" w:type="dxa"/>
            <w:noWrap w:val="0"/>
            <w:vAlign w:val="top"/>
          </w:tcPr>
          <w:p>
            <w:pPr>
              <w:spacing w:line="360" w:lineRule="auto"/>
              <w:jc w:val="left"/>
              <w:rPr>
                <w:rStyle w:val="27"/>
                <w:rFonts w:hint="eastAsia" w:eastAsia="宋体"/>
                <w:color w:val="auto"/>
                <w:szCs w:val="28"/>
              </w:rPr>
            </w:pPr>
            <w:r>
              <w:rPr>
                <w:rStyle w:val="27"/>
                <w:rFonts w:hint="eastAsia"/>
                <w:color w:val="auto"/>
                <w:szCs w:val="28"/>
                <w:lang w:eastAsia="zh-CN"/>
              </w:rPr>
              <w:t>一、</w:t>
            </w:r>
            <w:r>
              <w:rPr>
                <w:rStyle w:val="27"/>
                <w:rFonts w:hint="eastAsia" w:eastAsia="宋体"/>
                <w:color w:val="auto"/>
                <w:szCs w:val="28"/>
              </w:rPr>
              <w:t>施工期环境影响分析</w:t>
            </w:r>
          </w:p>
          <w:p>
            <w:pPr>
              <w:pStyle w:val="10"/>
              <w:keepNext w:val="0"/>
              <w:keepLines w:val="0"/>
              <w:pageBreakBefore w:val="0"/>
              <w:widowControl w:val="0"/>
              <w:kinsoku w:val="0"/>
              <w:wordWrap/>
              <w:overflowPunct w:val="0"/>
              <w:topLinePunct w:val="0"/>
              <w:autoSpaceDE/>
              <w:autoSpaceDN/>
              <w:bidi w:val="0"/>
              <w:adjustRightInd/>
              <w:snapToGrid/>
              <w:spacing w:after="0" w:line="360" w:lineRule="auto"/>
              <w:ind w:firstLine="480" w:firstLineChars="200"/>
              <w:textAlignment w:val="auto"/>
              <w:rPr>
                <w:color w:val="auto"/>
                <w:kern w:val="2"/>
              </w:rPr>
            </w:pPr>
            <w:r>
              <w:rPr>
                <w:rFonts w:hint="eastAsia"/>
                <w:color w:val="auto"/>
                <w:kern w:val="2"/>
                <w:sz w:val="24"/>
                <w:szCs w:val="28"/>
              </w:rPr>
              <w:t>本项目施工过程中产生的一定的环境影响，包括施工废水、生活废水、施工扬尘、施工机械</w:t>
            </w:r>
            <w:r>
              <w:rPr>
                <w:rFonts w:hint="eastAsia"/>
                <w:color w:val="auto"/>
                <w:spacing w:val="-3"/>
                <w:kern w:val="2"/>
                <w:sz w:val="24"/>
                <w:szCs w:val="28"/>
              </w:rPr>
              <w:t>与运输车辆尾气、施工设备噪声、运输车辆噪声、建筑垃圾、</w:t>
            </w:r>
            <w:r>
              <w:rPr>
                <w:rFonts w:hint="eastAsia"/>
                <w:color w:val="auto"/>
                <w:kern w:val="2"/>
                <w:sz w:val="24"/>
                <w:szCs w:val="28"/>
              </w:rPr>
              <w:t>生活垃圾等。虽然施工期对环境影响是短暂性的，但要求本项目在施工期间建设单位与施工单位对环保问题高度重视并切实做好了防护措施，使建设期间对环境的影响减至最低。</w:t>
            </w:r>
          </w:p>
          <w:p>
            <w:pPr>
              <w:pStyle w:val="65"/>
              <w:ind w:firstLine="480"/>
              <w:rPr>
                <w:color w:val="auto"/>
                <w:kern w:val="2"/>
                <w:sz w:val="24"/>
              </w:rPr>
            </w:pPr>
            <w:r>
              <w:rPr>
                <w:rFonts w:hint="eastAsia"/>
                <w:color w:val="auto"/>
                <w:kern w:val="2"/>
                <w:sz w:val="24"/>
                <w:lang w:val="en-US" w:eastAsia="zh-CN"/>
              </w:rPr>
              <w:t>1、</w:t>
            </w:r>
            <w:r>
              <w:rPr>
                <w:rFonts w:hint="eastAsia"/>
                <w:color w:val="auto"/>
                <w:kern w:val="2"/>
                <w:sz w:val="24"/>
              </w:rPr>
              <w:t xml:space="preserve"> 施工期水环境影响分析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rPr>
            </w:pPr>
            <w:r>
              <w:rPr>
                <w:rFonts w:hint="eastAsia" w:ascii="Times New Roman" w:hAnsi="Times New Roman" w:eastAsia="宋体" w:cs="Times New Roman"/>
                <w:color w:val="auto"/>
                <w:kern w:val="2"/>
                <w:sz w:val="24"/>
                <w:szCs w:val="28"/>
                <w:lang w:val="en-US" w:eastAsia="zh-CN" w:bidi="ar-SA"/>
              </w:rPr>
              <w:t>施工期废水主要是来自暴雨下的地表径流、施工废水、施工人员生活污水。</w:t>
            </w:r>
          </w:p>
          <w:p>
            <w:pPr>
              <w:pStyle w:val="64"/>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cs="Times New Roman"/>
                <w:color w:val="auto"/>
                <w:kern w:val="2"/>
                <w:sz w:val="24"/>
                <w:szCs w:val="28"/>
                <w:lang w:eastAsia="zh-CN"/>
              </w:rPr>
            </w:pPr>
            <w:r>
              <w:rPr>
                <w:rFonts w:hint="eastAsia" w:ascii="Times New Roman" w:hAnsi="Times New Roman" w:cs="Times New Roman"/>
                <w:color w:val="auto"/>
                <w:kern w:val="2"/>
                <w:sz w:val="24"/>
                <w:szCs w:val="28"/>
                <w:lang w:eastAsia="zh-CN"/>
              </w:rPr>
              <w:t>（</w:t>
            </w:r>
            <w:r>
              <w:rPr>
                <w:rFonts w:hint="eastAsia" w:ascii="Times New Roman" w:hAnsi="Times New Roman" w:cs="Times New Roman"/>
                <w:color w:val="auto"/>
                <w:kern w:val="2"/>
                <w:sz w:val="24"/>
                <w:szCs w:val="28"/>
                <w:lang w:val="en-US" w:eastAsia="zh-CN"/>
              </w:rPr>
              <w:t>1</w:t>
            </w:r>
            <w:r>
              <w:rPr>
                <w:rFonts w:hint="eastAsia" w:ascii="Times New Roman" w:hAnsi="Times New Roman" w:cs="Times New Roman"/>
                <w:color w:val="auto"/>
                <w:kern w:val="2"/>
                <w:sz w:val="24"/>
                <w:szCs w:val="28"/>
                <w:lang w:eastAsia="zh-CN"/>
              </w:rPr>
              <w:t>）地表径流</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color w:val="auto"/>
                <w:kern w:val="2"/>
                <w:sz w:val="24"/>
                <w:szCs w:val="28"/>
                <w:lang w:val="en-US" w:eastAsia="zh-CN" w:bidi="ar-SA"/>
              </w:rPr>
            </w:pPr>
            <w:r>
              <w:rPr>
                <w:rFonts w:hint="eastAsia" w:ascii="Times New Roman" w:hAnsi="Times New Roman" w:eastAsia="宋体" w:cs="Times New Roman"/>
                <w:color w:val="auto"/>
                <w:kern w:val="2"/>
                <w:sz w:val="24"/>
                <w:szCs w:val="28"/>
                <w:lang w:val="en-US" w:eastAsia="zh-CN" w:bidi="ar-SA"/>
              </w:rPr>
              <w:t>洪江</w:t>
            </w:r>
            <w:r>
              <w:rPr>
                <w:rFonts w:hint="eastAsia" w:ascii="Times New Roman" w:hAnsi="Times New Roman" w:cs="Times New Roman"/>
                <w:color w:val="auto"/>
                <w:kern w:val="2"/>
                <w:sz w:val="24"/>
                <w:szCs w:val="28"/>
                <w:lang w:val="en-US" w:eastAsia="zh-CN" w:bidi="ar-SA"/>
              </w:rPr>
              <w:t>区</w:t>
            </w:r>
            <w:r>
              <w:rPr>
                <w:rFonts w:hint="eastAsia" w:ascii="Times New Roman" w:hAnsi="Times New Roman" w:eastAsia="宋体" w:cs="Times New Roman"/>
                <w:color w:val="auto"/>
                <w:kern w:val="2"/>
                <w:sz w:val="24"/>
                <w:szCs w:val="28"/>
                <w:lang w:val="en-US" w:eastAsia="zh-CN" w:bidi="ar-SA"/>
              </w:rPr>
              <w:t>属亚热带季风气候，降雨量充沛，特别是夏季暴雨易对施工场地的浮土造成的冲刷，造成含有大量悬浮物的地表径流水污染周围环境，严重时可导致堵塞市政排水系统。本项目施工期较短且施工均在厂房内进行，因此降雨地表径流对水环境的影响较小。</w:t>
            </w:r>
          </w:p>
          <w:p>
            <w:pPr>
              <w:pStyle w:val="64"/>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cs="Times New Roman"/>
                <w:color w:val="auto"/>
                <w:kern w:val="2"/>
                <w:sz w:val="24"/>
                <w:szCs w:val="28"/>
                <w:lang w:eastAsia="zh-CN"/>
              </w:rPr>
            </w:pPr>
            <w:r>
              <w:rPr>
                <w:rFonts w:hint="eastAsia" w:ascii="Times New Roman" w:hAnsi="Times New Roman" w:cs="Times New Roman"/>
                <w:color w:val="auto"/>
                <w:kern w:val="2"/>
                <w:sz w:val="24"/>
                <w:szCs w:val="28"/>
                <w:lang w:eastAsia="zh-CN"/>
              </w:rPr>
              <w:t>（</w:t>
            </w:r>
            <w:r>
              <w:rPr>
                <w:rFonts w:hint="eastAsia" w:ascii="Times New Roman" w:hAnsi="Times New Roman" w:cs="Times New Roman"/>
                <w:color w:val="auto"/>
                <w:kern w:val="2"/>
                <w:sz w:val="24"/>
                <w:szCs w:val="28"/>
                <w:lang w:val="en-US" w:eastAsia="zh-CN"/>
              </w:rPr>
              <w:t>2</w:t>
            </w:r>
            <w:r>
              <w:rPr>
                <w:rFonts w:hint="eastAsia" w:ascii="Times New Roman" w:hAnsi="Times New Roman" w:cs="Times New Roman"/>
                <w:color w:val="auto"/>
                <w:kern w:val="2"/>
                <w:sz w:val="24"/>
                <w:szCs w:val="28"/>
                <w:lang w:eastAsia="zh-CN"/>
              </w:rPr>
              <w:t>） 施工废水</w:t>
            </w:r>
          </w:p>
          <w:p>
            <w:pPr>
              <w:pStyle w:val="10"/>
              <w:keepNext w:val="0"/>
              <w:keepLines w:val="0"/>
              <w:pageBreakBefore w:val="0"/>
              <w:widowControl w:val="0"/>
              <w:kinsoku w:val="0"/>
              <w:wordWrap/>
              <w:overflowPunct w:val="0"/>
              <w:topLinePunct w:val="0"/>
              <w:autoSpaceDE/>
              <w:autoSpaceDN/>
              <w:bidi w:val="0"/>
              <w:adjustRightInd/>
              <w:snapToGrid/>
              <w:spacing w:line="360" w:lineRule="auto"/>
              <w:ind w:right="0" w:firstLine="480" w:firstLineChars="200"/>
              <w:textAlignment w:val="auto"/>
              <w:rPr>
                <w:color w:val="auto"/>
                <w:sz w:val="24"/>
                <w:szCs w:val="28"/>
              </w:rPr>
            </w:pPr>
            <w:r>
              <w:rPr>
                <w:rFonts w:hint="eastAsia"/>
                <w:color w:val="auto"/>
                <w:sz w:val="24"/>
                <w:szCs w:val="28"/>
              </w:rPr>
              <w:t>施工废水经沉沙池沉淀后尽可能回用到施工中（如喷洒压尘等），严禁废水排入周边地表水体。本工程使用挖掘机、推土机、载重汽车等各类机械，施工机械冲洗等将产生一些废水，其主要污染物为石油类和泥沙。对于施工机械和车辆的清洗水，应排入隔油池和污水临时沉沙池处理后回用于施工场地裸地和土方的洒水抑尘，严禁将施工废水排入周边地表水体。另外，在施工场地建设临时蓄水池，将开挖基础产生的排水收集储存，并回用于工地洒水降尘、绿化用水。</w:t>
            </w:r>
          </w:p>
          <w:p>
            <w:pPr>
              <w:pStyle w:val="64"/>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cs="Times New Roman"/>
                <w:color w:val="auto"/>
                <w:kern w:val="2"/>
                <w:sz w:val="24"/>
                <w:szCs w:val="28"/>
                <w:lang w:eastAsia="zh-CN"/>
              </w:rPr>
            </w:pPr>
            <w:r>
              <w:rPr>
                <w:rFonts w:hint="eastAsia" w:ascii="Times New Roman" w:hAnsi="Times New Roman" w:cs="Times New Roman"/>
                <w:color w:val="auto"/>
                <w:kern w:val="2"/>
                <w:sz w:val="24"/>
                <w:szCs w:val="28"/>
                <w:lang w:eastAsia="zh-CN"/>
              </w:rPr>
              <w:t>（</w:t>
            </w:r>
            <w:r>
              <w:rPr>
                <w:rFonts w:hint="eastAsia" w:ascii="Times New Roman" w:hAnsi="Times New Roman" w:cs="Times New Roman"/>
                <w:color w:val="auto"/>
                <w:kern w:val="2"/>
                <w:sz w:val="24"/>
                <w:szCs w:val="28"/>
                <w:lang w:val="en-US" w:eastAsia="zh-CN"/>
              </w:rPr>
              <w:t>3</w:t>
            </w:r>
            <w:r>
              <w:rPr>
                <w:rFonts w:hint="eastAsia" w:ascii="Times New Roman" w:hAnsi="Times New Roman" w:cs="Times New Roman"/>
                <w:color w:val="auto"/>
                <w:kern w:val="2"/>
                <w:sz w:val="24"/>
                <w:szCs w:val="28"/>
                <w:lang w:eastAsia="zh-CN"/>
              </w:rPr>
              <w:t>）施工人员生活用水</w:t>
            </w:r>
          </w:p>
          <w:p>
            <w:pPr>
              <w:pStyle w:val="10"/>
              <w:keepNext w:val="0"/>
              <w:keepLines w:val="0"/>
              <w:pageBreakBefore w:val="0"/>
              <w:widowControl w:val="0"/>
              <w:kinsoku w:val="0"/>
              <w:wordWrap/>
              <w:overflowPunct w:val="0"/>
              <w:topLinePunct w:val="0"/>
              <w:autoSpaceDE/>
              <w:autoSpaceDN/>
              <w:bidi w:val="0"/>
              <w:adjustRightInd/>
              <w:snapToGrid/>
              <w:spacing w:after="0" w:line="360" w:lineRule="auto"/>
              <w:ind w:right="0" w:firstLine="482"/>
              <w:textAlignment w:val="auto"/>
              <w:rPr>
                <w:color w:val="auto"/>
                <w:sz w:val="24"/>
                <w:szCs w:val="28"/>
              </w:rPr>
            </w:pPr>
            <w:r>
              <w:rPr>
                <w:rFonts w:hint="eastAsia"/>
                <w:color w:val="auto"/>
                <w:sz w:val="24"/>
                <w:szCs w:val="28"/>
              </w:rPr>
              <w:t>本项目施工人员为当地工人，不在施工场地居住、用餐，生活污水产生量很少，主要为粪便污水。施工人员生活污水排放量为0.85m</w:t>
            </w:r>
            <w:r>
              <w:rPr>
                <w:rFonts w:hint="eastAsia"/>
                <w:color w:val="auto"/>
                <w:sz w:val="24"/>
                <w:szCs w:val="28"/>
                <w:vertAlign w:val="superscript"/>
              </w:rPr>
              <w:t>3</w:t>
            </w:r>
            <w:r>
              <w:rPr>
                <w:rFonts w:hint="eastAsia"/>
                <w:color w:val="auto"/>
                <w:sz w:val="24"/>
                <w:szCs w:val="28"/>
              </w:rPr>
              <w:t>/d，项目施工期总污水量为51m</w:t>
            </w:r>
            <w:r>
              <w:rPr>
                <w:rFonts w:hint="eastAsia"/>
                <w:color w:val="auto"/>
                <w:sz w:val="24"/>
                <w:szCs w:val="28"/>
                <w:vertAlign w:val="superscript"/>
              </w:rPr>
              <w:t>3</w:t>
            </w:r>
            <w:r>
              <w:rPr>
                <w:rFonts w:hint="eastAsia"/>
                <w:color w:val="auto"/>
                <w:sz w:val="24"/>
                <w:szCs w:val="28"/>
              </w:rPr>
              <w:t>。生活污水中污染物较简单，主要成份为CODcr、</w:t>
            </w:r>
            <w:r>
              <w:rPr>
                <w:color w:val="auto"/>
                <w:sz w:val="24"/>
                <w:szCs w:val="28"/>
              </w:rPr>
              <w:t>BOD</w:t>
            </w:r>
            <w:r>
              <w:rPr>
                <w:color w:val="auto"/>
                <w:sz w:val="24"/>
                <w:szCs w:val="28"/>
                <w:vertAlign w:val="subscript"/>
              </w:rPr>
              <w:t>5</w:t>
            </w:r>
            <w:r>
              <w:rPr>
                <w:rFonts w:hint="eastAsia"/>
                <w:color w:val="auto"/>
                <w:sz w:val="24"/>
                <w:szCs w:val="28"/>
              </w:rPr>
              <w:t>等。通过现场调查得知，施工人员均雇佣附近居民，民工均散居在项目各居民点；由于项目施工现场不设施工营地，施工期间工人洗手洗脸、如厕均借用附近居民家用洗手间。</w:t>
            </w:r>
          </w:p>
          <w:p>
            <w:pPr>
              <w:keepNext w:val="0"/>
              <w:keepLines w:val="0"/>
              <w:pageBreakBefore w:val="0"/>
              <w:widowControl w:val="0"/>
              <w:wordWrap/>
              <w:topLinePunct w:val="0"/>
              <w:autoSpaceDE/>
              <w:autoSpaceDN/>
              <w:bidi w:val="0"/>
              <w:adjustRightInd/>
              <w:snapToGrid/>
              <w:spacing w:line="360" w:lineRule="auto"/>
              <w:ind w:firstLine="482"/>
              <w:textAlignment w:val="auto"/>
              <w:rPr>
                <w:bCs/>
                <w:color w:val="auto"/>
                <w:sz w:val="24"/>
                <w:szCs w:val="28"/>
              </w:rPr>
            </w:pPr>
            <w:r>
              <w:rPr>
                <w:bCs/>
                <w:color w:val="auto"/>
                <w:sz w:val="24"/>
                <w:szCs w:val="28"/>
              </w:rPr>
              <w:t>经采取上述有效措施后施工期污水对周围水环境</w:t>
            </w:r>
            <w:r>
              <w:rPr>
                <w:rFonts w:hint="eastAsia"/>
                <w:bCs/>
                <w:color w:val="auto"/>
                <w:sz w:val="24"/>
                <w:szCs w:val="28"/>
              </w:rPr>
              <w:t>无明显</w:t>
            </w:r>
            <w:r>
              <w:rPr>
                <w:bCs/>
                <w:color w:val="auto"/>
                <w:sz w:val="24"/>
                <w:szCs w:val="28"/>
              </w:rPr>
              <w:t>影响。</w:t>
            </w:r>
          </w:p>
          <w:p>
            <w:pPr>
              <w:pStyle w:val="65"/>
              <w:keepNext/>
              <w:keepLines/>
              <w:pageBreakBefore w:val="0"/>
              <w:widowControl w:val="0"/>
              <w:kinsoku/>
              <w:wordWrap/>
              <w:overflowPunct/>
              <w:topLinePunct w:val="0"/>
              <w:autoSpaceDE/>
              <w:autoSpaceDN/>
              <w:bidi w:val="0"/>
              <w:adjustRightInd/>
              <w:snapToGrid/>
              <w:spacing w:line="360" w:lineRule="auto"/>
              <w:ind w:firstLine="482"/>
              <w:textAlignment w:val="auto"/>
              <w:rPr>
                <w:color w:val="auto"/>
                <w:kern w:val="2"/>
                <w:sz w:val="24"/>
              </w:rPr>
            </w:pPr>
            <w:r>
              <w:rPr>
                <w:rFonts w:hint="eastAsia"/>
                <w:color w:val="auto"/>
                <w:kern w:val="2"/>
                <w:sz w:val="24"/>
                <w:lang w:val="en-US" w:eastAsia="zh-CN"/>
              </w:rPr>
              <w:t>2、</w:t>
            </w:r>
            <w:r>
              <w:rPr>
                <w:rFonts w:hint="eastAsia"/>
                <w:color w:val="auto"/>
                <w:kern w:val="2"/>
                <w:sz w:val="24"/>
              </w:rPr>
              <w:t>施工期废气环境影响分析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rFonts w:hint="eastAsia"/>
                <w:color w:val="auto"/>
                <w:sz w:val="24"/>
                <w:szCs w:val="28"/>
              </w:rPr>
              <w:t>本项目施工期废气主要是扬尘、施工机械废气。</w:t>
            </w:r>
          </w:p>
          <w:p>
            <w:pPr>
              <w:pStyle w:val="6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kern w:val="2"/>
                <w:sz w:val="24"/>
                <w:szCs w:val="28"/>
              </w:rPr>
            </w:pPr>
            <w:r>
              <w:rPr>
                <w:rFonts w:hint="eastAsia"/>
                <w:color w:val="auto"/>
                <w:kern w:val="2"/>
                <w:sz w:val="24"/>
                <w:szCs w:val="28"/>
                <w:lang w:eastAsia="zh-CN"/>
              </w:rPr>
              <w:t>（</w:t>
            </w:r>
            <w:r>
              <w:rPr>
                <w:rFonts w:hint="eastAsia"/>
                <w:color w:val="auto"/>
                <w:kern w:val="2"/>
                <w:sz w:val="24"/>
                <w:szCs w:val="28"/>
                <w:lang w:val="en-US" w:eastAsia="zh-CN"/>
              </w:rPr>
              <w:t>1</w:t>
            </w:r>
            <w:r>
              <w:rPr>
                <w:rFonts w:hint="eastAsia"/>
                <w:color w:val="auto"/>
                <w:kern w:val="2"/>
                <w:sz w:val="24"/>
                <w:szCs w:val="28"/>
                <w:lang w:eastAsia="zh-CN"/>
              </w:rPr>
              <w:t>）</w:t>
            </w:r>
            <w:r>
              <w:rPr>
                <w:rFonts w:hint="eastAsia"/>
                <w:color w:val="auto"/>
                <w:kern w:val="2"/>
                <w:sz w:val="24"/>
                <w:szCs w:val="28"/>
              </w:rPr>
              <w:t>施工扬尘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项目施工期对环境空气质量的主要因素为</w:t>
            </w:r>
            <w:r>
              <w:rPr>
                <w:rFonts w:hint="eastAsia"/>
                <w:color w:val="auto"/>
                <w:sz w:val="24"/>
                <w:szCs w:val="28"/>
              </w:rPr>
              <w:t>施工</w:t>
            </w:r>
            <w:r>
              <w:rPr>
                <w:color w:val="auto"/>
                <w:sz w:val="24"/>
                <w:szCs w:val="28"/>
              </w:rPr>
              <w:t>扬尘</w:t>
            </w:r>
            <w:r>
              <w:rPr>
                <w:rFonts w:hint="eastAsia"/>
                <w:color w:val="auto"/>
                <w:sz w:val="24"/>
                <w:szCs w:val="28"/>
              </w:rPr>
              <w:t>和车辆运输建筑材料过程中产生的扬尘</w:t>
            </w:r>
            <w:r>
              <w:rPr>
                <w:color w:val="auto"/>
                <w:sz w:val="24"/>
                <w:szCs w:val="28"/>
              </w:rPr>
              <w:t>。在施工过程中，车辆行驶产生的扬尘占总扬尘的60%以上。在同样路面清洁程度条件下，车速越快，扬尘量越大；而在同样车速情况下，路面越脏，则扬尘量越大</w:t>
            </w:r>
            <w:r>
              <w:rPr>
                <w:rFonts w:hint="eastAsia"/>
                <w:color w:val="auto"/>
                <w:sz w:val="24"/>
                <w:szCs w:val="28"/>
              </w:rPr>
              <w:t>，</w:t>
            </w:r>
            <w:r>
              <w:rPr>
                <w:color w:val="auto"/>
                <w:sz w:val="24"/>
                <w:szCs w:val="28"/>
              </w:rPr>
              <w:t>洒水的试验资料如下表所示。当施工场地洒水频率为4</w:t>
            </w:r>
            <w:r>
              <w:rPr>
                <w:rFonts w:hint="eastAsia"/>
                <w:color w:val="auto"/>
                <w:sz w:val="24"/>
                <w:szCs w:val="28"/>
              </w:rPr>
              <w:t>-</w:t>
            </w:r>
            <w:r>
              <w:rPr>
                <w:color w:val="auto"/>
                <w:sz w:val="24"/>
                <w:szCs w:val="28"/>
              </w:rPr>
              <w:t>5次/天时，扬尘造成的TSP污染距离可缩小到20～50m范围内。</w:t>
            </w:r>
          </w:p>
          <w:p>
            <w:pPr>
              <w:pStyle w:val="43"/>
              <w:ind w:firstLine="480"/>
              <w:rPr>
                <w:rFonts w:eastAsiaTheme="minorEastAsia"/>
                <w:color w:val="auto"/>
                <w:sz w:val="21"/>
                <w:szCs w:val="21"/>
              </w:rPr>
            </w:pPr>
            <w:r>
              <w:rPr>
                <w:rFonts w:hAnsiTheme="minorEastAsia" w:eastAsiaTheme="minorEastAsia"/>
                <w:color w:val="auto"/>
                <w:sz w:val="21"/>
                <w:szCs w:val="21"/>
              </w:rPr>
              <w:t>表</w:t>
            </w:r>
            <w:r>
              <w:rPr>
                <w:rFonts w:eastAsiaTheme="minorEastAsia"/>
                <w:color w:val="auto"/>
                <w:sz w:val="21"/>
                <w:szCs w:val="21"/>
              </w:rPr>
              <w:t>7-1</w:t>
            </w:r>
            <w:r>
              <w:rPr>
                <w:rFonts w:hAnsiTheme="minorEastAsia" w:eastAsiaTheme="minorEastAsia"/>
                <w:color w:val="auto"/>
                <w:sz w:val="21"/>
                <w:szCs w:val="21"/>
              </w:rPr>
              <w:t>：施工阶段使用洒水车降尘试验结果</w:t>
            </w:r>
          </w:p>
          <w:tbl>
            <w:tblPr>
              <w:tblStyle w:val="22"/>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516"/>
              <w:gridCol w:w="1288"/>
              <w:gridCol w:w="1290"/>
              <w:gridCol w:w="1288"/>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3324" w:type="dxa"/>
                  <w:gridSpan w:val="2"/>
                  <w:vAlign w:val="center"/>
                </w:tcPr>
                <w:p>
                  <w:pPr>
                    <w:pStyle w:val="42"/>
                    <w:spacing w:line="240" w:lineRule="atLeast"/>
                    <w:rPr>
                      <w:color w:val="auto"/>
                    </w:rPr>
                  </w:pPr>
                  <w:r>
                    <w:rPr>
                      <w:color w:val="auto"/>
                    </w:rPr>
                    <w:t>距路边距离(m)</w:t>
                  </w:r>
                </w:p>
              </w:tc>
              <w:tc>
                <w:tcPr>
                  <w:tcW w:w="1288" w:type="dxa"/>
                  <w:vAlign w:val="center"/>
                </w:tcPr>
                <w:p>
                  <w:pPr>
                    <w:pStyle w:val="42"/>
                    <w:spacing w:line="240" w:lineRule="atLeast"/>
                    <w:rPr>
                      <w:color w:val="auto"/>
                    </w:rPr>
                  </w:pPr>
                  <w:r>
                    <w:rPr>
                      <w:color w:val="auto"/>
                    </w:rPr>
                    <w:t>5</w:t>
                  </w:r>
                </w:p>
              </w:tc>
              <w:tc>
                <w:tcPr>
                  <w:tcW w:w="1290" w:type="dxa"/>
                  <w:vAlign w:val="center"/>
                </w:tcPr>
                <w:p>
                  <w:pPr>
                    <w:pStyle w:val="42"/>
                    <w:spacing w:line="240" w:lineRule="atLeast"/>
                    <w:rPr>
                      <w:color w:val="auto"/>
                    </w:rPr>
                  </w:pPr>
                  <w:r>
                    <w:rPr>
                      <w:color w:val="auto"/>
                    </w:rPr>
                    <w:t>20</w:t>
                  </w:r>
                </w:p>
              </w:tc>
              <w:tc>
                <w:tcPr>
                  <w:tcW w:w="1288" w:type="dxa"/>
                  <w:vAlign w:val="center"/>
                </w:tcPr>
                <w:p>
                  <w:pPr>
                    <w:pStyle w:val="42"/>
                    <w:spacing w:line="240" w:lineRule="atLeast"/>
                    <w:rPr>
                      <w:color w:val="auto"/>
                    </w:rPr>
                  </w:pPr>
                  <w:r>
                    <w:rPr>
                      <w:color w:val="auto"/>
                    </w:rPr>
                    <w:t>50</w:t>
                  </w:r>
                </w:p>
              </w:tc>
              <w:tc>
                <w:tcPr>
                  <w:tcW w:w="1289" w:type="dxa"/>
                  <w:vAlign w:val="center"/>
                </w:tcPr>
                <w:p>
                  <w:pPr>
                    <w:pStyle w:val="42"/>
                    <w:spacing w:line="240" w:lineRule="atLeast"/>
                    <w:rPr>
                      <w:color w:val="auto"/>
                    </w:rPr>
                  </w:pPr>
                  <w:r>
                    <w:rPr>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 w:hRule="atLeast"/>
                <w:jc w:val="center"/>
              </w:trPr>
              <w:tc>
                <w:tcPr>
                  <w:tcW w:w="1808" w:type="dxa"/>
                  <w:vMerge w:val="restart"/>
                  <w:vAlign w:val="center"/>
                </w:tcPr>
                <w:p>
                  <w:pPr>
                    <w:pStyle w:val="42"/>
                    <w:spacing w:line="240" w:lineRule="atLeast"/>
                    <w:rPr>
                      <w:color w:val="auto"/>
                    </w:rPr>
                  </w:pPr>
                  <w:r>
                    <w:rPr>
                      <w:color w:val="auto"/>
                    </w:rPr>
                    <w:t>TSP浓度</w:t>
                  </w:r>
                </w:p>
                <w:p>
                  <w:pPr>
                    <w:pStyle w:val="42"/>
                    <w:spacing w:line="240" w:lineRule="atLeast"/>
                    <w:rPr>
                      <w:color w:val="auto"/>
                    </w:rPr>
                  </w:pPr>
                  <w:r>
                    <w:rPr>
                      <w:color w:val="auto"/>
                    </w:rPr>
                    <w:t>(mg/m</w:t>
                  </w:r>
                  <w:r>
                    <w:rPr>
                      <w:color w:val="auto"/>
                      <w:vertAlign w:val="superscript"/>
                    </w:rPr>
                    <w:t>3</w:t>
                  </w:r>
                  <w:r>
                    <w:rPr>
                      <w:color w:val="auto"/>
                    </w:rPr>
                    <w:t>)</w:t>
                  </w:r>
                </w:p>
              </w:tc>
              <w:tc>
                <w:tcPr>
                  <w:tcW w:w="1516" w:type="dxa"/>
                  <w:vAlign w:val="center"/>
                </w:tcPr>
                <w:p>
                  <w:pPr>
                    <w:pStyle w:val="42"/>
                    <w:spacing w:line="240" w:lineRule="atLeast"/>
                    <w:rPr>
                      <w:color w:val="auto"/>
                    </w:rPr>
                  </w:pPr>
                  <w:r>
                    <w:rPr>
                      <w:color w:val="auto"/>
                    </w:rPr>
                    <w:t>不洒水</w:t>
                  </w:r>
                </w:p>
              </w:tc>
              <w:tc>
                <w:tcPr>
                  <w:tcW w:w="1288" w:type="dxa"/>
                  <w:vAlign w:val="center"/>
                </w:tcPr>
                <w:p>
                  <w:pPr>
                    <w:pStyle w:val="42"/>
                    <w:spacing w:line="240" w:lineRule="atLeast"/>
                    <w:rPr>
                      <w:color w:val="auto"/>
                    </w:rPr>
                  </w:pPr>
                  <w:r>
                    <w:rPr>
                      <w:color w:val="auto"/>
                    </w:rPr>
                    <w:t>10.14</w:t>
                  </w:r>
                </w:p>
              </w:tc>
              <w:tc>
                <w:tcPr>
                  <w:tcW w:w="1290" w:type="dxa"/>
                  <w:vAlign w:val="center"/>
                </w:tcPr>
                <w:p>
                  <w:pPr>
                    <w:pStyle w:val="42"/>
                    <w:spacing w:line="240" w:lineRule="atLeast"/>
                    <w:rPr>
                      <w:color w:val="auto"/>
                    </w:rPr>
                  </w:pPr>
                  <w:r>
                    <w:rPr>
                      <w:color w:val="auto"/>
                    </w:rPr>
                    <w:t>2.81</w:t>
                  </w:r>
                </w:p>
              </w:tc>
              <w:tc>
                <w:tcPr>
                  <w:tcW w:w="1288" w:type="dxa"/>
                  <w:vAlign w:val="center"/>
                </w:tcPr>
                <w:p>
                  <w:pPr>
                    <w:pStyle w:val="42"/>
                    <w:spacing w:line="240" w:lineRule="atLeast"/>
                    <w:rPr>
                      <w:color w:val="auto"/>
                    </w:rPr>
                  </w:pPr>
                  <w:r>
                    <w:rPr>
                      <w:color w:val="auto"/>
                    </w:rPr>
                    <w:t>1</w:t>
                  </w:r>
                  <w:r>
                    <w:rPr>
                      <w:rFonts w:hint="eastAsia"/>
                      <w:color w:val="auto"/>
                    </w:rPr>
                    <w:t>.</w:t>
                  </w:r>
                  <w:r>
                    <w:rPr>
                      <w:color w:val="auto"/>
                    </w:rPr>
                    <w:t>15</w:t>
                  </w:r>
                </w:p>
              </w:tc>
              <w:tc>
                <w:tcPr>
                  <w:tcW w:w="1289" w:type="dxa"/>
                  <w:vAlign w:val="center"/>
                </w:tcPr>
                <w:p>
                  <w:pPr>
                    <w:pStyle w:val="42"/>
                    <w:spacing w:line="240" w:lineRule="atLeast"/>
                    <w:rPr>
                      <w:color w:val="auto"/>
                    </w:rPr>
                  </w:pPr>
                  <w:r>
                    <w:rPr>
                      <w:rFonts w:hint="eastAsia"/>
                      <w:color w:val="auto"/>
                    </w:rPr>
                    <w:t>0</w:t>
                  </w:r>
                  <w:r>
                    <w:rPr>
                      <w:color w:val="auto"/>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 w:hRule="atLeast"/>
                <w:jc w:val="center"/>
              </w:trPr>
              <w:tc>
                <w:tcPr>
                  <w:tcW w:w="1808" w:type="dxa"/>
                  <w:vMerge w:val="continue"/>
                  <w:vAlign w:val="center"/>
                </w:tcPr>
                <w:p>
                  <w:pPr>
                    <w:pStyle w:val="42"/>
                    <w:spacing w:line="240" w:lineRule="atLeast"/>
                    <w:rPr>
                      <w:color w:val="auto"/>
                    </w:rPr>
                  </w:pPr>
                </w:p>
              </w:tc>
              <w:tc>
                <w:tcPr>
                  <w:tcW w:w="1516" w:type="dxa"/>
                  <w:vAlign w:val="center"/>
                </w:tcPr>
                <w:p>
                  <w:pPr>
                    <w:pStyle w:val="42"/>
                    <w:spacing w:line="240" w:lineRule="atLeast"/>
                    <w:rPr>
                      <w:color w:val="auto"/>
                    </w:rPr>
                  </w:pPr>
                  <w:r>
                    <w:rPr>
                      <w:color w:val="auto"/>
                    </w:rPr>
                    <w:t>洒水</w:t>
                  </w:r>
                </w:p>
              </w:tc>
              <w:tc>
                <w:tcPr>
                  <w:tcW w:w="1288" w:type="dxa"/>
                  <w:vAlign w:val="center"/>
                </w:tcPr>
                <w:p>
                  <w:pPr>
                    <w:pStyle w:val="42"/>
                    <w:spacing w:line="240" w:lineRule="atLeast"/>
                    <w:rPr>
                      <w:color w:val="auto"/>
                    </w:rPr>
                  </w:pPr>
                  <w:r>
                    <w:rPr>
                      <w:color w:val="auto"/>
                    </w:rPr>
                    <w:t>2.01</w:t>
                  </w:r>
                </w:p>
              </w:tc>
              <w:tc>
                <w:tcPr>
                  <w:tcW w:w="1290" w:type="dxa"/>
                  <w:vAlign w:val="center"/>
                </w:tcPr>
                <w:p>
                  <w:pPr>
                    <w:pStyle w:val="42"/>
                    <w:spacing w:line="240" w:lineRule="atLeast"/>
                    <w:rPr>
                      <w:color w:val="auto"/>
                    </w:rPr>
                  </w:pPr>
                  <w:r>
                    <w:rPr>
                      <w:color w:val="auto"/>
                    </w:rPr>
                    <w:t>1.40</w:t>
                  </w:r>
                </w:p>
              </w:tc>
              <w:tc>
                <w:tcPr>
                  <w:tcW w:w="1288" w:type="dxa"/>
                  <w:vAlign w:val="center"/>
                </w:tcPr>
                <w:p>
                  <w:pPr>
                    <w:pStyle w:val="42"/>
                    <w:spacing w:line="240" w:lineRule="atLeast"/>
                    <w:rPr>
                      <w:color w:val="auto"/>
                    </w:rPr>
                  </w:pPr>
                  <w:r>
                    <w:rPr>
                      <w:color w:val="auto"/>
                    </w:rPr>
                    <w:t>0.68</w:t>
                  </w:r>
                </w:p>
              </w:tc>
              <w:tc>
                <w:tcPr>
                  <w:tcW w:w="1289" w:type="dxa"/>
                  <w:vAlign w:val="center"/>
                </w:tcPr>
                <w:p>
                  <w:pPr>
                    <w:pStyle w:val="42"/>
                    <w:spacing w:line="240" w:lineRule="atLeast"/>
                    <w:rPr>
                      <w:color w:val="auto"/>
                    </w:rPr>
                  </w:pPr>
                  <w:r>
                    <w:rPr>
                      <w:color w:val="auto"/>
                    </w:rPr>
                    <w:t>0.60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8"/>
              </w:rPr>
            </w:pPr>
            <w:r>
              <w:rPr>
                <w:rFonts w:ascii="Times New Roman" w:hAnsi="Times New Roman" w:cs="Times New Roman"/>
                <w:color w:val="auto"/>
                <w:sz w:val="24"/>
                <w:szCs w:val="28"/>
              </w:rPr>
              <w:t>综上，本项目施工期可能产生的扬尘影响主要为堆场产生的风力扬尘及运输车辆行驶扬尘，有关研究资料显示，在采取加强场地管理、及时洒水抑尘等措施，可以有效的控制施工期扬尘影响的范围及程度。根据现场踏勘，</w:t>
            </w:r>
            <w:r>
              <w:rPr>
                <w:rFonts w:hint="eastAsia" w:ascii="Times New Roman" w:hAnsi="Times New Roman" w:cs="Times New Roman"/>
                <w:color w:val="auto"/>
                <w:sz w:val="24"/>
                <w:szCs w:val="28"/>
              </w:rPr>
              <w:t>最近居民点为</w:t>
            </w:r>
            <w:r>
              <w:rPr>
                <w:rFonts w:hint="eastAsia" w:ascii="Times New Roman" w:hAnsi="Times New Roman" w:cs="Times New Roman"/>
                <w:color w:val="auto"/>
                <w:sz w:val="24"/>
                <w:szCs w:val="28"/>
                <w:lang w:eastAsia="zh-CN"/>
              </w:rPr>
              <w:t>西北</w:t>
            </w:r>
            <w:r>
              <w:rPr>
                <w:rFonts w:hint="eastAsia" w:ascii="Times New Roman" w:hAnsi="Times New Roman" w:cs="Times New Roman"/>
                <w:color w:val="auto"/>
                <w:sz w:val="24"/>
                <w:szCs w:val="28"/>
              </w:rPr>
              <w:t>侧</w:t>
            </w:r>
            <w:r>
              <w:rPr>
                <w:rFonts w:hint="eastAsia" w:ascii="Times New Roman" w:hAnsi="Times New Roman" w:cs="Times New Roman"/>
                <w:color w:val="auto"/>
                <w:sz w:val="24"/>
                <w:szCs w:val="28"/>
                <w:lang w:val="en-US" w:eastAsia="zh-CN"/>
              </w:rPr>
              <w:t>129米处居民点</w:t>
            </w:r>
            <w:r>
              <w:rPr>
                <w:rFonts w:hint="eastAsia" w:ascii="Times New Roman" w:hAnsi="Times New Roman" w:cs="Times New Roman"/>
                <w:color w:val="auto"/>
                <w:sz w:val="24"/>
                <w:szCs w:val="28"/>
              </w:rPr>
              <w:t>。</w:t>
            </w:r>
            <w:r>
              <w:rPr>
                <w:rFonts w:ascii="Times New Roman" w:hAnsi="Times New Roman" w:cs="Times New Roman"/>
                <w:color w:val="auto"/>
                <w:sz w:val="24"/>
                <w:szCs w:val="28"/>
              </w:rPr>
              <w:t>为了缓解施工期产生扬尘对周边敏感点的影响，本环评要求施工单位采取下列扬尘污染防治措施：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8"/>
              </w:rPr>
            </w:pPr>
            <w:r>
              <w:rPr>
                <w:rFonts w:ascii="Times New Roman" w:hAnsi="Times New Roman" w:cs="Times New Roman"/>
                <w:color w:val="auto"/>
                <w:sz w:val="24"/>
                <w:szCs w:val="28"/>
              </w:rPr>
              <w:t>（1）限制车辆行驶速度及保持路面的清洁是减少汽车扬尘的最有效手段。如果施工阶段对汽车行驶路面勤洒水(每天4～5次)，可以使空气中粉尘量减少70%左右，可以收到很好的降尘效果</w:t>
            </w:r>
            <w:r>
              <w:rPr>
                <w:rFonts w:hint="eastAsia" w:ascii="Times New Roman" w:hAnsi="Times New Roman" w:cs="Times New Roman"/>
                <w:color w:val="auto"/>
                <w:sz w:val="24"/>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8"/>
              </w:rPr>
            </w:pPr>
            <w:r>
              <w:rPr>
                <w:rFonts w:hint="eastAsia" w:ascii="Times New Roman" w:hAnsi="Times New Roman" w:cs="Times New Roman"/>
                <w:color w:val="auto"/>
                <w:sz w:val="24"/>
                <w:szCs w:val="28"/>
              </w:rPr>
              <w:t>（2）施工运输建筑垃圾及砂石等散体建筑材料，应采用密闭运输车辆或采取篷覆式遮盖等措施，严禁发生抛、洒、滴、漏现象。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8"/>
              </w:rPr>
            </w:pPr>
            <w:r>
              <w:rPr>
                <w:rFonts w:hint="eastAsia" w:ascii="Times New Roman" w:hAnsi="Times New Roman" w:cs="Times New Roman"/>
                <w:color w:val="auto"/>
                <w:sz w:val="24"/>
                <w:szCs w:val="28"/>
              </w:rPr>
              <w:t>（3）裸露的施工场地闲置时间在3个月以内的，应采取防尘布网覆盖，并加强管理，确保覆盖到位；施工现场易飞扬的细颗粒散体材料应密闭存放；易产生扬尘的砂石等散体材料，应设置高度不低于0.5m的堆放池，位于工地主导风下风向，并采取覆盖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8"/>
              </w:rPr>
            </w:pPr>
            <w:r>
              <w:rPr>
                <w:rFonts w:ascii="Times New Roman" w:hAnsi="Times New Roman" w:cs="Times New Roman"/>
                <w:color w:val="auto"/>
                <w:sz w:val="24"/>
                <w:szCs w:val="28"/>
              </w:rPr>
              <w:t>（</w:t>
            </w:r>
            <w:r>
              <w:rPr>
                <w:rFonts w:hint="eastAsia" w:ascii="Times New Roman" w:hAnsi="Times New Roman" w:cs="Times New Roman"/>
                <w:color w:val="auto"/>
                <w:sz w:val="24"/>
                <w:szCs w:val="28"/>
              </w:rPr>
              <w:t>4</w:t>
            </w:r>
            <w:r>
              <w:rPr>
                <w:rFonts w:ascii="Times New Roman" w:hAnsi="Times New Roman" w:cs="Times New Roman"/>
                <w:color w:val="auto"/>
                <w:sz w:val="24"/>
                <w:szCs w:val="28"/>
              </w:rPr>
              <w:t>）施工期间，当空气污染指数大于100或4级以上大风干燥天气不许土方作业和人工干扫。在空气污染指数80~100时应每隔4小时保洁一次，洒水与清扫交替使用。当空气污染指数大于100时，应加密保洁。建筑施工工地内及工地周围道路必须洒水，降低施工车辆行驶产生的扬尘</w:t>
            </w:r>
            <w:r>
              <w:rPr>
                <w:rFonts w:hint="eastAsia" w:ascii="Times New Roman" w:hAnsi="Times New Roman" w:cs="Times New Roman"/>
                <w:color w:val="auto"/>
                <w:sz w:val="24"/>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8"/>
              </w:rPr>
            </w:pPr>
            <w:r>
              <w:rPr>
                <w:rFonts w:hint="eastAsia" w:ascii="Times New Roman" w:hAnsi="Times New Roman" w:cs="Times New Roman"/>
                <w:color w:val="auto"/>
                <w:sz w:val="24"/>
                <w:szCs w:val="28"/>
              </w:rPr>
              <w:t>综上所述，在采取上述扬尘环境影响管理措施后，项目施工期产生的扬尘可以得到有效地控制，对周围敏感点的影响可以接受，而且随着本项目施工期的结束，施工扬尘也随之消失。</w:t>
            </w:r>
          </w:p>
          <w:p>
            <w:pPr>
              <w:pStyle w:val="64"/>
              <w:keepNext w:val="0"/>
              <w:keepLines w:val="0"/>
              <w:pageBreakBefore w:val="0"/>
              <w:kinsoku/>
              <w:wordWrap/>
              <w:overflowPunct/>
              <w:topLinePunct w:val="0"/>
              <w:autoSpaceDE/>
              <w:autoSpaceDN/>
              <w:bidi w:val="0"/>
              <w:adjustRightInd/>
              <w:snapToGrid/>
              <w:spacing w:line="360" w:lineRule="auto"/>
              <w:ind w:firstLine="482" w:firstLineChars="200"/>
              <w:textAlignment w:val="auto"/>
              <w:rPr>
                <w:color w:val="auto"/>
                <w:kern w:val="2"/>
                <w:sz w:val="24"/>
                <w:szCs w:val="28"/>
              </w:rPr>
            </w:pPr>
            <w:r>
              <w:rPr>
                <w:rFonts w:hint="eastAsia"/>
                <w:color w:val="auto"/>
                <w:kern w:val="2"/>
                <w:sz w:val="24"/>
                <w:szCs w:val="28"/>
                <w:lang w:eastAsia="zh-CN"/>
              </w:rPr>
              <w:t>（</w:t>
            </w:r>
            <w:r>
              <w:rPr>
                <w:rFonts w:hint="eastAsia"/>
                <w:color w:val="auto"/>
                <w:kern w:val="2"/>
                <w:sz w:val="24"/>
                <w:szCs w:val="28"/>
                <w:lang w:val="en-US" w:eastAsia="zh-CN"/>
              </w:rPr>
              <w:t>2</w:t>
            </w:r>
            <w:r>
              <w:rPr>
                <w:rFonts w:hint="eastAsia"/>
                <w:color w:val="auto"/>
                <w:kern w:val="2"/>
                <w:sz w:val="24"/>
                <w:szCs w:val="28"/>
                <w:lang w:eastAsia="zh-CN"/>
              </w:rPr>
              <w:t>）</w:t>
            </w:r>
            <w:r>
              <w:rPr>
                <w:color w:val="auto"/>
                <w:kern w:val="2"/>
                <w:sz w:val="24"/>
                <w:szCs w:val="28"/>
              </w:rPr>
              <w:t>施工机械废气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auto"/>
                <w:sz w:val="24"/>
                <w:szCs w:val="28"/>
              </w:rPr>
            </w:pPr>
            <w:r>
              <w:rPr>
                <w:rFonts w:hint="eastAsia"/>
                <w:color w:val="auto"/>
                <w:sz w:val="24"/>
                <w:szCs w:val="28"/>
              </w:rPr>
              <w:t>本项目施工时，</w:t>
            </w:r>
            <w:r>
              <w:rPr>
                <w:color w:val="auto"/>
                <w:sz w:val="24"/>
                <w:szCs w:val="28"/>
              </w:rPr>
              <w:t>各类燃油动力机械在场地开挖、物料运输等施工作业时，会排出燃油废气，主要污染物为CO、NO</w:t>
            </w:r>
            <w:r>
              <w:rPr>
                <w:rFonts w:hint="eastAsia"/>
                <w:color w:val="auto"/>
                <w:sz w:val="24"/>
                <w:szCs w:val="28"/>
                <w:vertAlign w:val="subscript"/>
              </w:rPr>
              <w:t>x</w:t>
            </w:r>
            <w:r>
              <w:rPr>
                <w:color w:val="auto"/>
                <w:sz w:val="24"/>
                <w:szCs w:val="28"/>
              </w:rPr>
              <w:t>、THC。此类污染物为无组织排放，排放量小，对环境影响不大。根据</w:t>
            </w:r>
            <w:r>
              <w:rPr>
                <w:rFonts w:hint="eastAsia"/>
                <w:color w:val="auto"/>
                <w:sz w:val="24"/>
                <w:szCs w:val="28"/>
              </w:rPr>
              <w:t>《湖南省大气污染防治2015年实施方案》</w:t>
            </w:r>
            <w:r>
              <w:rPr>
                <w:color w:val="auto"/>
                <w:sz w:val="24"/>
                <w:szCs w:val="28"/>
              </w:rPr>
              <w:t>的管理要求，施工期间应采取以下污染防治措施：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rFonts w:hint="eastAsia"/>
                <w:color w:val="auto"/>
                <w:sz w:val="24"/>
                <w:szCs w:val="28"/>
              </w:rPr>
              <w:t>①</w:t>
            </w:r>
            <w:r>
              <w:rPr>
                <w:color w:val="auto"/>
                <w:sz w:val="24"/>
                <w:szCs w:val="28"/>
              </w:rPr>
              <w:t>采用0#轻质柴油作施工机械和车辆燃料，尽量使用性能优良的施工车辆和机械，不使用超期服役的车辆、机械，使各类施工机械、车辆排放尾气应符合相关环保要求。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auto"/>
                <w:sz w:val="24"/>
                <w:szCs w:val="28"/>
              </w:rPr>
            </w:pPr>
            <w:r>
              <w:rPr>
                <w:rFonts w:hint="eastAsia"/>
                <w:color w:val="auto"/>
                <w:sz w:val="24"/>
                <w:szCs w:val="28"/>
              </w:rPr>
              <w:t>②</w:t>
            </w:r>
            <w:r>
              <w:rPr>
                <w:color w:val="auto"/>
                <w:sz w:val="24"/>
                <w:szCs w:val="28"/>
              </w:rPr>
              <w:t>施工场地严禁使用散煤、建筑废料、柴火、重油、垃圾等污染燃料</w:t>
            </w:r>
            <w:r>
              <w:rPr>
                <w:rFonts w:hint="eastAsia"/>
                <w:color w:val="auto"/>
                <w:sz w:val="24"/>
                <w:szCs w:val="28"/>
              </w:rPr>
              <w:t>，建议施工区生活燃料采用以罐装液化石油气气或电力。</w:t>
            </w:r>
          </w:p>
          <w:p>
            <w:pPr>
              <w:pStyle w:val="65"/>
              <w:ind w:firstLine="480"/>
              <w:rPr>
                <w:rFonts w:eastAsiaTheme="minorEastAsia"/>
                <w:color w:val="auto"/>
                <w:kern w:val="2"/>
                <w:sz w:val="24"/>
              </w:rPr>
            </w:pPr>
            <w:r>
              <w:rPr>
                <w:rFonts w:hint="eastAsia" w:eastAsiaTheme="minorEastAsia"/>
                <w:color w:val="auto"/>
                <w:kern w:val="2"/>
                <w:sz w:val="24"/>
                <w:lang w:val="en-US" w:eastAsia="zh-CN"/>
              </w:rPr>
              <w:t>3、</w:t>
            </w:r>
            <w:r>
              <w:rPr>
                <w:rFonts w:hAnsiTheme="minorEastAsia" w:eastAsiaTheme="minorEastAsia"/>
                <w:color w:val="auto"/>
                <w:kern w:val="2"/>
                <w:sz w:val="24"/>
              </w:rPr>
              <w:t>施工期噪声的影响分析</w:t>
            </w:r>
          </w:p>
          <w:p>
            <w:pPr>
              <w:pStyle w:val="6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kern w:val="2"/>
                <w:sz w:val="24"/>
                <w:szCs w:val="28"/>
              </w:rPr>
            </w:pPr>
            <w:r>
              <w:rPr>
                <w:rFonts w:hint="eastAsia"/>
                <w:color w:val="auto"/>
                <w:kern w:val="2"/>
                <w:sz w:val="24"/>
                <w:szCs w:val="28"/>
                <w:lang w:eastAsia="zh-CN"/>
              </w:rPr>
              <w:t>（</w:t>
            </w:r>
            <w:r>
              <w:rPr>
                <w:rFonts w:hint="eastAsia"/>
                <w:color w:val="auto"/>
                <w:kern w:val="2"/>
                <w:sz w:val="24"/>
                <w:szCs w:val="28"/>
                <w:lang w:val="en-US" w:eastAsia="zh-CN"/>
              </w:rPr>
              <w:t>1</w:t>
            </w:r>
            <w:r>
              <w:rPr>
                <w:rFonts w:hint="eastAsia"/>
                <w:color w:val="auto"/>
                <w:kern w:val="2"/>
                <w:sz w:val="24"/>
                <w:szCs w:val="28"/>
                <w:lang w:eastAsia="zh-CN"/>
              </w:rPr>
              <w:t>）</w:t>
            </w:r>
            <w:r>
              <w:rPr>
                <w:color w:val="auto"/>
                <w:kern w:val="2"/>
                <w:sz w:val="24"/>
                <w:szCs w:val="28"/>
              </w:rPr>
              <w:t xml:space="preserve"> </w:t>
            </w:r>
            <w:r>
              <w:rPr>
                <w:rFonts w:hint="eastAsia"/>
                <w:color w:val="auto"/>
                <w:kern w:val="2"/>
                <w:sz w:val="24"/>
                <w:szCs w:val="28"/>
              </w:rPr>
              <w:t>噪声预测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在项目施工中，需采用</w:t>
            </w:r>
            <w:r>
              <w:rPr>
                <w:rFonts w:hint="eastAsia"/>
                <w:color w:val="auto"/>
                <w:sz w:val="24"/>
                <w:szCs w:val="28"/>
              </w:rPr>
              <w:t>挖掘机</w:t>
            </w:r>
            <w:r>
              <w:rPr>
                <w:color w:val="auto"/>
                <w:sz w:val="24"/>
                <w:szCs w:val="28"/>
              </w:rPr>
              <w:t>、装载机等施工机械，这些施工机械的噪声级范围一般在</w:t>
            </w:r>
            <w:r>
              <w:rPr>
                <w:rFonts w:hint="eastAsia"/>
                <w:color w:val="auto"/>
                <w:sz w:val="24"/>
                <w:szCs w:val="28"/>
              </w:rPr>
              <w:t>90</w:t>
            </w:r>
            <w:r>
              <w:rPr>
                <w:color w:val="auto"/>
                <w:sz w:val="24"/>
                <w:szCs w:val="28"/>
              </w:rPr>
              <w:t>～</w:t>
            </w:r>
            <w:r>
              <w:rPr>
                <w:rFonts w:hint="eastAsia"/>
                <w:color w:val="auto"/>
                <w:sz w:val="24"/>
                <w:szCs w:val="28"/>
              </w:rPr>
              <w:t>100</w:t>
            </w:r>
            <w:r>
              <w:rPr>
                <w:color w:val="auto"/>
                <w:sz w:val="24"/>
                <w:szCs w:val="28"/>
              </w:rPr>
              <w:t>dB(A)之间</w:t>
            </w:r>
            <w:r>
              <w:rPr>
                <w:rFonts w:hint="eastAsia"/>
                <w:color w:val="auto"/>
                <w:sz w:val="24"/>
                <w:szCs w:val="28"/>
              </w:rPr>
              <w:t>，</w:t>
            </w:r>
            <w:r>
              <w:rPr>
                <w:color w:val="auto"/>
                <w:sz w:val="24"/>
                <w:szCs w:val="28"/>
              </w:rPr>
              <w:t>噪声从噪声源传播到受声点，会因传播距离、空气和水体吸收，树木和房屋等阻挡物的屏障影响而产生衰减。依据噪声源的特性，采用点源噪声距离衰减公式预测施工噪声的影响。点源噪声距离衰减公式一般形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color w:val="auto"/>
                <w:sz w:val="24"/>
                <w:szCs w:val="28"/>
              </w:rPr>
            </w:pPr>
            <w:r>
              <w:rPr>
                <w:color w:val="auto"/>
                <w:sz w:val="24"/>
                <w:szCs w:val="28"/>
              </w:rPr>
              <w:object>
                <v:shape id="_x0000_i1028" o:spt="75" type="#_x0000_t75" style="height:44.45pt;width:144.65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式中，L</w:t>
            </w:r>
            <w:r>
              <w:rPr>
                <w:color w:val="auto"/>
                <w:sz w:val="24"/>
                <w:szCs w:val="28"/>
                <w:vertAlign w:val="subscript"/>
              </w:rPr>
              <w:t>1</w:t>
            </w:r>
            <w:r>
              <w:rPr>
                <w:color w:val="auto"/>
                <w:sz w:val="24"/>
                <w:szCs w:val="28"/>
              </w:rPr>
              <w:t>、L</w:t>
            </w:r>
            <w:r>
              <w:rPr>
                <w:color w:val="auto"/>
                <w:sz w:val="24"/>
                <w:szCs w:val="28"/>
                <w:vertAlign w:val="subscript"/>
              </w:rPr>
              <w:t>2</w:t>
            </w:r>
            <w:r>
              <w:rPr>
                <w:color w:val="auto"/>
                <w:sz w:val="24"/>
                <w:szCs w:val="28"/>
              </w:rPr>
              <w:t>——r</w:t>
            </w:r>
            <w:r>
              <w:rPr>
                <w:color w:val="auto"/>
                <w:sz w:val="24"/>
                <w:szCs w:val="28"/>
              </w:rPr>
              <w:softHyphen/>
            </w:r>
            <w:r>
              <w:rPr>
                <w:color w:val="auto"/>
                <w:sz w:val="24"/>
                <w:szCs w:val="28"/>
              </w:rPr>
              <w:softHyphen/>
            </w:r>
            <w:r>
              <w:rPr>
                <w:color w:val="auto"/>
                <w:sz w:val="24"/>
                <w:szCs w:val="28"/>
              </w:rPr>
              <w:softHyphen/>
            </w:r>
            <w:r>
              <w:rPr>
                <w:color w:val="auto"/>
                <w:sz w:val="24"/>
                <w:szCs w:val="28"/>
              </w:rPr>
              <w:softHyphen/>
            </w:r>
            <w:r>
              <w:rPr>
                <w:color w:val="auto"/>
                <w:sz w:val="24"/>
                <w:szCs w:val="28"/>
              </w:rPr>
              <w:softHyphen/>
            </w:r>
            <w:r>
              <w:rPr>
                <w:color w:val="auto"/>
                <w:sz w:val="24"/>
                <w:szCs w:val="28"/>
                <w:vertAlign w:val="subscript"/>
              </w:rPr>
              <w:t>1</w:t>
            </w:r>
            <w:r>
              <w:rPr>
                <w:color w:val="auto"/>
                <w:sz w:val="24"/>
                <w:szCs w:val="28"/>
              </w:rPr>
              <w:t>、r</w:t>
            </w:r>
            <w:r>
              <w:rPr>
                <w:color w:val="auto"/>
                <w:sz w:val="24"/>
                <w:szCs w:val="28"/>
                <w:vertAlign w:val="subscript"/>
              </w:rPr>
              <w:t>2</w:t>
            </w:r>
            <w:r>
              <w:rPr>
                <w:color w:val="auto"/>
                <w:sz w:val="24"/>
                <w:szCs w:val="28"/>
              </w:rPr>
              <w:t>处的噪声值，dB(A)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 xml:space="preserve">      r</w:t>
            </w:r>
            <w:r>
              <w:rPr>
                <w:color w:val="auto"/>
                <w:sz w:val="24"/>
                <w:szCs w:val="28"/>
                <w:vertAlign w:val="subscript"/>
              </w:rPr>
              <w:t>1</w:t>
            </w:r>
            <w:r>
              <w:rPr>
                <w:color w:val="auto"/>
                <w:sz w:val="24"/>
                <w:szCs w:val="28"/>
              </w:rPr>
              <w:t>、r</w:t>
            </w:r>
            <w:r>
              <w:rPr>
                <w:color w:val="auto"/>
                <w:sz w:val="24"/>
                <w:szCs w:val="28"/>
                <w:vertAlign w:val="subscript"/>
              </w:rPr>
              <w:t>2</w:t>
            </w:r>
            <w:r>
              <w:rPr>
                <w:color w:val="auto"/>
                <w:sz w:val="24"/>
                <w:szCs w:val="28"/>
              </w:rPr>
              <w:t>——距噪声源的距离，m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 xml:space="preserve">     ΔL——房屋、树木等对噪声衰减值，dB(A)。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依据施工机械的噪声源强，结合项目所在区域的环境特征，采用上述公式进行预测</w:t>
            </w:r>
            <w:r>
              <w:rPr>
                <w:rFonts w:hint="eastAsia"/>
                <w:color w:val="auto"/>
                <w:sz w:val="24"/>
                <w:szCs w:val="28"/>
              </w:rPr>
              <w:t>，</w:t>
            </w:r>
            <w:r>
              <w:rPr>
                <w:color w:val="auto"/>
                <w:sz w:val="24"/>
                <w:szCs w:val="28"/>
              </w:rPr>
              <w:t>ΔL</w:t>
            </w:r>
            <w:r>
              <w:rPr>
                <w:rFonts w:hint="eastAsia"/>
                <w:color w:val="auto"/>
                <w:sz w:val="24"/>
                <w:szCs w:val="28"/>
              </w:rPr>
              <w:t>取值为5</w:t>
            </w:r>
            <w:r>
              <w:rPr>
                <w:color w:val="auto"/>
                <w:sz w:val="24"/>
                <w:szCs w:val="28"/>
              </w:rPr>
              <w:t>dB(A)。预测结果详见</w:t>
            </w:r>
            <w:r>
              <w:rPr>
                <w:rFonts w:hint="eastAsia"/>
                <w:color w:val="auto"/>
                <w:sz w:val="24"/>
                <w:szCs w:val="28"/>
              </w:rPr>
              <w:t>下</w:t>
            </w:r>
            <w:r>
              <w:rPr>
                <w:color w:val="auto"/>
                <w:sz w:val="24"/>
                <w:szCs w:val="28"/>
              </w:rPr>
              <w:t>表</w:t>
            </w:r>
            <w:r>
              <w:rPr>
                <w:rFonts w:hint="eastAsia"/>
                <w:color w:val="auto"/>
                <w:sz w:val="24"/>
                <w:szCs w:val="28"/>
              </w:rPr>
              <w:t>7-2。</w:t>
            </w:r>
          </w:p>
          <w:p>
            <w:pPr>
              <w:pStyle w:val="43"/>
              <w:ind w:firstLine="480"/>
              <w:rPr>
                <w:rFonts w:eastAsiaTheme="minorEastAsia"/>
                <w:color w:val="auto"/>
                <w:sz w:val="21"/>
                <w:szCs w:val="21"/>
              </w:rPr>
            </w:pPr>
            <w:r>
              <w:rPr>
                <w:rFonts w:hAnsiTheme="minorEastAsia" w:eastAsiaTheme="minorEastAsia"/>
                <w:color w:val="auto"/>
                <w:sz w:val="21"/>
                <w:szCs w:val="21"/>
              </w:rPr>
              <w:t>表</w:t>
            </w:r>
            <w:r>
              <w:rPr>
                <w:rFonts w:eastAsiaTheme="minorEastAsia"/>
                <w:color w:val="auto"/>
                <w:sz w:val="21"/>
                <w:szCs w:val="21"/>
              </w:rPr>
              <w:t>7-2</w:t>
            </w:r>
            <w:r>
              <w:rPr>
                <w:rFonts w:hAnsiTheme="minorEastAsia" w:eastAsiaTheme="minorEastAsia"/>
                <w:color w:val="auto"/>
                <w:sz w:val="21"/>
                <w:szCs w:val="21"/>
              </w:rPr>
              <w:t>：施工机械在不同距离的噪声影响预测结果单位：</w:t>
            </w:r>
            <w:r>
              <w:rPr>
                <w:rFonts w:eastAsiaTheme="minorEastAsia"/>
                <w:color w:val="auto"/>
                <w:sz w:val="21"/>
                <w:szCs w:val="21"/>
              </w:rPr>
              <w:t>dB(A)</w:t>
            </w:r>
          </w:p>
          <w:tbl>
            <w:tblPr>
              <w:tblStyle w:val="22"/>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008"/>
              <w:gridCol w:w="1100"/>
              <w:gridCol w:w="802"/>
              <w:gridCol w:w="696"/>
              <w:gridCol w:w="802"/>
              <w:gridCol w:w="802"/>
              <w:gridCol w:w="886"/>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exact"/>
                <w:jc w:val="center"/>
              </w:trPr>
              <w:tc>
                <w:tcPr>
                  <w:tcW w:w="1532" w:type="dxa"/>
                  <w:vMerge w:val="restart"/>
                  <w:vAlign w:val="center"/>
                </w:tcPr>
                <w:p>
                  <w:pPr>
                    <w:pStyle w:val="42"/>
                    <w:rPr>
                      <w:color w:val="auto"/>
                    </w:rPr>
                  </w:pPr>
                  <w:r>
                    <w:rPr>
                      <w:color w:val="auto"/>
                    </w:rPr>
                    <w:t>机械名称</w:t>
                  </w:r>
                </w:p>
              </w:tc>
              <w:tc>
                <w:tcPr>
                  <w:tcW w:w="1008" w:type="dxa"/>
                  <w:vMerge w:val="restart"/>
                  <w:vAlign w:val="center"/>
                </w:tcPr>
                <w:p>
                  <w:pPr>
                    <w:pStyle w:val="42"/>
                    <w:rPr>
                      <w:color w:val="auto"/>
                    </w:rPr>
                  </w:pPr>
                  <w:r>
                    <w:rPr>
                      <w:color w:val="auto"/>
                    </w:rPr>
                    <w:t>噪声源强</w:t>
                  </w:r>
                </w:p>
              </w:tc>
              <w:tc>
                <w:tcPr>
                  <w:tcW w:w="1100" w:type="dxa"/>
                  <w:vMerge w:val="restart"/>
                  <w:vAlign w:val="center"/>
                </w:tcPr>
                <w:p>
                  <w:pPr>
                    <w:pStyle w:val="42"/>
                    <w:rPr>
                      <w:color w:val="auto"/>
                    </w:rPr>
                  </w:pPr>
                  <w:r>
                    <w:rPr>
                      <w:color w:val="auto"/>
                    </w:rPr>
                    <w:t>场界围墙外1m</w:t>
                  </w:r>
                </w:p>
              </w:tc>
              <w:tc>
                <w:tcPr>
                  <w:tcW w:w="4877" w:type="dxa"/>
                  <w:gridSpan w:val="6"/>
                  <w:vAlign w:val="center"/>
                </w:tcPr>
                <w:p>
                  <w:pPr>
                    <w:pStyle w:val="42"/>
                    <w:rPr>
                      <w:color w:val="auto"/>
                    </w:rPr>
                  </w:pPr>
                  <w:r>
                    <w:rPr>
                      <w:color w:val="auto"/>
                    </w:rPr>
                    <w:t>与声源不同距离(m)的噪声预测值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exact"/>
                <w:jc w:val="center"/>
              </w:trPr>
              <w:tc>
                <w:tcPr>
                  <w:tcW w:w="1532" w:type="dxa"/>
                  <w:vMerge w:val="continue"/>
                  <w:vAlign w:val="center"/>
                </w:tcPr>
                <w:p>
                  <w:pPr>
                    <w:pStyle w:val="42"/>
                    <w:rPr>
                      <w:color w:val="auto"/>
                    </w:rPr>
                  </w:pPr>
                </w:p>
              </w:tc>
              <w:tc>
                <w:tcPr>
                  <w:tcW w:w="1008" w:type="dxa"/>
                  <w:vMerge w:val="continue"/>
                  <w:vAlign w:val="center"/>
                </w:tcPr>
                <w:p>
                  <w:pPr>
                    <w:pStyle w:val="42"/>
                    <w:rPr>
                      <w:color w:val="auto"/>
                    </w:rPr>
                  </w:pPr>
                </w:p>
              </w:tc>
              <w:tc>
                <w:tcPr>
                  <w:tcW w:w="1100" w:type="dxa"/>
                  <w:vMerge w:val="continue"/>
                  <w:vAlign w:val="center"/>
                </w:tcPr>
                <w:p>
                  <w:pPr>
                    <w:pStyle w:val="42"/>
                    <w:rPr>
                      <w:color w:val="auto"/>
                    </w:rPr>
                  </w:pPr>
                </w:p>
              </w:tc>
              <w:tc>
                <w:tcPr>
                  <w:tcW w:w="802" w:type="dxa"/>
                  <w:vAlign w:val="center"/>
                </w:tcPr>
                <w:p>
                  <w:pPr>
                    <w:pStyle w:val="42"/>
                    <w:rPr>
                      <w:color w:val="auto"/>
                    </w:rPr>
                  </w:pPr>
                  <w:r>
                    <w:rPr>
                      <w:color w:val="auto"/>
                    </w:rPr>
                    <w:t>15</w:t>
                  </w:r>
                </w:p>
              </w:tc>
              <w:tc>
                <w:tcPr>
                  <w:tcW w:w="696" w:type="dxa"/>
                  <w:vAlign w:val="center"/>
                </w:tcPr>
                <w:p>
                  <w:pPr>
                    <w:pStyle w:val="42"/>
                    <w:rPr>
                      <w:color w:val="auto"/>
                    </w:rPr>
                  </w:pPr>
                  <w:r>
                    <w:rPr>
                      <w:color w:val="auto"/>
                    </w:rPr>
                    <w:t>30</w:t>
                  </w:r>
                </w:p>
              </w:tc>
              <w:tc>
                <w:tcPr>
                  <w:tcW w:w="802" w:type="dxa"/>
                  <w:vAlign w:val="center"/>
                </w:tcPr>
                <w:p>
                  <w:pPr>
                    <w:pStyle w:val="42"/>
                    <w:rPr>
                      <w:color w:val="auto"/>
                    </w:rPr>
                  </w:pPr>
                  <w:r>
                    <w:rPr>
                      <w:color w:val="auto"/>
                    </w:rPr>
                    <w:t>50</w:t>
                  </w:r>
                </w:p>
              </w:tc>
              <w:tc>
                <w:tcPr>
                  <w:tcW w:w="802" w:type="dxa"/>
                  <w:vAlign w:val="center"/>
                </w:tcPr>
                <w:p>
                  <w:pPr>
                    <w:pStyle w:val="42"/>
                    <w:rPr>
                      <w:color w:val="auto"/>
                    </w:rPr>
                  </w:pPr>
                  <w:r>
                    <w:rPr>
                      <w:color w:val="auto"/>
                    </w:rPr>
                    <w:t>60</w:t>
                  </w:r>
                </w:p>
              </w:tc>
              <w:tc>
                <w:tcPr>
                  <w:tcW w:w="886" w:type="dxa"/>
                  <w:vAlign w:val="center"/>
                </w:tcPr>
                <w:p>
                  <w:pPr>
                    <w:pStyle w:val="42"/>
                    <w:rPr>
                      <w:color w:val="auto"/>
                    </w:rPr>
                  </w:pPr>
                  <w:r>
                    <w:rPr>
                      <w:color w:val="auto"/>
                    </w:rPr>
                    <w:t>120</w:t>
                  </w:r>
                </w:p>
              </w:tc>
              <w:tc>
                <w:tcPr>
                  <w:tcW w:w="889" w:type="dxa"/>
                </w:tcPr>
                <w:p>
                  <w:pPr>
                    <w:pStyle w:val="42"/>
                    <w:rPr>
                      <w:color w:val="auto"/>
                    </w:rPr>
                  </w:pPr>
                  <w:r>
                    <w:rPr>
                      <w:rFonts w:hint="eastAsia"/>
                      <w:color w:val="auto"/>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exact"/>
                <w:jc w:val="center"/>
              </w:trPr>
              <w:tc>
                <w:tcPr>
                  <w:tcW w:w="1532" w:type="dxa"/>
                  <w:vAlign w:val="center"/>
                </w:tcPr>
                <w:p>
                  <w:pPr>
                    <w:pStyle w:val="42"/>
                    <w:rPr>
                      <w:color w:val="auto"/>
                    </w:rPr>
                  </w:pPr>
                  <w:r>
                    <w:rPr>
                      <w:rFonts w:hint="eastAsia"/>
                      <w:color w:val="auto"/>
                    </w:rPr>
                    <w:t>挖掘机</w:t>
                  </w:r>
                </w:p>
              </w:tc>
              <w:tc>
                <w:tcPr>
                  <w:tcW w:w="1008" w:type="dxa"/>
                  <w:vAlign w:val="center"/>
                </w:tcPr>
                <w:p>
                  <w:pPr>
                    <w:pStyle w:val="42"/>
                    <w:rPr>
                      <w:color w:val="auto"/>
                    </w:rPr>
                  </w:pPr>
                  <w:r>
                    <w:rPr>
                      <w:color w:val="auto"/>
                    </w:rPr>
                    <w:t>95</w:t>
                  </w:r>
                </w:p>
              </w:tc>
              <w:tc>
                <w:tcPr>
                  <w:tcW w:w="1100" w:type="dxa"/>
                  <w:vAlign w:val="center"/>
                </w:tcPr>
                <w:p>
                  <w:pPr>
                    <w:pStyle w:val="42"/>
                    <w:rPr>
                      <w:color w:val="auto"/>
                    </w:rPr>
                  </w:pPr>
                  <w:r>
                    <w:rPr>
                      <w:color w:val="auto"/>
                    </w:rPr>
                    <w:t>80</w:t>
                  </w:r>
                </w:p>
              </w:tc>
              <w:tc>
                <w:tcPr>
                  <w:tcW w:w="802" w:type="dxa"/>
                  <w:vAlign w:val="center"/>
                </w:tcPr>
                <w:p>
                  <w:pPr>
                    <w:pStyle w:val="42"/>
                    <w:rPr>
                      <w:color w:val="auto"/>
                    </w:rPr>
                  </w:pPr>
                  <w:r>
                    <w:rPr>
                      <w:color w:val="auto"/>
                    </w:rPr>
                    <w:t>67</w:t>
                  </w:r>
                </w:p>
              </w:tc>
              <w:tc>
                <w:tcPr>
                  <w:tcW w:w="696" w:type="dxa"/>
                  <w:vAlign w:val="center"/>
                </w:tcPr>
                <w:p>
                  <w:pPr>
                    <w:pStyle w:val="42"/>
                    <w:rPr>
                      <w:color w:val="auto"/>
                    </w:rPr>
                  </w:pPr>
                  <w:r>
                    <w:rPr>
                      <w:color w:val="auto"/>
                    </w:rPr>
                    <w:t>61</w:t>
                  </w:r>
                </w:p>
              </w:tc>
              <w:tc>
                <w:tcPr>
                  <w:tcW w:w="802" w:type="dxa"/>
                  <w:vAlign w:val="center"/>
                </w:tcPr>
                <w:p>
                  <w:pPr>
                    <w:pStyle w:val="42"/>
                    <w:rPr>
                      <w:color w:val="auto"/>
                    </w:rPr>
                  </w:pPr>
                  <w:r>
                    <w:rPr>
                      <w:color w:val="auto"/>
                    </w:rPr>
                    <w:t>57</w:t>
                  </w:r>
                </w:p>
              </w:tc>
              <w:tc>
                <w:tcPr>
                  <w:tcW w:w="802" w:type="dxa"/>
                  <w:vAlign w:val="center"/>
                </w:tcPr>
                <w:p>
                  <w:pPr>
                    <w:pStyle w:val="42"/>
                    <w:rPr>
                      <w:color w:val="auto"/>
                    </w:rPr>
                  </w:pPr>
                  <w:r>
                    <w:rPr>
                      <w:color w:val="auto"/>
                    </w:rPr>
                    <w:t>55</w:t>
                  </w:r>
                </w:p>
              </w:tc>
              <w:tc>
                <w:tcPr>
                  <w:tcW w:w="886" w:type="dxa"/>
                  <w:vAlign w:val="center"/>
                </w:tcPr>
                <w:p>
                  <w:pPr>
                    <w:pStyle w:val="42"/>
                    <w:rPr>
                      <w:color w:val="auto"/>
                    </w:rPr>
                  </w:pPr>
                  <w:r>
                    <w:rPr>
                      <w:color w:val="auto"/>
                    </w:rPr>
                    <w:t>49</w:t>
                  </w:r>
                </w:p>
              </w:tc>
              <w:tc>
                <w:tcPr>
                  <w:tcW w:w="889" w:type="dxa"/>
                </w:tcPr>
                <w:p>
                  <w:pPr>
                    <w:pStyle w:val="42"/>
                    <w:rPr>
                      <w:color w:val="auto"/>
                    </w:rPr>
                  </w:pPr>
                  <w:r>
                    <w:rPr>
                      <w:rFonts w:hint="eastAsia"/>
                      <w:color w:val="auto"/>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1532" w:type="dxa"/>
                  <w:vAlign w:val="center"/>
                </w:tcPr>
                <w:p>
                  <w:pPr>
                    <w:pStyle w:val="42"/>
                    <w:rPr>
                      <w:color w:val="auto"/>
                    </w:rPr>
                  </w:pPr>
                  <w:r>
                    <w:rPr>
                      <w:color w:val="auto"/>
                    </w:rPr>
                    <w:t>装载机</w:t>
                  </w:r>
                </w:p>
              </w:tc>
              <w:tc>
                <w:tcPr>
                  <w:tcW w:w="1008" w:type="dxa"/>
                  <w:vAlign w:val="center"/>
                </w:tcPr>
                <w:p>
                  <w:pPr>
                    <w:pStyle w:val="42"/>
                    <w:rPr>
                      <w:color w:val="auto"/>
                    </w:rPr>
                  </w:pPr>
                  <w:r>
                    <w:rPr>
                      <w:color w:val="auto"/>
                    </w:rPr>
                    <w:t>10</w:t>
                  </w:r>
                  <w:r>
                    <w:rPr>
                      <w:rFonts w:hint="eastAsia"/>
                      <w:color w:val="auto"/>
                    </w:rPr>
                    <w:t>0</w:t>
                  </w:r>
                </w:p>
              </w:tc>
              <w:tc>
                <w:tcPr>
                  <w:tcW w:w="1100" w:type="dxa"/>
                  <w:vAlign w:val="center"/>
                </w:tcPr>
                <w:p>
                  <w:pPr>
                    <w:pStyle w:val="42"/>
                    <w:rPr>
                      <w:color w:val="auto"/>
                    </w:rPr>
                  </w:pPr>
                  <w:r>
                    <w:rPr>
                      <w:color w:val="auto"/>
                    </w:rPr>
                    <w:t>8</w:t>
                  </w:r>
                  <w:r>
                    <w:rPr>
                      <w:rFonts w:hint="eastAsia"/>
                      <w:color w:val="auto"/>
                    </w:rPr>
                    <w:t>3</w:t>
                  </w:r>
                </w:p>
              </w:tc>
              <w:tc>
                <w:tcPr>
                  <w:tcW w:w="802" w:type="dxa"/>
                  <w:vAlign w:val="center"/>
                </w:tcPr>
                <w:p>
                  <w:pPr>
                    <w:pStyle w:val="42"/>
                    <w:rPr>
                      <w:color w:val="auto"/>
                    </w:rPr>
                  </w:pPr>
                  <w:r>
                    <w:rPr>
                      <w:rFonts w:hint="eastAsia"/>
                      <w:color w:val="auto"/>
                    </w:rPr>
                    <w:t>69</w:t>
                  </w:r>
                </w:p>
              </w:tc>
              <w:tc>
                <w:tcPr>
                  <w:tcW w:w="696" w:type="dxa"/>
                  <w:vAlign w:val="center"/>
                </w:tcPr>
                <w:p>
                  <w:pPr>
                    <w:pStyle w:val="42"/>
                    <w:rPr>
                      <w:color w:val="auto"/>
                    </w:rPr>
                  </w:pPr>
                  <w:r>
                    <w:rPr>
                      <w:color w:val="auto"/>
                    </w:rPr>
                    <w:t>6</w:t>
                  </w:r>
                  <w:r>
                    <w:rPr>
                      <w:rFonts w:hint="eastAsia"/>
                      <w:color w:val="auto"/>
                    </w:rPr>
                    <w:t>3</w:t>
                  </w:r>
                </w:p>
              </w:tc>
              <w:tc>
                <w:tcPr>
                  <w:tcW w:w="802" w:type="dxa"/>
                  <w:vAlign w:val="center"/>
                </w:tcPr>
                <w:p>
                  <w:pPr>
                    <w:pStyle w:val="42"/>
                    <w:rPr>
                      <w:color w:val="auto"/>
                    </w:rPr>
                  </w:pPr>
                  <w:r>
                    <w:rPr>
                      <w:rFonts w:hint="eastAsia"/>
                      <w:color w:val="auto"/>
                    </w:rPr>
                    <w:t>59</w:t>
                  </w:r>
                </w:p>
              </w:tc>
              <w:tc>
                <w:tcPr>
                  <w:tcW w:w="802" w:type="dxa"/>
                  <w:vAlign w:val="center"/>
                </w:tcPr>
                <w:p>
                  <w:pPr>
                    <w:pStyle w:val="42"/>
                    <w:rPr>
                      <w:color w:val="auto"/>
                    </w:rPr>
                  </w:pPr>
                  <w:r>
                    <w:rPr>
                      <w:rFonts w:hint="eastAsia"/>
                      <w:color w:val="auto"/>
                    </w:rPr>
                    <w:t>57</w:t>
                  </w:r>
                </w:p>
              </w:tc>
              <w:tc>
                <w:tcPr>
                  <w:tcW w:w="886" w:type="dxa"/>
                  <w:vAlign w:val="center"/>
                </w:tcPr>
                <w:p>
                  <w:pPr>
                    <w:pStyle w:val="42"/>
                    <w:rPr>
                      <w:color w:val="auto"/>
                    </w:rPr>
                  </w:pPr>
                  <w:r>
                    <w:rPr>
                      <w:color w:val="auto"/>
                    </w:rPr>
                    <w:t>5</w:t>
                  </w:r>
                  <w:r>
                    <w:rPr>
                      <w:rFonts w:hint="eastAsia"/>
                      <w:color w:val="auto"/>
                    </w:rPr>
                    <w:t>1</w:t>
                  </w:r>
                </w:p>
              </w:tc>
              <w:tc>
                <w:tcPr>
                  <w:tcW w:w="889" w:type="dxa"/>
                </w:tcPr>
                <w:p>
                  <w:pPr>
                    <w:pStyle w:val="42"/>
                    <w:rPr>
                      <w:color w:val="auto"/>
                    </w:rPr>
                  </w:pPr>
                  <w:r>
                    <w:rPr>
                      <w:rFonts w:hint="eastAsia"/>
                      <w:color w:val="auto"/>
                    </w:rPr>
                    <w:t>43</w:t>
                  </w:r>
                </w:p>
              </w:tc>
            </w:tr>
          </w:tbl>
          <w:p>
            <w:pPr>
              <w:keepNext w:val="0"/>
              <w:keepLines w:val="0"/>
              <w:pageBreakBefore w:val="0"/>
              <w:widowControl w:val="0"/>
              <w:suppressAutoHyphens w:val="0"/>
              <w:kinsoku/>
              <w:wordWrap/>
              <w:overflowPunct/>
              <w:topLinePunct w:val="0"/>
              <w:autoSpaceDE/>
              <w:autoSpaceDN/>
              <w:bidi w:val="0"/>
              <w:adjustRightInd w:val="0"/>
              <w:snapToGrid w:val="0"/>
              <w:spacing w:line="360" w:lineRule="auto"/>
              <w:ind w:firstLine="482"/>
              <w:jc w:val="both"/>
              <w:textAlignment w:val="auto"/>
              <w:rPr>
                <w:rFonts w:cs="宋体"/>
                <w:color w:val="auto"/>
                <w:sz w:val="24"/>
                <w:szCs w:val="22"/>
              </w:rPr>
            </w:pPr>
            <w:r>
              <w:rPr>
                <w:color w:val="auto"/>
                <w:sz w:val="24"/>
                <w:szCs w:val="28"/>
              </w:rPr>
              <w:t>从预测结果可知，项目施工噪声在经过场界围墙阻隔后，在厂界外30m昼间噪声</w:t>
            </w:r>
            <w:r>
              <w:rPr>
                <w:rFonts w:hint="eastAsia"/>
                <w:color w:val="auto"/>
                <w:sz w:val="24"/>
                <w:szCs w:val="28"/>
              </w:rPr>
              <w:t>均</w:t>
            </w:r>
            <w:r>
              <w:rPr>
                <w:color w:val="auto"/>
                <w:sz w:val="24"/>
                <w:szCs w:val="28"/>
              </w:rPr>
              <w:t>达到《建筑施工场界环境噪声排放标准》</w:t>
            </w:r>
            <w:r>
              <w:rPr>
                <w:rFonts w:hint="eastAsia"/>
                <w:color w:val="auto"/>
                <w:sz w:val="24"/>
                <w:szCs w:val="28"/>
              </w:rPr>
              <w:t>（</w:t>
            </w:r>
            <w:r>
              <w:rPr>
                <w:color w:val="auto"/>
                <w:sz w:val="24"/>
                <w:szCs w:val="28"/>
              </w:rPr>
              <w:t>GB12523-2011</w:t>
            </w:r>
            <w:r>
              <w:rPr>
                <w:rFonts w:hint="eastAsia"/>
                <w:color w:val="auto"/>
                <w:sz w:val="24"/>
                <w:szCs w:val="28"/>
              </w:rPr>
              <w:t>）</w:t>
            </w:r>
            <w:r>
              <w:rPr>
                <w:color w:val="auto"/>
                <w:sz w:val="24"/>
                <w:szCs w:val="28"/>
              </w:rPr>
              <w:t>要求，夜间施工噪声会对周围环境有一定的影响。但项目施工期短，白天施工夜间不施工，因此对周围环境的影响较小。</w:t>
            </w:r>
            <w:r>
              <w:rPr>
                <w:rFonts w:hint="eastAsia"/>
                <w:color w:val="auto"/>
                <w:sz w:val="24"/>
                <w:szCs w:val="28"/>
              </w:rPr>
              <w:t>根据噪声预测本项目噪声不会对该居民点造成影响。</w:t>
            </w:r>
          </w:p>
          <w:p>
            <w:pPr>
              <w:pStyle w:val="65"/>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Theme="minorEastAsia"/>
                <w:color w:val="auto"/>
                <w:kern w:val="2"/>
                <w:sz w:val="24"/>
              </w:rPr>
            </w:pPr>
            <w:r>
              <w:rPr>
                <w:rFonts w:eastAsiaTheme="minorEastAsia"/>
                <w:color w:val="auto"/>
                <w:kern w:val="2"/>
                <w:sz w:val="24"/>
              </w:rPr>
              <w:t>7.1.</w:t>
            </w:r>
            <w:r>
              <w:rPr>
                <w:rFonts w:hint="eastAsia" w:eastAsiaTheme="minorEastAsia"/>
                <w:color w:val="auto"/>
                <w:kern w:val="2"/>
                <w:sz w:val="24"/>
              </w:rPr>
              <w:t>4 固体废物影响分析</w:t>
            </w:r>
          </w:p>
          <w:p>
            <w:pPr>
              <w:pStyle w:val="66"/>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sz w:val="24"/>
                <w:szCs w:val="22"/>
              </w:rPr>
            </w:pPr>
            <w:r>
              <w:rPr>
                <w:rFonts w:hint="eastAsia"/>
                <w:color w:val="auto"/>
                <w:sz w:val="24"/>
                <w:szCs w:val="22"/>
              </w:rPr>
              <w:t>由工程分析可知：固体废物有</w:t>
            </w:r>
            <w:r>
              <w:rPr>
                <w:color w:val="auto"/>
                <w:sz w:val="24"/>
                <w:szCs w:val="22"/>
              </w:rPr>
              <w:t>施工过程中产生的建筑垃圾</w:t>
            </w:r>
            <w:r>
              <w:rPr>
                <w:rFonts w:hint="eastAsia"/>
                <w:color w:val="auto"/>
                <w:sz w:val="24"/>
                <w:szCs w:val="22"/>
              </w:rPr>
              <w:t>、土石方</w:t>
            </w:r>
            <w:r>
              <w:rPr>
                <w:color w:val="auto"/>
                <w:sz w:val="24"/>
                <w:szCs w:val="22"/>
              </w:rPr>
              <w:t>及施工人员产生的生活垃圾。</w:t>
            </w:r>
          </w:p>
          <w:p>
            <w:pPr>
              <w:pStyle w:val="6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bCs/>
                <w:color w:val="auto"/>
                <w:sz w:val="24"/>
                <w:szCs w:val="32"/>
              </w:rPr>
            </w:pPr>
            <w:r>
              <w:rPr>
                <w:rFonts w:hint="eastAsia" w:ascii="Times New Roman" w:hAnsi="Times New Roman"/>
                <w:bCs/>
                <w:color w:val="auto"/>
                <w:sz w:val="24"/>
                <w:szCs w:val="32"/>
              </w:rPr>
              <w:t>建筑垃圾：</w:t>
            </w:r>
            <w:r>
              <w:rPr>
                <w:rFonts w:ascii="Times New Roman" w:hAnsi="Times New Roman"/>
                <w:bCs/>
                <w:color w:val="auto"/>
                <w:sz w:val="24"/>
                <w:szCs w:val="32"/>
              </w:rPr>
              <w:t>工地建筑垃圾中的一部分如建筑废模块、建筑材料下角料、破钢管、断残钢筋头、包装袋以及废旧设备等基本上可以回收；而另一部分如弃土、废沙石等建筑材料废弃物等没有回收价值，如果随意倾倒和堆放，不但占用了土地，而且污染了周围环境，影响周围环境的景观。因此无回收价值的建筑废料必须统一分类收集后，作为填充材料充垫场地、便道、路堤等，或定期运往指定地点堆埋。</w:t>
            </w:r>
            <w:r>
              <w:rPr>
                <w:rFonts w:hint="eastAsia" w:ascii="Times New Roman" w:hAnsi="Times New Roman"/>
                <w:bCs/>
                <w:color w:val="auto"/>
                <w:sz w:val="24"/>
                <w:szCs w:val="32"/>
              </w:rPr>
              <w:t>同时，在</w:t>
            </w:r>
            <w:r>
              <w:rPr>
                <w:rFonts w:hint="eastAsia" w:ascii="Times New Roman" w:hAnsi="Times New Roman"/>
                <w:bCs/>
                <w:color w:val="auto"/>
                <w:sz w:val="24"/>
                <w:szCs w:val="32"/>
                <w:lang w:eastAsia="zh-CN"/>
              </w:rPr>
              <w:t>项目</w:t>
            </w:r>
            <w:r>
              <w:rPr>
                <w:rFonts w:hint="eastAsia" w:ascii="Times New Roman" w:hAnsi="Times New Roman"/>
                <w:bCs/>
                <w:color w:val="auto"/>
                <w:sz w:val="24"/>
                <w:szCs w:val="32"/>
              </w:rPr>
              <w:t>地暂存时，应规范堆置，并设立围挡，在四周设置排水沟。</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sz w:val="24"/>
                <w:szCs w:val="28"/>
              </w:rPr>
            </w:pPr>
            <w:r>
              <w:rPr>
                <w:bCs/>
                <w:color w:val="auto"/>
                <w:sz w:val="24"/>
                <w:szCs w:val="28"/>
              </w:rPr>
              <w:t>土石方：</w:t>
            </w:r>
            <w:r>
              <w:rPr>
                <w:rFonts w:hint="eastAsia" w:ascii="Times New Roman" w:hAnsi="Times New Roman" w:eastAsia="宋体" w:cs="Times New Roman"/>
                <w:color w:val="auto"/>
                <w:sz w:val="24"/>
                <w:szCs w:val="20"/>
                <w:u w:val="none"/>
              </w:rPr>
              <w:t>项目施工主要</w:t>
            </w:r>
            <w:r>
              <w:rPr>
                <w:rFonts w:hint="eastAsia" w:cs="Times New Roman"/>
                <w:color w:val="auto"/>
                <w:sz w:val="24"/>
                <w:szCs w:val="20"/>
                <w:u w:val="none"/>
                <w:lang w:eastAsia="zh-CN"/>
              </w:rPr>
              <w:t>是拆除原有破旧的</w:t>
            </w:r>
            <w:r>
              <w:rPr>
                <w:rFonts w:hint="eastAsia" w:ascii="Times New Roman" w:hAnsi="Times New Roman" w:eastAsia="宋体" w:cs="Times New Roman"/>
                <w:color w:val="auto"/>
                <w:sz w:val="24"/>
                <w:szCs w:val="20"/>
                <w:u w:val="none"/>
                <w:lang w:eastAsia="zh-CN"/>
              </w:rPr>
              <w:t>钢结构</w:t>
            </w:r>
            <w:r>
              <w:rPr>
                <w:rFonts w:hint="eastAsia" w:cs="Times New Roman"/>
                <w:color w:val="auto"/>
                <w:sz w:val="24"/>
                <w:szCs w:val="20"/>
                <w:u w:val="none"/>
                <w:lang w:eastAsia="zh-CN"/>
              </w:rPr>
              <w:t>厂房，</w:t>
            </w:r>
            <w:r>
              <w:rPr>
                <w:rFonts w:hint="eastAsia" w:ascii="Times New Roman" w:hAnsi="Times New Roman" w:eastAsia="宋体" w:cs="Times New Roman"/>
                <w:color w:val="auto"/>
                <w:sz w:val="24"/>
                <w:szCs w:val="20"/>
                <w:u w:val="none"/>
                <w:lang w:eastAsia="zh-CN"/>
              </w:rPr>
              <w:t>新搭建钢结构</w:t>
            </w:r>
            <w:r>
              <w:rPr>
                <w:rFonts w:hint="eastAsia" w:cs="Times New Roman"/>
                <w:color w:val="auto"/>
                <w:sz w:val="24"/>
                <w:szCs w:val="20"/>
                <w:u w:val="none"/>
                <w:lang w:eastAsia="zh-CN"/>
              </w:rPr>
              <w:t>厂房、办公楼</w:t>
            </w:r>
            <w:r>
              <w:rPr>
                <w:rFonts w:hint="eastAsia"/>
                <w:color w:val="auto"/>
                <w:sz w:val="24"/>
                <w:szCs w:val="28"/>
              </w:rPr>
              <w:t>以及安装调试生产设备、环保设备</w:t>
            </w:r>
            <w:r>
              <w:rPr>
                <w:rFonts w:hint="eastAsia" w:cs="Times New Roman"/>
                <w:color w:val="auto"/>
                <w:sz w:val="24"/>
                <w:szCs w:val="20"/>
                <w:u w:val="none"/>
                <w:lang w:eastAsia="zh-CN"/>
              </w:rPr>
              <w:t>，</w:t>
            </w:r>
            <w:r>
              <w:rPr>
                <w:rFonts w:hint="default" w:ascii="Times New Roman" w:hAnsi="Times New Roman" w:eastAsia="宋体" w:cs="Times New Roman"/>
                <w:color w:val="auto"/>
                <w:sz w:val="24"/>
                <w:szCs w:val="24"/>
                <w:u w:val="none" w:color="auto"/>
                <w:lang w:eastAsia="zh-CN"/>
              </w:rPr>
              <w:t>本</w:t>
            </w:r>
            <w:r>
              <w:rPr>
                <w:rFonts w:hint="default" w:ascii="Times New Roman" w:hAnsi="Times New Roman" w:eastAsia="宋体" w:cs="Times New Roman"/>
                <w:color w:val="auto"/>
                <w:sz w:val="24"/>
                <w:szCs w:val="24"/>
                <w:u w:val="none" w:color="auto"/>
              </w:rPr>
              <w:t>项目</w:t>
            </w:r>
            <w:r>
              <w:rPr>
                <w:rFonts w:hint="default" w:ascii="Times New Roman" w:hAnsi="Times New Roman" w:eastAsia="宋体" w:cs="Times New Roman"/>
                <w:color w:val="auto"/>
                <w:sz w:val="24"/>
                <w:szCs w:val="24"/>
                <w:u w:val="none" w:color="auto"/>
                <w:lang w:val="en-US" w:eastAsia="zh-CN"/>
              </w:rPr>
              <w:t>挖方主要为36座炭化窑，</w:t>
            </w:r>
            <w:r>
              <w:rPr>
                <w:rFonts w:hint="default" w:ascii="Times New Roman" w:hAnsi="Times New Roman" w:eastAsia="宋体" w:cs="Times New Roman"/>
                <w:color w:val="auto"/>
                <w:sz w:val="24"/>
                <w:szCs w:val="24"/>
                <w:u w:val="none" w:color="auto"/>
              </w:rPr>
              <w:t>共需开挖土石方约</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00m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开挖土方</w:t>
            </w:r>
            <w:r>
              <w:rPr>
                <w:rFonts w:hint="eastAsia" w:ascii="Times New Roman" w:hAnsi="Times New Roman" w:eastAsia="宋体" w:cs="Times New Roman"/>
                <w:color w:val="auto"/>
                <w:sz w:val="24"/>
                <w:szCs w:val="24"/>
                <w:u w:val="none" w:color="auto"/>
                <w:lang w:val="en-US" w:eastAsia="zh-CN"/>
              </w:rPr>
              <w:t>全部</w:t>
            </w:r>
            <w:r>
              <w:rPr>
                <w:rFonts w:hint="default" w:ascii="Times New Roman" w:hAnsi="Times New Roman" w:eastAsia="宋体" w:cs="Times New Roman"/>
                <w:color w:val="auto"/>
                <w:sz w:val="24"/>
                <w:szCs w:val="24"/>
                <w:u w:val="none" w:color="auto"/>
                <w:lang w:val="en-US" w:eastAsia="zh-CN"/>
              </w:rPr>
              <w:t>用于场地</w:t>
            </w:r>
            <w:r>
              <w:rPr>
                <w:rFonts w:hint="default" w:ascii="Times New Roman" w:hAnsi="Times New Roman" w:eastAsia="宋体" w:cs="Times New Roman"/>
                <w:color w:val="auto"/>
                <w:sz w:val="24"/>
                <w:szCs w:val="24"/>
                <w:u w:val="none" w:color="auto"/>
                <w:lang w:eastAsia="zh-CN"/>
              </w:rPr>
              <w:t>回填平整</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0"/>
                <w:u w:val="none"/>
              </w:rPr>
              <w:t>基本可以做到挖填方平衡</w:t>
            </w:r>
            <w:r>
              <w:rPr>
                <w:rFonts w:hint="eastAsia"/>
                <w:color w:val="auto"/>
                <w:sz w:val="24"/>
                <w:szCs w:val="28"/>
              </w:rPr>
              <w:t>。</w:t>
            </w:r>
          </w:p>
          <w:p>
            <w:pPr>
              <w:pStyle w:val="6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bCs/>
                <w:color w:val="auto"/>
                <w:sz w:val="24"/>
                <w:szCs w:val="32"/>
              </w:rPr>
            </w:pPr>
            <w:r>
              <w:rPr>
                <w:rFonts w:hint="eastAsia" w:ascii="Times New Roman" w:hAnsi="Times New Roman"/>
                <w:bCs/>
                <w:color w:val="auto"/>
                <w:sz w:val="24"/>
                <w:szCs w:val="32"/>
              </w:rPr>
              <w:t>生活垃圾：施工期生活垃圾产生量估算约为10.8kg/d。施工地产生的生活垃圾可在工地设置生活垃圾箱，经收集后，运往环卫部门指定乡村垃圾收集点。</w:t>
            </w:r>
          </w:p>
          <w:p>
            <w:pPr>
              <w:pStyle w:val="6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bCs/>
                <w:color w:val="auto"/>
                <w:szCs w:val="24"/>
              </w:rPr>
            </w:pPr>
            <w:r>
              <w:rPr>
                <w:rFonts w:hint="eastAsia" w:ascii="Times New Roman" w:hAnsi="Times New Roman"/>
                <w:bCs/>
                <w:color w:val="auto"/>
                <w:sz w:val="24"/>
                <w:szCs w:val="32"/>
              </w:rPr>
              <w:t>只要严格落实上述处理措施，施工中产生的固体废物不会对环境产生不良影响。</w:t>
            </w:r>
          </w:p>
          <w:p>
            <w:pPr>
              <w:pStyle w:val="65"/>
              <w:pageBreakBefore w:val="0"/>
              <w:widowControl w:val="0"/>
              <w:kinsoku/>
              <w:wordWrap/>
              <w:overflowPunct/>
              <w:topLinePunct w:val="0"/>
              <w:bidi w:val="0"/>
              <w:spacing w:line="360" w:lineRule="auto"/>
              <w:ind w:firstLine="482" w:firstLineChars="200"/>
              <w:textAlignment w:val="auto"/>
              <w:rPr>
                <w:rFonts w:eastAsiaTheme="minorEastAsia"/>
                <w:color w:val="auto"/>
                <w:kern w:val="2"/>
                <w:sz w:val="24"/>
              </w:rPr>
            </w:pPr>
            <w:r>
              <w:rPr>
                <w:rFonts w:eastAsiaTheme="minorEastAsia"/>
                <w:color w:val="auto"/>
                <w:kern w:val="2"/>
                <w:sz w:val="24"/>
              </w:rPr>
              <w:t xml:space="preserve">7.1.5 </w:t>
            </w:r>
            <w:r>
              <w:rPr>
                <w:rFonts w:hint="eastAsia" w:eastAsiaTheme="minorEastAsia"/>
                <w:color w:val="auto"/>
                <w:kern w:val="2"/>
                <w:sz w:val="24"/>
              </w:rPr>
              <w:t>生态环境影响分析</w:t>
            </w:r>
          </w:p>
          <w:p>
            <w:pPr>
              <w:pStyle w:val="2"/>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olor w:val="auto"/>
                <w:sz w:val="24"/>
                <w:szCs w:val="24"/>
                <w:u w:val="none"/>
              </w:rPr>
            </w:pPr>
            <w:r>
              <w:rPr>
                <w:rFonts w:hint="eastAsia"/>
                <w:color w:val="auto"/>
                <w:lang w:eastAsia="zh-CN"/>
              </w:rPr>
              <w:t>本项目位于</w:t>
            </w:r>
            <w:r>
              <w:rPr>
                <w:rFonts w:hint="eastAsia" w:asciiTheme="minorEastAsia" w:hAnsiTheme="minorEastAsia" w:eastAsiaTheme="minorEastAsia" w:cstheme="minorEastAsia"/>
                <w:b w:val="0"/>
                <w:bCs/>
                <w:color w:val="auto"/>
                <w:sz w:val="24"/>
                <w:szCs w:val="24"/>
                <w:u w:val="none"/>
                <w:lang w:val="en-US" w:eastAsia="zh-CN"/>
              </w:rPr>
              <w:t>怀化市</w:t>
            </w:r>
            <w:r>
              <w:rPr>
                <w:rFonts w:hint="eastAsia" w:asciiTheme="minorEastAsia" w:hAnsiTheme="minorEastAsia" w:eastAsiaTheme="minorEastAsia" w:cstheme="minorEastAsia"/>
                <w:b w:val="0"/>
                <w:bCs/>
                <w:color w:val="auto"/>
                <w:sz w:val="24"/>
                <w:szCs w:val="24"/>
                <w:u w:val="none"/>
              </w:rPr>
              <w:t>洪江区长寨英明山</w:t>
            </w:r>
            <w:r>
              <w:rPr>
                <w:rFonts w:hint="eastAsia"/>
                <w:color w:val="auto"/>
              </w:rPr>
              <w:t>，厂区平整，施工期土方开挖较少。但本工程建设期施工仍会破坏地表植被，施工过程中产生的临时弃土若处置不当可能导致少量水土流失，或者形成弃土堆影响景观生态。为有效防止和补偿项目对生态的影响，临时弃土不应随意堆放，合理选择施工时期，避开多风、多雨季节施工，减少水土流失。做好绿化工作，精心设计场内绿化方案，完善景观美感</w:t>
            </w:r>
            <w:r>
              <w:rPr>
                <w:rFonts w:ascii="Times New Roman" w:cs="Times New Roman"/>
                <w:color w:val="auto"/>
                <w:spacing w:val="-2"/>
                <w:sz w:val="24"/>
                <w:szCs w:val="24"/>
                <w:u w:val="none"/>
              </w:rPr>
              <w:t>。</w:t>
            </w:r>
          </w:p>
          <w:p>
            <w:pPr>
              <w:adjustRightInd w:val="0"/>
              <w:snapToGrid w:val="0"/>
              <w:spacing w:line="360" w:lineRule="auto"/>
              <w:ind w:firstLine="480" w:firstLineChars="200"/>
              <w:rPr>
                <w:rFonts w:hint="eastAsia" w:ascii="Times New Roman" w:hAnsi="Times New Roman"/>
                <w:color w:val="auto"/>
                <w:sz w:val="24"/>
              </w:rPr>
            </w:pPr>
          </w:p>
          <w:p>
            <w:pPr>
              <w:adjustRightInd w:val="0"/>
              <w:snapToGrid w:val="0"/>
              <w:spacing w:line="360" w:lineRule="auto"/>
              <w:rPr>
                <w:rStyle w:val="27"/>
                <w:rFonts w:hint="eastAsia" w:eastAsia="宋体"/>
                <w:b w:val="0"/>
                <w:bCs w:val="0"/>
                <w:color w:val="auto"/>
                <w:sz w:val="24"/>
                <w:szCs w:val="22"/>
              </w:rPr>
            </w:pPr>
            <w:r>
              <w:rPr>
                <w:rStyle w:val="27"/>
                <w:rFonts w:hint="default" w:ascii="Times New Roman" w:hAnsi="Times New Roman" w:cs="Times New Roman"/>
                <w:color w:val="auto"/>
                <w:szCs w:val="28"/>
                <w:lang w:eastAsia="zh-CN"/>
              </w:rPr>
              <w:t>二、</w:t>
            </w:r>
            <w:r>
              <w:rPr>
                <w:rStyle w:val="27"/>
                <w:rFonts w:hint="eastAsia" w:eastAsia="宋体"/>
                <w:color w:val="auto"/>
                <w:szCs w:val="28"/>
              </w:rPr>
              <w:t>营运期环境影响分析</w:t>
            </w:r>
          </w:p>
          <w:p>
            <w:pPr>
              <w:pStyle w:val="33"/>
              <w:tabs>
                <w:tab w:val="left" w:pos="3720"/>
              </w:tabs>
              <w:ind w:firstLine="0" w:firstLineChars="0"/>
              <w:rPr>
                <w:rFonts w:hint="eastAsia" w:ascii="Times New Roman" w:hAnsi="Times New Roman" w:cs="Times New Roman"/>
                <w:b/>
                <w:color w:val="auto"/>
                <w:kern w:val="0"/>
                <w:szCs w:val="24"/>
              </w:rPr>
            </w:pPr>
            <w:r>
              <w:rPr>
                <w:rFonts w:hint="eastAsia" w:ascii="Times New Roman" w:hAnsi="Times New Roman" w:cs="Times New Roman"/>
                <w:b/>
                <w:color w:val="auto"/>
                <w:kern w:val="0"/>
                <w:szCs w:val="24"/>
              </w:rPr>
              <w:t>1</w:t>
            </w:r>
            <w:r>
              <w:rPr>
                <w:rFonts w:hint="eastAsia" w:hAnsi="Times New Roman" w:cs="Times New Roman"/>
                <w:b/>
                <w:color w:val="auto"/>
                <w:kern w:val="0"/>
                <w:szCs w:val="24"/>
                <w:lang w:eastAsia="zh-CN"/>
              </w:rPr>
              <w:t>、</w:t>
            </w:r>
            <w:r>
              <w:rPr>
                <w:rFonts w:hint="eastAsia" w:ascii="Times New Roman" w:hAnsi="Times New Roman" w:cs="Times New Roman"/>
                <w:b/>
                <w:color w:val="auto"/>
                <w:kern w:val="0"/>
                <w:szCs w:val="24"/>
              </w:rPr>
              <w:t>营运期大气环境影响分析</w:t>
            </w:r>
          </w:p>
          <w:p>
            <w:pPr>
              <w:pStyle w:val="33"/>
              <w:tabs>
                <w:tab w:val="left" w:pos="3720"/>
              </w:tabs>
              <w:rPr>
                <w:rFonts w:hint="eastAsia" w:ascii="Times New Roman" w:hAnsi="Times New Roman" w:cs="Times New Roman"/>
                <w:color w:val="auto"/>
                <w:kern w:val="0"/>
                <w:szCs w:val="24"/>
              </w:rPr>
            </w:pPr>
            <w:r>
              <w:rPr>
                <w:rFonts w:hint="eastAsia" w:ascii="Times New Roman" w:hAnsi="Times New Roman" w:cs="Times New Roman"/>
                <w:color w:val="auto"/>
                <w:kern w:val="0"/>
                <w:szCs w:val="24"/>
              </w:rPr>
              <w:t>项目废气污染源主要包括粉碎粉尘、制棒废气、烘干废气、炭化废气。</w:t>
            </w:r>
          </w:p>
          <w:p>
            <w:pPr>
              <w:pStyle w:val="33"/>
              <w:tabs>
                <w:tab w:val="left" w:pos="3720"/>
              </w:tabs>
              <w:ind w:firstLine="0" w:firstLineChars="0"/>
              <w:rPr>
                <w:rFonts w:hint="eastAsia" w:ascii="Times New Roman" w:hAnsi="Times New Roman" w:cs="Times New Roman"/>
                <w:b/>
                <w:bCs/>
                <w:color w:val="auto"/>
                <w:kern w:val="0"/>
                <w:szCs w:val="24"/>
              </w:rPr>
            </w:pPr>
            <w:r>
              <w:rPr>
                <w:rFonts w:hint="eastAsia" w:ascii="Times New Roman" w:hAnsi="Times New Roman" w:cs="Times New Roman"/>
                <w:b/>
                <w:bCs/>
                <w:color w:val="auto"/>
                <w:kern w:val="0"/>
                <w:szCs w:val="24"/>
              </w:rPr>
              <w:t>1.1 运输、装卸粉尘</w:t>
            </w:r>
          </w:p>
          <w:p>
            <w:pPr>
              <w:pStyle w:val="33"/>
              <w:keepNext w:val="0"/>
              <w:keepLines w:val="0"/>
              <w:pageBreakBefore w:val="0"/>
              <w:widowControl w:val="0"/>
              <w:tabs>
                <w:tab w:val="left" w:pos="3720"/>
              </w:tabs>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bCs/>
                <w:color w:val="auto"/>
                <w:kern w:val="0"/>
                <w:szCs w:val="24"/>
                <w:lang w:val="en-US" w:eastAsia="zh-CN"/>
              </w:rPr>
            </w:pPr>
            <w:r>
              <w:rPr>
                <w:bCs/>
                <w:color w:val="auto"/>
                <w:sz w:val="24"/>
              </w:rPr>
              <w:t>项目原料进厂</w:t>
            </w:r>
            <w:r>
              <w:rPr>
                <w:color w:val="auto"/>
                <w:sz w:val="24"/>
              </w:rPr>
              <w:t>原料堆卸、上料（如原料送入粉碎后的竹木屑粉经总料斗被送入每台制棒机分料斗过程）会有少量粉尘产生</w:t>
            </w:r>
            <w:r>
              <w:rPr>
                <w:bCs/>
                <w:color w:val="auto"/>
                <w:sz w:val="24"/>
              </w:rPr>
              <w:t>。根据建设单位提供资料，本项目原料大多为木块、竹块，且含水量约为40%，上述过程中产生的粉尘较少，并容易在车间内沉降。</w:t>
            </w:r>
            <w:r>
              <w:rPr>
                <w:rStyle w:val="63"/>
                <w:rFonts w:ascii="Times New Roman" w:hAnsi="Times New Roman" w:cs="Times New Roman"/>
                <w:color w:val="auto"/>
              </w:rPr>
              <w:t>为进一步减少粉尘对周围环境的影响，本次环评要求建设单位应采取以下措施减轻项目无组织排放粉尘污染：</w:t>
            </w:r>
            <w:r>
              <w:rPr>
                <w:rStyle w:val="63"/>
                <w:rFonts w:hint="eastAsia"/>
                <w:color w:val="auto"/>
              </w:rPr>
              <w:t>①</w:t>
            </w:r>
            <w:r>
              <w:rPr>
                <w:rStyle w:val="63"/>
                <w:rFonts w:ascii="Times New Roman" w:hAnsi="Times New Roman" w:cs="Times New Roman"/>
                <w:color w:val="auto"/>
              </w:rPr>
              <w:t>定期清扫，洒水抑尘，保持车间及原料堆场、道路路面清洁，减少二次扬尘；</w:t>
            </w:r>
            <w:r>
              <w:rPr>
                <w:rStyle w:val="63"/>
                <w:rFonts w:hint="eastAsia"/>
                <w:color w:val="auto"/>
              </w:rPr>
              <w:t>②</w:t>
            </w:r>
            <w:r>
              <w:rPr>
                <w:rStyle w:val="63"/>
                <w:rFonts w:ascii="Times New Roman" w:hAnsi="Times New Roman" w:cs="Times New Roman"/>
                <w:color w:val="auto"/>
              </w:rPr>
              <w:t>原料仓库、生产车间、产品仓库均采取封闭式厂房；</w:t>
            </w:r>
            <w:r>
              <w:rPr>
                <w:color w:val="auto"/>
                <w:sz w:val="24"/>
              </w:rPr>
              <w:t>采取上述措施后， 对周边大气环境影响较小</w:t>
            </w:r>
            <w:r>
              <w:rPr>
                <w:rFonts w:hint="eastAsia"/>
                <w:bCs/>
                <w:color w:val="auto"/>
                <w:sz w:val="24"/>
                <w:lang w:eastAsia="zh-CN"/>
              </w:rPr>
              <w:t>。</w:t>
            </w:r>
          </w:p>
          <w:p>
            <w:pPr>
              <w:pStyle w:val="33"/>
              <w:tabs>
                <w:tab w:val="left" w:pos="3720"/>
              </w:tabs>
              <w:ind w:firstLine="0" w:firstLineChars="0"/>
              <w:rPr>
                <w:rFonts w:hint="eastAsia" w:ascii="Times New Roman" w:hAnsi="Times New Roman" w:cs="Times New Roman"/>
                <w:b/>
                <w:bCs/>
                <w:color w:val="auto"/>
                <w:kern w:val="0"/>
                <w:szCs w:val="24"/>
              </w:rPr>
            </w:pPr>
            <w:r>
              <w:rPr>
                <w:rFonts w:hint="eastAsia" w:ascii="Times New Roman" w:hAnsi="Times New Roman" w:cs="Times New Roman"/>
                <w:b/>
                <w:bCs/>
                <w:color w:val="auto"/>
                <w:kern w:val="0"/>
                <w:szCs w:val="24"/>
              </w:rPr>
              <w:t>1.</w:t>
            </w:r>
            <w:r>
              <w:rPr>
                <w:rFonts w:hint="eastAsia" w:hAnsi="Times New Roman" w:cs="Times New Roman"/>
                <w:b/>
                <w:bCs/>
                <w:color w:val="auto"/>
                <w:kern w:val="0"/>
                <w:szCs w:val="24"/>
                <w:lang w:val="en-US" w:eastAsia="zh-CN"/>
              </w:rPr>
              <w:t>2</w:t>
            </w:r>
            <w:r>
              <w:rPr>
                <w:rFonts w:hint="eastAsia" w:ascii="Times New Roman" w:hAnsi="Times New Roman" w:cs="Times New Roman"/>
                <w:b/>
                <w:bCs/>
                <w:color w:val="auto"/>
                <w:kern w:val="0"/>
                <w:szCs w:val="24"/>
              </w:rPr>
              <w:t xml:space="preserve"> 粉碎粉尘、制棒废气、烘干废气、炭化废气</w:t>
            </w:r>
          </w:p>
          <w:p>
            <w:pPr>
              <w:pStyle w:val="2"/>
              <w:spacing w:line="360" w:lineRule="auto"/>
              <w:ind w:firstLine="480" w:firstLineChars="200"/>
              <w:jc w:val="both"/>
              <w:rPr>
                <w:rFonts w:ascii="Times New Roman" w:hAnsi="Times New Roman" w:eastAsia="宋体" w:cs="Times New Roman"/>
                <w:color w:val="auto"/>
                <w:szCs w:val="24"/>
              </w:rPr>
            </w:pPr>
            <w:r>
              <w:rPr>
                <w:rFonts w:ascii="Times New Roman" w:hAnsi="Times New Roman" w:eastAsia="宋体" w:cs="Times New Roman"/>
                <w:color w:val="auto"/>
                <w:szCs w:val="24"/>
              </w:rPr>
              <w:t>（1）污染影响分析</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制棒废气防治措施</w:t>
            </w:r>
          </w:p>
          <w:p>
            <w:pPr>
              <w:pStyle w:val="33"/>
              <w:keepNext w:val="0"/>
              <w:keepLines w:val="0"/>
              <w:pageBreakBefore w:val="0"/>
              <w:widowControl w:val="0"/>
              <w:tabs>
                <w:tab w:val="left" w:pos="3720"/>
              </w:tabs>
              <w:kinsoku/>
              <w:wordWrap/>
              <w:overflowPunct/>
              <w:topLinePunct w:val="0"/>
              <w:autoSpaceDE/>
              <w:autoSpaceDN/>
              <w:bidi w:val="0"/>
              <w:adjustRightInd/>
              <w:snapToGrid/>
              <w:ind w:left="0" w:leftChars="0" w:firstLine="480" w:firstLineChars="200"/>
              <w:textAlignment w:val="auto"/>
              <w:rPr>
                <w:rFonts w:hint="eastAsia" w:eastAsia="宋体"/>
                <w:color w:val="auto"/>
                <w:sz w:val="24"/>
                <w:u w:val="none"/>
                <w:lang w:val="en-US" w:eastAsia="zh-CN"/>
              </w:rPr>
            </w:pPr>
            <w:r>
              <w:rPr>
                <w:color w:val="auto"/>
                <w:sz w:val="24"/>
                <w:u w:val="none"/>
              </w:rPr>
              <w:t>本</w:t>
            </w:r>
            <w:r>
              <w:rPr>
                <w:rFonts w:hint="eastAsia"/>
                <w:color w:val="auto"/>
                <w:sz w:val="24"/>
                <w:u w:val="none"/>
              </w:rPr>
              <w:t>工序产生的粉尘主要是制棒机制棒时产生的粉尘</w:t>
            </w:r>
            <w:r>
              <w:rPr>
                <w:color w:val="auto"/>
                <w:sz w:val="24"/>
                <w:u w:val="none"/>
              </w:rPr>
              <w:t>，</w:t>
            </w:r>
            <w:r>
              <w:rPr>
                <w:rFonts w:hint="eastAsia"/>
                <w:color w:val="auto"/>
                <w:sz w:val="24"/>
                <w:u w:val="none"/>
              </w:rPr>
              <w:t>根据业主提供资料和</w:t>
            </w:r>
            <w:r>
              <w:rPr>
                <w:color w:val="auto"/>
                <w:sz w:val="24"/>
                <w:u w:val="none"/>
              </w:rPr>
              <w:t>类比</w:t>
            </w:r>
            <w:r>
              <w:rPr>
                <w:rFonts w:hint="eastAsia"/>
                <w:color w:val="auto"/>
                <w:sz w:val="24"/>
                <w:u w:val="none"/>
              </w:rPr>
              <w:t>同类项目，制棒成型阶段产生的粉尘为年产量的0.26%</w:t>
            </w:r>
            <w:r>
              <w:rPr>
                <w:color w:val="auto"/>
                <w:sz w:val="24"/>
                <w:u w:val="none"/>
              </w:rPr>
              <w:t>，</w:t>
            </w:r>
            <w:r>
              <w:rPr>
                <w:rFonts w:hint="eastAsia"/>
                <w:color w:val="auto"/>
                <w:sz w:val="24"/>
                <w:u w:val="none"/>
              </w:rPr>
              <w:t>项目年产机制木炭</w:t>
            </w:r>
            <w:r>
              <w:rPr>
                <w:rFonts w:hint="eastAsia"/>
                <w:color w:val="auto"/>
                <w:sz w:val="24"/>
                <w:u w:val="none"/>
                <w:lang w:val="en-US" w:eastAsia="zh-CN"/>
              </w:rPr>
              <w:t>3</w:t>
            </w:r>
            <w:r>
              <w:rPr>
                <w:rFonts w:hint="eastAsia"/>
                <w:color w:val="auto"/>
                <w:sz w:val="24"/>
                <w:u w:val="none"/>
              </w:rPr>
              <w:t>000t，因此本工序</w:t>
            </w:r>
            <w:r>
              <w:rPr>
                <w:color w:val="auto"/>
                <w:sz w:val="24"/>
                <w:u w:val="none"/>
              </w:rPr>
              <w:t>粉尘产生量约为</w:t>
            </w:r>
            <w:r>
              <w:rPr>
                <w:rFonts w:hint="eastAsia"/>
                <w:color w:val="auto"/>
                <w:sz w:val="24"/>
                <w:u w:val="none"/>
                <w:lang w:val="en-US" w:eastAsia="zh-CN"/>
              </w:rPr>
              <w:t>7.8</w:t>
            </w:r>
            <w:r>
              <w:rPr>
                <w:color w:val="auto"/>
                <w:sz w:val="24"/>
                <w:u w:val="none"/>
              </w:rPr>
              <w:t>t/a，制棒设备在出料口处安装集气罩（集气罩效率不小于90%）对含尘废气进行收集，</w:t>
            </w:r>
            <w:r>
              <w:rPr>
                <w:rFonts w:hint="eastAsia"/>
                <w:color w:val="auto"/>
                <w:sz w:val="24"/>
                <w:u w:val="none"/>
              </w:rPr>
              <w:t>则经集气罩收集到的粉尘量为</w:t>
            </w:r>
            <w:r>
              <w:rPr>
                <w:rFonts w:hint="eastAsia"/>
                <w:color w:val="auto"/>
                <w:sz w:val="24"/>
                <w:u w:val="none"/>
                <w:lang w:val="en-US" w:eastAsia="zh-CN"/>
              </w:rPr>
              <w:t>7.02</w:t>
            </w:r>
            <w:r>
              <w:rPr>
                <w:rFonts w:hint="eastAsia"/>
                <w:color w:val="auto"/>
                <w:sz w:val="24"/>
                <w:u w:val="none"/>
              </w:rPr>
              <w:t>t/a。收集到的粉尘经风机通入</w:t>
            </w:r>
            <w:r>
              <w:rPr>
                <w:color w:val="auto"/>
                <w:sz w:val="24"/>
              </w:rPr>
              <w:t>烘干炉</w:t>
            </w:r>
            <w:r>
              <w:rPr>
                <w:rFonts w:hint="eastAsia"/>
                <w:color w:val="auto"/>
                <w:sz w:val="24"/>
                <w:u w:val="none"/>
              </w:rPr>
              <w:t>内作为生物质燃料燃烧使用，未收集的粉尘量为</w:t>
            </w:r>
            <w:r>
              <w:rPr>
                <w:rFonts w:hint="eastAsia"/>
                <w:color w:val="auto"/>
                <w:sz w:val="24"/>
                <w:u w:val="single"/>
              </w:rPr>
              <w:t>0.</w:t>
            </w:r>
            <w:r>
              <w:rPr>
                <w:rFonts w:hint="eastAsia"/>
                <w:color w:val="auto"/>
                <w:sz w:val="24"/>
                <w:u w:val="single"/>
                <w:lang w:val="en-US" w:eastAsia="zh-CN"/>
              </w:rPr>
              <w:t>78</w:t>
            </w:r>
            <w:r>
              <w:rPr>
                <w:rFonts w:hint="eastAsia"/>
                <w:color w:val="auto"/>
                <w:sz w:val="24"/>
                <w:u w:val="none"/>
              </w:rPr>
              <w:t>t/a，无组织排放于车间内</w:t>
            </w:r>
            <w:r>
              <w:rPr>
                <w:rFonts w:hint="eastAsia"/>
                <w:color w:val="auto"/>
                <w:sz w:val="24"/>
                <w:u w:val="none"/>
                <w:lang w:val="en-US" w:eastAsia="zh-CN"/>
              </w:rPr>
              <w:t>。</w:t>
            </w:r>
          </w:p>
          <w:p>
            <w:pPr>
              <w:pStyle w:val="33"/>
              <w:tabs>
                <w:tab w:val="left" w:pos="3720"/>
              </w:tabs>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int="eastAsia" w:ascii="宋体" w:hAnsi="宋体" w:cs="宋体"/>
                <w:color w:val="auto"/>
                <w:sz w:val="24"/>
              </w:rPr>
              <w:t>②</w:t>
            </w:r>
            <w:r>
              <w:rPr>
                <w:color w:val="auto"/>
                <w:sz w:val="24"/>
              </w:rPr>
              <w:fldChar w:fldCharType="end"/>
            </w:r>
            <w:r>
              <w:rPr>
                <w:rFonts w:hint="eastAsia" w:ascii="Times New Roman" w:hAnsi="Times New Roman" w:cs="Times New Roman"/>
                <w:color w:val="auto"/>
                <w:kern w:val="0"/>
                <w:szCs w:val="24"/>
              </w:rPr>
              <w:t>粉碎粉尘</w:t>
            </w:r>
          </w:p>
          <w:p>
            <w:pPr>
              <w:spacing w:line="360" w:lineRule="auto"/>
              <w:ind w:firstLine="480" w:firstLineChars="200"/>
              <w:jc w:val="both"/>
              <w:rPr>
                <w:rFonts w:hint="default" w:ascii="Times New Roman" w:hAnsi="Times New Roman" w:eastAsia="宋体" w:cs="Times New Roman"/>
                <w:color w:val="auto"/>
                <w:kern w:val="0"/>
                <w:szCs w:val="24"/>
                <w:u w:val="none"/>
                <w:lang w:val="en-US" w:eastAsia="zh-CN"/>
              </w:rPr>
            </w:pPr>
            <w:r>
              <w:rPr>
                <w:rFonts w:hAnsi="宋体"/>
                <w:color w:val="auto"/>
                <w:sz w:val="24"/>
              </w:rPr>
              <w:t>烘干后的物料经固气分离装置收集，由底部出口进入粉碎机（为密闭设备）粉碎，粉碎后的物料由风机输送至烘干料料仓内，粉碎产生的粉尘由管道收集后</w:t>
            </w:r>
            <w:r>
              <w:rPr>
                <w:rFonts w:hint="eastAsia"/>
                <w:color w:val="auto"/>
                <w:sz w:val="24"/>
                <w:lang w:eastAsia="zh-CN"/>
              </w:rPr>
              <w:t>排入水雾除尘器</w:t>
            </w:r>
            <w:r>
              <w:rPr>
                <w:rFonts w:hint="eastAsia"/>
                <w:color w:val="auto"/>
                <w:sz w:val="24"/>
                <w:lang w:val="en-US" w:eastAsia="zh-CN"/>
              </w:rPr>
              <w:t>+静电除尘器</w:t>
            </w:r>
            <w:r>
              <w:rPr>
                <w:color w:val="auto"/>
                <w:sz w:val="24"/>
              </w:rPr>
              <w:t>处理后经</w:t>
            </w:r>
            <w:r>
              <w:rPr>
                <w:rFonts w:hint="eastAsia"/>
                <w:color w:val="auto"/>
                <w:sz w:val="24"/>
                <w:lang w:val="en-US" w:eastAsia="zh-CN"/>
              </w:rPr>
              <w:t>15</w:t>
            </w:r>
            <w:r>
              <w:rPr>
                <w:color w:val="auto"/>
                <w:sz w:val="24"/>
              </w:rPr>
              <w:t>m排气筒排放</w:t>
            </w:r>
            <w:r>
              <w:rPr>
                <w:rFonts w:hint="eastAsia" w:hAnsi="Times New Roman" w:cs="Times New Roman"/>
                <w:color w:val="auto"/>
                <w:kern w:val="0"/>
                <w:szCs w:val="24"/>
                <w:u w:val="none"/>
                <w:lang w:val="en-US" w:eastAsia="zh-CN"/>
              </w:rPr>
              <w:t>。</w:t>
            </w:r>
            <w:r>
              <w:rPr>
                <w:color w:val="auto"/>
                <w:sz w:val="24"/>
              </w:rPr>
              <w:t>粉碎粉尘产生量约0.45t/a。</w:t>
            </w:r>
            <w:r>
              <w:rPr>
                <w:rFonts w:hint="eastAsia"/>
                <w:color w:val="auto"/>
                <w:sz w:val="24"/>
              </w:rPr>
              <w:t>水雾</w:t>
            </w:r>
            <w:r>
              <w:rPr>
                <w:rFonts w:hint="eastAsia"/>
                <w:color w:val="auto"/>
                <w:sz w:val="24"/>
                <w:lang w:eastAsia="zh-CN"/>
              </w:rPr>
              <w:t>除尘器</w:t>
            </w:r>
            <w:r>
              <w:rPr>
                <w:color w:val="auto"/>
                <w:sz w:val="24"/>
              </w:rPr>
              <w:t>除尘效率取9</w:t>
            </w:r>
            <w:r>
              <w:rPr>
                <w:rFonts w:hint="eastAsia"/>
                <w:color w:val="auto"/>
                <w:sz w:val="24"/>
                <w:lang w:val="en-US" w:eastAsia="zh-CN"/>
              </w:rPr>
              <w:t>0</w:t>
            </w:r>
            <w:r>
              <w:rPr>
                <w:color w:val="auto"/>
                <w:sz w:val="24"/>
              </w:rPr>
              <w:t>％</w:t>
            </w:r>
            <w:r>
              <w:rPr>
                <w:rFonts w:hint="eastAsia"/>
                <w:color w:val="auto"/>
                <w:sz w:val="24"/>
                <w:lang w:eastAsia="zh-CN"/>
              </w:rPr>
              <w:t>、静电除尘器的处理效率取</w:t>
            </w:r>
            <w:r>
              <w:rPr>
                <w:rFonts w:hint="eastAsia"/>
                <w:color w:val="auto"/>
                <w:sz w:val="24"/>
                <w:lang w:val="en-US" w:eastAsia="zh-CN"/>
              </w:rPr>
              <w:t>95%，粉尘排放量为0.0023t/a</w:t>
            </w:r>
            <w:r>
              <w:rPr>
                <w:rFonts w:hint="eastAsia"/>
                <w:color w:val="auto"/>
                <w:sz w:val="24"/>
                <w:lang w:eastAsia="zh-CN"/>
              </w:rPr>
              <w:t>。</w:t>
            </w:r>
          </w:p>
          <w:p>
            <w:pPr>
              <w:pStyle w:val="33"/>
              <w:tabs>
                <w:tab w:val="left" w:pos="3720"/>
              </w:tabs>
              <w:rPr>
                <w:rFonts w:hint="eastAsia" w:ascii="Times New Roman" w:hAnsi="Times New Roman" w:cs="Times New Roman"/>
                <w:color w:val="auto"/>
                <w:kern w:val="0"/>
                <w:szCs w:val="24"/>
                <w:u w:val="none"/>
              </w:rPr>
            </w:pPr>
            <w:r>
              <w:rPr>
                <w:rFonts w:hint="eastAsia" w:ascii="Times New Roman" w:hAnsi="Times New Roman" w:cs="Times New Roman"/>
                <w:color w:val="auto"/>
                <w:kern w:val="0"/>
                <w:szCs w:val="24"/>
                <w:u w:val="none"/>
              </w:rPr>
              <w:fldChar w:fldCharType="begin"/>
            </w:r>
            <w:r>
              <w:rPr>
                <w:rFonts w:hint="eastAsia" w:ascii="Times New Roman" w:hAnsi="Times New Roman" w:cs="Times New Roman"/>
                <w:color w:val="auto"/>
                <w:kern w:val="0"/>
                <w:szCs w:val="24"/>
                <w:u w:val="none"/>
              </w:rPr>
              <w:instrText xml:space="preserve"> = 3 \* GB3 \* MERGEFORMAT </w:instrText>
            </w:r>
            <w:r>
              <w:rPr>
                <w:rFonts w:hint="eastAsia" w:ascii="Times New Roman" w:hAnsi="Times New Roman" w:cs="Times New Roman"/>
                <w:color w:val="auto"/>
                <w:kern w:val="0"/>
                <w:szCs w:val="24"/>
                <w:u w:val="none"/>
              </w:rPr>
              <w:fldChar w:fldCharType="separate"/>
            </w:r>
            <w:r>
              <w:rPr>
                <w:color w:val="auto"/>
              </w:rPr>
              <w:t>③</w:t>
            </w:r>
            <w:r>
              <w:rPr>
                <w:rFonts w:hint="eastAsia" w:ascii="Times New Roman" w:hAnsi="Times New Roman" w:cs="Times New Roman"/>
                <w:color w:val="auto"/>
                <w:kern w:val="0"/>
                <w:szCs w:val="24"/>
                <w:u w:val="none"/>
              </w:rPr>
              <w:fldChar w:fldCharType="end"/>
            </w:r>
            <w:r>
              <w:rPr>
                <w:color w:val="auto"/>
                <w:sz w:val="24"/>
              </w:rPr>
              <w:t>炭化废气防治措施</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目前国内炭化废气采用的处理方法主要有冷凝法、直接燃烧法。焚烧法就是把炭化窑废气中可燃烧成分包括木煤气、木焦油、木醋液等通过焚烧装置高温分解进行无害化焚烧处理，在氧气充足的情况下高温燃烧产物为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和水，对环境影响较小。冷凝法是利用冷媒介将部分沸点较高的木焦油、木醋液初步冷凝成为液体，与木煤气分离。本项目采取</w:t>
            </w:r>
            <w:r>
              <w:rPr>
                <w:rFonts w:hint="default" w:ascii="Times New Roman" w:hAnsi="Times New Roman" w:eastAsia="宋体" w:cs="Times New Roman"/>
                <w:color w:val="auto"/>
                <w:sz w:val="24"/>
                <w:szCs w:val="24"/>
                <w:lang w:eastAsia="zh-CN"/>
              </w:rPr>
              <w:t>焚烧法处理炭化废气，炭化废气经保温烟道引至烘干机燃烧炉充分燃烧，有效利用可燃气，同时利用燃烧产生的高温分解粗木焦油和粗木醋液，炭化废气经完全燃烧后仅生成二氧化碳和水</w:t>
            </w:r>
            <w:r>
              <w:rPr>
                <w:rFonts w:hint="default" w:ascii="Times New Roman" w:hAnsi="Times New Roman" w:eastAsia="宋体" w:cs="Times New Roman"/>
                <w:color w:val="auto"/>
                <w:sz w:val="24"/>
                <w:szCs w:val="24"/>
              </w:rPr>
              <w:t>，基本不会改变烘干机燃烧炉原有大气污染物的排放情况</w:t>
            </w:r>
            <w:r>
              <w:rPr>
                <w:rFonts w:hint="default" w:ascii="Times New Roman" w:hAnsi="Times New Roman" w:eastAsia="宋体" w:cs="Times New Roman"/>
                <w:color w:val="auto"/>
                <w:sz w:val="24"/>
                <w:szCs w:val="24"/>
                <w:lang w:eastAsia="zh-CN"/>
              </w:rPr>
              <w:t>。</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将炭化窑产生的</w:t>
            </w:r>
            <w:r>
              <w:rPr>
                <w:rFonts w:hint="default" w:ascii="Times New Roman" w:hAnsi="Times New Roman" w:eastAsia="宋体" w:cs="Times New Roman"/>
                <w:color w:val="auto"/>
                <w:sz w:val="24"/>
                <w:szCs w:val="24"/>
              </w:rPr>
              <w:t>木煤气引入烘干炉燃烧，炭化废气得到了综合利用，且得到了妥善处理，对区域大气环境影响较小。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 4 \* GB3 \* MERGEFORMAT </w:instrText>
            </w:r>
            <w:r>
              <w:rPr>
                <w:rFonts w:hint="eastAsia"/>
                <w:color w:val="auto"/>
                <w:sz w:val="24"/>
                <w:szCs w:val="24"/>
                <w:lang w:eastAsia="zh-CN"/>
              </w:rPr>
              <w:fldChar w:fldCharType="separate"/>
            </w:r>
            <w:r>
              <w:rPr>
                <w:color w:val="auto"/>
                <w:sz w:val="24"/>
                <w:szCs w:val="24"/>
              </w:rPr>
              <w:t>④</w:t>
            </w:r>
            <w:r>
              <w:rPr>
                <w:rFonts w:hint="eastAsia"/>
                <w:color w:val="auto"/>
                <w:sz w:val="24"/>
                <w:szCs w:val="24"/>
                <w:lang w:eastAsia="zh-CN"/>
              </w:rPr>
              <w:fldChar w:fldCharType="end"/>
            </w:r>
            <w:r>
              <w:rPr>
                <w:color w:val="auto"/>
                <w:sz w:val="24"/>
              </w:rPr>
              <w:t>烘干废气防治措施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烘干废气包括烘干机内混合的烘干粉尘、生物质燃烧废气、木煤气燃烧废气，经烟气管道引入水雾</w:t>
            </w:r>
            <w:r>
              <w:rPr>
                <w:rFonts w:hint="eastAsia" w:ascii="Times New Roman" w:hAnsi="Times New Roman" w:eastAsia="宋体" w:cs="Times New Roman"/>
                <w:color w:val="auto"/>
                <w:sz w:val="24"/>
                <w:szCs w:val="24"/>
                <w:lang w:eastAsia="zh-CN"/>
              </w:rPr>
              <w:t>除尘器</w:t>
            </w:r>
            <w:r>
              <w:rPr>
                <w:rFonts w:hint="eastAsia" w:ascii="Times New Roman" w:hAnsi="Times New Roman" w:eastAsia="宋体" w:cs="Times New Roman"/>
                <w:color w:val="auto"/>
                <w:sz w:val="24"/>
                <w:szCs w:val="24"/>
                <w:lang w:val="en-US" w:eastAsia="zh-CN"/>
              </w:rPr>
              <w:t>+静电除尘</w:t>
            </w:r>
            <w:r>
              <w:rPr>
                <w:rFonts w:hint="default" w:ascii="Times New Roman" w:hAnsi="Times New Roman" w:eastAsia="宋体" w:cs="Times New Roman"/>
                <w:color w:val="auto"/>
                <w:sz w:val="24"/>
                <w:szCs w:val="24"/>
              </w:rPr>
              <w:t>系统处理后经</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m高排气筒排放。</w:t>
            </w:r>
          </w:p>
          <w:p>
            <w:pPr>
              <w:pStyle w:val="33"/>
              <w:keepNext w:val="0"/>
              <w:keepLines w:val="0"/>
              <w:pageBreakBefore w:val="0"/>
              <w:widowControl w:val="0"/>
              <w:tabs>
                <w:tab w:val="left" w:pos="3720"/>
              </w:tabs>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粉碎粉尘、炭化废气、烘干炉废气一同排入水雾除尘器</w:t>
            </w:r>
            <w:r>
              <w:rPr>
                <w:rFonts w:hint="eastAsia" w:ascii="Times New Roman" w:hAnsi="Times New Roman" w:eastAsia="宋体" w:cs="Times New Roman"/>
                <w:color w:val="auto"/>
                <w:sz w:val="24"/>
                <w:szCs w:val="24"/>
                <w:lang w:val="en-US" w:eastAsia="zh-CN"/>
              </w:rPr>
              <w:t>+静电除尘器处理后经15m排气筒排放。</w:t>
            </w:r>
            <w:r>
              <w:rPr>
                <w:rFonts w:hint="default" w:ascii="Times New Roman" w:hAnsi="Times New Roman" w:eastAsia="宋体" w:cs="Times New Roman"/>
                <w:color w:val="auto"/>
                <w:sz w:val="24"/>
                <w:szCs w:val="24"/>
              </w:rPr>
              <w:t>根据工程分析可知，</w:t>
            </w:r>
            <w:r>
              <w:rPr>
                <w:rFonts w:hint="default" w:ascii="Times New Roman" w:hAnsi="Times New Roman" w:eastAsia="宋体" w:cs="Times New Roman"/>
                <w:color w:val="auto"/>
                <w:sz w:val="24"/>
                <w:szCs w:val="24"/>
                <w:u w:val="single"/>
              </w:rPr>
              <w:t>废气处理前SO</w:t>
            </w:r>
            <w:r>
              <w:rPr>
                <w:rFonts w:hint="default" w:ascii="Times New Roman" w:hAnsi="Times New Roman" w:eastAsia="宋体" w:cs="Times New Roman"/>
                <w:color w:val="auto"/>
                <w:sz w:val="24"/>
                <w:szCs w:val="24"/>
                <w:u w:val="single"/>
                <w:vertAlign w:val="subscript"/>
              </w:rPr>
              <w:t>2</w:t>
            </w:r>
            <w:r>
              <w:rPr>
                <w:rStyle w:val="56"/>
                <w:rFonts w:hint="default" w:ascii="Times New Roman" w:hAnsi="Times New Roman" w:eastAsia="宋体" w:cs="Times New Roman"/>
                <w:color w:val="auto"/>
                <w:sz w:val="24"/>
                <w:szCs w:val="24"/>
                <w:u w:val="single"/>
              </w:rPr>
              <w:t>产生量</w:t>
            </w:r>
            <w:r>
              <w:rPr>
                <w:rFonts w:hint="eastAsia" w:hAnsi="Times New Roman" w:cs="Times New Roman"/>
                <w:color w:val="auto"/>
                <w:sz w:val="24"/>
                <w:szCs w:val="24"/>
                <w:u w:val="single"/>
                <w:lang w:val="en-US" w:eastAsia="zh-CN"/>
              </w:rPr>
              <w:t>1.455</w:t>
            </w:r>
            <w:r>
              <w:rPr>
                <w:rFonts w:hint="default" w:ascii="Times New Roman" w:hAnsi="Times New Roman" w:eastAsia="宋体" w:cs="Times New Roman"/>
                <w:color w:val="auto"/>
                <w:sz w:val="24"/>
                <w:szCs w:val="24"/>
                <w:u w:val="single"/>
              </w:rPr>
              <w:t>t/a</w:t>
            </w:r>
            <w:r>
              <w:rPr>
                <w:rStyle w:val="56"/>
                <w:rFonts w:hint="default" w:ascii="Times New Roman" w:hAnsi="Times New Roman" w:eastAsia="宋体" w:cs="Times New Roman"/>
                <w:color w:val="auto"/>
                <w:sz w:val="24"/>
                <w:szCs w:val="24"/>
                <w:u w:val="single"/>
              </w:rPr>
              <w:t>，</w:t>
            </w:r>
            <w:r>
              <w:rPr>
                <w:rFonts w:hint="default" w:ascii="Times New Roman" w:hAnsi="Times New Roman" w:eastAsia="宋体" w:cs="Times New Roman"/>
                <w:color w:val="auto"/>
                <w:sz w:val="24"/>
                <w:szCs w:val="24"/>
                <w:u w:val="single"/>
              </w:rPr>
              <w:t>NOx</w:t>
            </w:r>
            <w:r>
              <w:rPr>
                <w:rStyle w:val="56"/>
                <w:rFonts w:hint="default" w:ascii="Times New Roman" w:hAnsi="Times New Roman" w:eastAsia="宋体" w:cs="Times New Roman"/>
                <w:color w:val="auto"/>
                <w:sz w:val="24"/>
                <w:szCs w:val="24"/>
                <w:u w:val="single"/>
              </w:rPr>
              <w:t>产生量</w:t>
            </w:r>
            <w:r>
              <w:rPr>
                <w:rFonts w:hint="eastAsia" w:hAnsi="Times New Roman" w:cs="Times New Roman"/>
                <w:color w:val="auto"/>
                <w:sz w:val="24"/>
                <w:szCs w:val="24"/>
                <w:u w:val="single"/>
                <w:lang w:val="en-US" w:eastAsia="zh-CN"/>
              </w:rPr>
              <w:t>2.043</w:t>
            </w:r>
            <w:r>
              <w:rPr>
                <w:rFonts w:hint="default" w:ascii="Times New Roman" w:hAnsi="Times New Roman" w:eastAsia="宋体" w:cs="Times New Roman"/>
                <w:color w:val="auto"/>
                <w:sz w:val="24"/>
                <w:szCs w:val="24"/>
                <w:u w:val="single"/>
              </w:rPr>
              <w:t>t/a</w:t>
            </w:r>
            <w:r>
              <w:rPr>
                <w:rStyle w:val="56"/>
                <w:rFonts w:hint="default" w:ascii="Times New Roman" w:hAnsi="Times New Roman" w:eastAsia="宋体" w:cs="Times New Roman"/>
                <w:color w:val="auto"/>
                <w:sz w:val="24"/>
                <w:szCs w:val="24"/>
                <w:u w:val="single"/>
              </w:rPr>
              <w:t>；烟尘产生量</w:t>
            </w:r>
            <w:r>
              <w:rPr>
                <w:rFonts w:hint="eastAsia" w:hAnsi="Times New Roman" w:cs="Times New Roman"/>
                <w:color w:val="auto"/>
                <w:sz w:val="24"/>
                <w:szCs w:val="24"/>
                <w:u w:val="single"/>
                <w:lang w:val="en-US" w:eastAsia="zh-CN"/>
              </w:rPr>
              <w:t>36.81</w:t>
            </w:r>
            <w:r>
              <w:rPr>
                <w:rFonts w:hint="default" w:ascii="Times New Roman" w:hAnsi="Times New Roman" w:eastAsia="宋体" w:cs="Times New Roman"/>
                <w:color w:val="auto"/>
                <w:sz w:val="24"/>
                <w:szCs w:val="24"/>
                <w:u w:val="single"/>
              </w:rPr>
              <w:t>t/a</w:t>
            </w:r>
            <w:r>
              <w:rPr>
                <w:rFonts w:hint="default" w:ascii="Times New Roman" w:hAnsi="Times New Roman" w:eastAsia="宋体" w:cs="Times New Roman"/>
                <w:color w:val="auto"/>
                <w:sz w:val="24"/>
                <w:szCs w:val="24"/>
                <w:u w:val="single"/>
                <w:lang w:val="de-DE"/>
              </w:rPr>
              <w:t>，</w:t>
            </w:r>
            <w:r>
              <w:rPr>
                <w:rFonts w:hint="default" w:ascii="Times New Roman" w:hAnsi="Times New Roman" w:eastAsia="宋体" w:cs="Times New Roman"/>
                <w:color w:val="auto"/>
                <w:sz w:val="24"/>
                <w:szCs w:val="24"/>
                <w:u w:val="single"/>
              </w:rPr>
              <w:t>经水雾</w:t>
            </w:r>
            <w:r>
              <w:rPr>
                <w:rFonts w:hint="eastAsia" w:ascii="Times New Roman" w:hAnsi="Times New Roman" w:eastAsia="宋体" w:cs="Times New Roman"/>
                <w:color w:val="auto"/>
                <w:sz w:val="24"/>
                <w:szCs w:val="24"/>
                <w:u w:val="single"/>
                <w:lang w:eastAsia="zh-CN"/>
              </w:rPr>
              <w:t>除尘器</w:t>
            </w:r>
            <w:r>
              <w:rPr>
                <w:rFonts w:hint="eastAsia" w:ascii="Times New Roman" w:hAnsi="Times New Roman" w:eastAsia="宋体" w:cs="Times New Roman"/>
                <w:color w:val="auto"/>
                <w:sz w:val="24"/>
                <w:szCs w:val="24"/>
                <w:u w:val="single"/>
                <w:lang w:val="en-US" w:eastAsia="zh-CN"/>
              </w:rPr>
              <w:t>+静电除尘</w:t>
            </w:r>
            <w:r>
              <w:rPr>
                <w:rFonts w:hint="eastAsia" w:hAnsi="Times New Roman" w:eastAsia="宋体" w:cs="Times New Roman"/>
                <w:color w:val="auto"/>
                <w:sz w:val="24"/>
                <w:szCs w:val="24"/>
                <w:u w:val="single"/>
                <w:lang w:val="en-US" w:eastAsia="zh-CN"/>
              </w:rPr>
              <w:t>器</w:t>
            </w:r>
            <w:r>
              <w:rPr>
                <w:rFonts w:hint="default" w:ascii="Times New Roman" w:hAnsi="Times New Roman" w:eastAsia="宋体" w:cs="Times New Roman"/>
                <w:color w:val="auto"/>
                <w:sz w:val="24"/>
                <w:szCs w:val="24"/>
                <w:u w:val="single"/>
              </w:rPr>
              <w:t>处理后经</w:t>
            </w:r>
            <w:r>
              <w:rPr>
                <w:rFonts w:hint="eastAsia" w:ascii="Times New Roman" w:hAnsi="Times New Roman" w:eastAsia="宋体" w:cs="Times New Roman"/>
                <w:color w:val="auto"/>
                <w:sz w:val="24"/>
                <w:szCs w:val="24"/>
                <w:u w:val="single"/>
                <w:lang w:val="en-US" w:eastAsia="zh-CN"/>
              </w:rPr>
              <w:t>15</w:t>
            </w:r>
            <w:r>
              <w:rPr>
                <w:rFonts w:hint="default" w:ascii="Times New Roman" w:hAnsi="Times New Roman" w:eastAsia="宋体" w:cs="Times New Roman"/>
                <w:color w:val="auto"/>
                <w:sz w:val="24"/>
                <w:szCs w:val="24"/>
                <w:u w:val="single"/>
              </w:rPr>
              <w:t>m高排气筒排放，水雾</w:t>
            </w:r>
            <w:r>
              <w:rPr>
                <w:rFonts w:hint="eastAsia" w:ascii="Times New Roman" w:hAnsi="Times New Roman" w:eastAsia="宋体" w:cs="Times New Roman"/>
                <w:color w:val="auto"/>
                <w:sz w:val="24"/>
                <w:szCs w:val="24"/>
                <w:u w:val="single"/>
                <w:lang w:eastAsia="zh-CN"/>
              </w:rPr>
              <w:t>除尘器</w:t>
            </w:r>
            <w:r>
              <w:rPr>
                <w:rFonts w:hint="default" w:ascii="Times New Roman" w:hAnsi="Times New Roman" w:eastAsia="宋体" w:cs="Times New Roman"/>
                <w:color w:val="auto"/>
                <w:sz w:val="24"/>
                <w:szCs w:val="24"/>
                <w:u w:val="single"/>
              </w:rPr>
              <w:t>除尘效率取90%，</w:t>
            </w:r>
            <w:r>
              <w:rPr>
                <w:rFonts w:hint="eastAsia" w:ascii="Times New Roman" w:hAnsi="Times New Roman" w:eastAsia="宋体" w:cs="Times New Roman"/>
                <w:color w:val="auto"/>
                <w:sz w:val="24"/>
                <w:szCs w:val="24"/>
                <w:u w:val="single"/>
                <w:lang w:val="en-US" w:eastAsia="zh-CN"/>
              </w:rPr>
              <w:t>静电除尘</w:t>
            </w:r>
            <w:r>
              <w:rPr>
                <w:rFonts w:hint="eastAsia" w:hAnsi="Times New Roman" w:eastAsia="宋体" w:cs="Times New Roman"/>
                <w:color w:val="auto"/>
                <w:sz w:val="24"/>
                <w:szCs w:val="24"/>
                <w:u w:val="single"/>
                <w:lang w:val="en-US" w:eastAsia="zh-CN"/>
              </w:rPr>
              <w:t>器</w:t>
            </w:r>
            <w:r>
              <w:rPr>
                <w:rFonts w:hint="default" w:ascii="Times New Roman" w:hAnsi="Times New Roman" w:eastAsia="宋体" w:cs="Times New Roman"/>
                <w:color w:val="auto"/>
                <w:sz w:val="24"/>
                <w:szCs w:val="24"/>
                <w:u w:val="single"/>
              </w:rPr>
              <w:t>除尘效率取9</w:t>
            </w:r>
            <w:r>
              <w:rPr>
                <w:rFonts w:hint="eastAsia" w:hAnsi="Times New Roman" w:eastAsia="宋体" w:cs="Times New Roman"/>
                <w:color w:val="auto"/>
                <w:sz w:val="24"/>
                <w:szCs w:val="24"/>
                <w:u w:val="single"/>
                <w:lang w:val="en-US" w:eastAsia="zh-CN"/>
              </w:rPr>
              <w:t>5</w:t>
            </w:r>
            <w:r>
              <w:rPr>
                <w:rFonts w:hint="default" w:ascii="Times New Roman" w:hAnsi="Times New Roman" w:eastAsia="宋体" w:cs="Times New Roman"/>
                <w:color w:val="auto"/>
                <w:sz w:val="24"/>
                <w:szCs w:val="24"/>
                <w:u w:val="single"/>
              </w:rPr>
              <w:t>%，除SO</w:t>
            </w:r>
            <w:r>
              <w:rPr>
                <w:rFonts w:hint="default" w:ascii="Times New Roman" w:hAnsi="Times New Roman" w:eastAsia="宋体" w:cs="Times New Roman"/>
                <w:color w:val="auto"/>
                <w:sz w:val="24"/>
                <w:szCs w:val="24"/>
                <w:u w:val="single"/>
                <w:vertAlign w:val="subscript"/>
              </w:rPr>
              <w:t>2</w:t>
            </w:r>
            <w:r>
              <w:rPr>
                <w:rFonts w:hint="default" w:ascii="Times New Roman" w:hAnsi="Times New Roman" w:eastAsia="宋体" w:cs="Times New Roman"/>
                <w:color w:val="auto"/>
                <w:sz w:val="24"/>
                <w:szCs w:val="24"/>
                <w:u w:val="single"/>
              </w:rPr>
              <w:t>效率取15%处理后各污染物排放浓度及排放量分别为SO</w:t>
            </w:r>
            <w:r>
              <w:rPr>
                <w:rFonts w:hint="default" w:ascii="Times New Roman" w:hAnsi="Times New Roman" w:eastAsia="宋体" w:cs="Times New Roman"/>
                <w:color w:val="auto"/>
                <w:sz w:val="24"/>
                <w:szCs w:val="24"/>
                <w:u w:val="single"/>
                <w:vertAlign w:val="subscript"/>
              </w:rPr>
              <w:t>2</w:t>
            </w:r>
            <w:r>
              <w:rPr>
                <w:rStyle w:val="56"/>
                <w:rFonts w:hint="default" w:ascii="Times New Roman" w:hAnsi="Times New Roman" w:eastAsia="宋体" w:cs="Times New Roman"/>
                <w:color w:val="auto"/>
                <w:sz w:val="24"/>
                <w:szCs w:val="24"/>
                <w:u w:val="single"/>
              </w:rPr>
              <w:t>：</w:t>
            </w:r>
            <w:r>
              <w:rPr>
                <w:rFonts w:hint="eastAsia" w:hAnsi="Times New Roman" w:cs="Times New Roman"/>
                <w:color w:val="auto"/>
                <w:sz w:val="24"/>
                <w:szCs w:val="24"/>
                <w:u w:val="single"/>
                <w:lang w:val="en-US" w:eastAsia="zh-CN"/>
              </w:rPr>
              <w:t>6.36</w:t>
            </w:r>
            <w:r>
              <w:rPr>
                <w:rFonts w:hint="default" w:ascii="Times New Roman" w:hAnsi="Times New Roman" w:eastAsia="宋体" w:cs="Times New Roman"/>
                <w:color w:val="auto"/>
                <w:sz w:val="24"/>
                <w:szCs w:val="24"/>
                <w:u w:val="single"/>
                <w:lang w:val="de-DE"/>
              </w:rPr>
              <w:t>mg/m</w:t>
            </w:r>
            <w:r>
              <w:rPr>
                <w:rFonts w:hint="default" w:ascii="Times New Roman" w:hAnsi="Times New Roman" w:eastAsia="宋体" w:cs="Times New Roman"/>
                <w:color w:val="auto"/>
                <w:sz w:val="24"/>
                <w:szCs w:val="24"/>
                <w:u w:val="single"/>
                <w:vertAlign w:val="superscript"/>
                <w:lang w:val="de-DE"/>
              </w:rPr>
              <w:t>3</w:t>
            </w:r>
            <w:r>
              <w:rPr>
                <w:rFonts w:hint="default" w:ascii="Times New Roman" w:hAnsi="Times New Roman" w:eastAsia="宋体" w:cs="Times New Roman"/>
                <w:color w:val="auto"/>
                <w:sz w:val="24"/>
                <w:szCs w:val="24"/>
                <w:u w:val="single"/>
                <w:lang w:val="de-DE"/>
              </w:rPr>
              <w:t>、</w:t>
            </w:r>
            <w:r>
              <w:rPr>
                <w:rFonts w:hint="eastAsia" w:hAnsi="Times New Roman" w:cs="Times New Roman"/>
                <w:color w:val="auto"/>
                <w:sz w:val="24"/>
                <w:szCs w:val="24"/>
                <w:u w:val="single"/>
                <w:lang w:val="en-US" w:eastAsia="zh-CN"/>
              </w:rPr>
              <w:t>1.24</w:t>
            </w:r>
            <w:r>
              <w:rPr>
                <w:rFonts w:hint="default" w:ascii="Times New Roman" w:hAnsi="Times New Roman" w:eastAsia="宋体" w:cs="Times New Roman"/>
                <w:color w:val="auto"/>
                <w:sz w:val="24"/>
                <w:szCs w:val="24"/>
                <w:u w:val="single"/>
              </w:rPr>
              <w:t>t/a</w:t>
            </w:r>
            <w:r>
              <w:rPr>
                <w:rStyle w:val="56"/>
                <w:rFonts w:hint="default" w:ascii="Times New Roman" w:hAnsi="Times New Roman" w:eastAsia="宋体" w:cs="Times New Roman"/>
                <w:color w:val="auto"/>
                <w:sz w:val="24"/>
                <w:szCs w:val="24"/>
                <w:u w:val="single"/>
              </w:rPr>
              <w:t>（</w:t>
            </w:r>
            <w:r>
              <w:rPr>
                <w:rStyle w:val="56"/>
                <w:rFonts w:hint="eastAsia" w:hAnsi="Times New Roman" w:cs="Times New Roman"/>
                <w:color w:val="auto"/>
                <w:sz w:val="24"/>
                <w:szCs w:val="24"/>
                <w:u w:val="single"/>
                <w:lang w:val="en-US" w:eastAsia="zh-CN"/>
              </w:rPr>
              <w:t>0.17</w:t>
            </w:r>
            <w:r>
              <w:rPr>
                <w:rFonts w:hint="default" w:ascii="Times New Roman" w:hAnsi="Times New Roman" w:eastAsia="宋体" w:cs="Times New Roman"/>
                <w:color w:val="auto"/>
                <w:sz w:val="24"/>
                <w:szCs w:val="24"/>
                <w:u w:val="single"/>
              </w:rPr>
              <w:t>kg/h</w:t>
            </w:r>
            <w:r>
              <w:rPr>
                <w:rStyle w:val="56"/>
                <w:rFonts w:hint="default" w:ascii="Times New Roman" w:hAnsi="Times New Roman" w:eastAsia="宋体" w:cs="Times New Roman"/>
                <w:color w:val="auto"/>
                <w:sz w:val="24"/>
                <w:szCs w:val="24"/>
                <w:u w:val="single"/>
              </w:rPr>
              <w:t>），</w:t>
            </w:r>
            <w:r>
              <w:rPr>
                <w:rFonts w:hint="default" w:ascii="Times New Roman" w:hAnsi="Times New Roman" w:eastAsia="宋体" w:cs="Times New Roman"/>
                <w:color w:val="auto"/>
                <w:sz w:val="24"/>
                <w:szCs w:val="24"/>
                <w:u w:val="single"/>
              </w:rPr>
              <w:t>NOx</w:t>
            </w:r>
            <w:r>
              <w:rPr>
                <w:rStyle w:val="56"/>
                <w:rFonts w:hint="default" w:ascii="Times New Roman" w:hAnsi="Times New Roman" w:eastAsia="宋体" w:cs="Times New Roman"/>
                <w:color w:val="auto"/>
                <w:sz w:val="24"/>
                <w:szCs w:val="24"/>
                <w:u w:val="single"/>
              </w:rPr>
              <w:t>：</w:t>
            </w:r>
            <w:r>
              <w:rPr>
                <w:rFonts w:hint="eastAsia" w:hAnsi="Times New Roman" w:cs="Times New Roman"/>
                <w:color w:val="auto"/>
                <w:sz w:val="24"/>
                <w:szCs w:val="24"/>
                <w:u w:val="single"/>
                <w:lang w:val="en-US" w:eastAsia="zh-CN"/>
              </w:rPr>
              <w:t>10.51</w:t>
            </w:r>
            <w:r>
              <w:rPr>
                <w:rFonts w:hint="default" w:ascii="Times New Roman" w:hAnsi="Times New Roman" w:eastAsia="宋体" w:cs="Times New Roman"/>
                <w:color w:val="auto"/>
                <w:sz w:val="24"/>
                <w:szCs w:val="24"/>
                <w:u w:val="single"/>
                <w:lang w:val="de-DE"/>
              </w:rPr>
              <w:t>mg/m</w:t>
            </w:r>
            <w:r>
              <w:rPr>
                <w:rFonts w:hint="default" w:ascii="Times New Roman" w:hAnsi="Times New Roman" w:eastAsia="宋体" w:cs="Times New Roman"/>
                <w:color w:val="auto"/>
                <w:sz w:val="24"/>
                <w:szCs w:val="24"/>
                <w:u w:val="single"/>
                <w:vertAlign w:val="superscript"/>
                <w:lang w:val="de-DE"/>
              </w:rPr>
              <w:t>3</w:t>
            </w:r>
            <w:r>
              <w:rPr>
                <w:rFonts w:hint="default" w:ascii="Times New Roman" w:hAnsi="Times New Roman" w:eastAsia="宋体" w:cs="Times New Roman"/>
                <w:color w:val="auto"/>
                <w:sz w:val="24"/>
                <w:szCs w:val="24"/>
                <w:u w:val="single"/>
                <w:lang w:val="de-DE"/>
              </w:rPr>
              <w:t>、</w:t>
            </w:r>
            <w:r>
              <w:rPr>
                <w:rFonts w:hint="eastAsia" w:hAnsi="Times New Roman" w:cs="Times New Roman"/>
                <w:color w:val="auto"/>
                <w:sz w:val="24"/>
                <w:szCs w:val="24"/>
                <w:u w:val="single"/>
                <w:lang w:val="en-US" w:eastAsia="zh-CN"/>
              </w:rPr>
              <w:t>2.04</w:t>
            </w:r>
            <w:r>
              <w:rPr>
                <w:rFonts w:hint="default" w:ascii="Times New Roman" w:hAnsi="Times New Roman" w:eastAsia="宋体" w:cs="Times New Roman"/>
                <w:color w:val="auto"/>
                <w:sz w:val="24"/>
                <w:szCs w:val="24"/>
                <w:u w:val="single"/>
              </w:rPr>
              <w:t>t/a</w:t>
            </w:r>
            <w:r>
              <w:rPr>
                <w:rStyle w:val="56"/>
                <w:rFonts w:hint="default" w:ascii="Times New Roman" w:hAnsi="Times New Roman" w:eastAsia="宋体" w:cs="Times New Roman"/>
                <w:color w:val="auto"/>
                <w:sz w:val="24"/>
                <w:szCs w:val="24"/>
                <w:u w:val="single"/>
              </w:rPr>
              <w:t>（</w:t>
            </w:r>
            <w:r>
              <w:rPr>
                <w:rStyle w:val="56"/>
                <w:rFonts w:hint="eastAsia" w:hAnsi="Times New Roman" w:cs="Times New Roman"/>
                <w:color w:val="auto"/>
                <w:sz w:val="24"/>
                <w:szCs w:val="24"/>
                <w:u w:val="single"/>
                <w:lang w:val="en-US" w:eastAsia="zh-CN"/>
              </w:rPr>
              <w:t>0.284</w:t>
            </w:r>
            <w:r>
              <w:rPr>
                <w:rFonts w:hint="default" w:ascii="Times New Roman" w:hAnsi="Times New Roman" w:eastAsia="宋体" w:cs="Times New Roman"/>
                <w:color w:val="auto"/>
                <w:sz w:val="24"/>
                <w:szCs w:val="24"/>
                <w:u w:val="single"/>
              </w:rPr>
              <w:t>kg/h</w:t>
            </w:r>
            <w:r>
              <w:rPr>
                <w:rStyle w:val="56"/>
                <w:rFonts w:hint="default" w:ascii="Times New Roman" w:hAnsi="Times New Roman" w:eastAsia="宋体" w:cs="Times New Roman"/>
                <w:color w:val="auto"/>
                <w:sz w:val="24"/>
                <w:szCs w:val="24"/>
                <w:u w:val="single"/>
              </w:rPr>
              <w:t>），颗粒物：</w:t>
            </w:r>
            <w:r>
              <w:rPr>
                <w:rFonts w:hint="eastAsia" w:hAnsi="Times New Roman" w:cs="Times New Roman"/>
                <w:color w:val="auto"/>
                <w:sz w:val="24"/>
                <w:szCs w:val="24"/>
                <w:u w:val="single"/>
                <w:lang w:val="en-US" w:eastAsia="zh-CN"/>
              </w:rPr>
              <w:t>0.95</w:t>
            </w:r>
            <w:r>
              <w:rPr>
                <w:rFonts w:hint="default" w:ascii="Times New Roman" w:hAnsi="Times New Roman" w:eastAsia="宋体" w:cs="Times New Roman"/>
                <w:color w:val="auto"/>
                <w:sz w:val="24"/>
                <w:szCs w:val="24"/>
                <w:u w:val="single"/>
                <w:lang w:val="de-DE"/>
              </w:rPr>
              <w:t>mg/m</w:t>
            </w:r>
            <w:r>
              <w:rPr>
                <w:rFonts w:hint="default" w:ascii="Times New Roman" w:hAnsi="Times New Roman" w:eastAsia="宋体" w:cs="Times New Roman"/>
                <w:color w:val="auto"/>
                <w:sz w:val="24"/>
                <w:szCs w:val="24"/>
                <w:u w:val="single"/>
                <w:vertAlign w:val="superscript"/>
                <w:lang w:val="de-DE"/>
              </w:rPr>
              <w:t>3</w:t>
            </w:r>
            <w:r>
              <w:rPr>
                <w:rStyle w:val="56"/>
                <w:rFonts w:hint="default" w:ascii="Times New Roman" w:hAnsi="Times New Roman" w:eastAsia="宋体" w:cs="Times New Roman"/>
                <w:color w:val="auto"/>
                <w:sz w:val="24"/>
                <w:szCs w:val="24"/>
                <w:u w:val="single"/>
              </w:rPr>
              <w:t>、</w:t>
            </w:r>
            <w:r>
              <w:rPr>
                <w:rFonts w:hint="eastAsia" w:hAnsi="Times New Roman" w:cs="Times New Roman"/>
                <w:color w:val="auto"/>
                <w:sz w:val="24"/>
                <w:szCs w:val="24"/>
                <w:u w:val="single"/>
                <w:lang w:val="en-US" w:eastAsia="zh-CN"/>
              </w:rPr>
              <w:t>0.18</w:t>
            </w:r>
            <w:r>
              <w:rPr>
                <w:rFonts w:hint="default" w:ascii="Times New Roman" w:hAnsi="Times New Roman" w:eastAsia="宋体" w:cs="Times New Roman"/>
                <w:color w:val="auto"/>
                <w:sz w:val="24"/>
                <w:szCs w:val="24"/>
                <w:u w:val="single"/>
              </w:rPr>
              <w:t>t/a</w:t>
            </w:r>
            <w:r>
              <w:rPr>
                <w:rStyle w:val="56"/>
                <w:rFonts w:hint="default" w:ascii="Times New Roman" w:hAnsi="Times New Roman" w:eastAsia="宋体" w:cs="Times New Roman"/>
                <w:color w:val="auto"/>
                <w:sz w:val="24"/>
                <w:szCs w:val="24"/>
                <w:u w:val="single"/>
              </w:rPr>
              <w:t>（</w:t>
            </w:r>
            <w:r>
              <w:rPr>
                <w:rStyle w:val="56"/>
                <w:rFonts w:hint="eastAsia" w:hAnsi="Times New Roman" w:cs="Times New Roman"/>
                <w:color w:val="auto"/>
                <w:sz w:val="24"/>
                <w:szCs w:val="24"/>
                <w:u w:val="single"/>
                <w:lang w:val="en-US" w:eastAsia="zh-CN"/>
              </w:rPr>
              <w:t>0.026</w:t>
            </w:r>
            <w:r>
              <w:rPr>
                <w:rFonts w:hint="default" w:ascii="Times New Roman" w:hAnsi="Times New Roman" w:eastAsia="宋体" w:cs="Times New Roman"/>
                <w:color w:val="auto"/>
                <w:sz w:val="24"/>
                <w:szCs w:val="24"/>
                <w:u w:val="single"/>
              </w:rPr>
              <w:t>kg/h</w:t>
            </w:r>
            <w:r>
              <w:rPr>
                <w:rStyle w:val="56"/>
                <w:rFonts w:hint="default" w:ascii="Times New Roman" w:hAnsi="Times New Roman" w:eastAsia="宋体" w:cs="Times New Roman"/>
                <w:color w:val="auto"/>
                <w:sz w:val="24"/>
                <w:szCs w:val="24"/>
                <w:u w:val="single"/>
              </w:rPr>
              <w:t>），颗粒物排放</w:t>
            </w:r>
            <w:r>
              <w:rPr>
                <w:rFonts w:hint="default" w:ascii="Times New Roman" w:hAnsi="Times New Roman" w:eastAsia="宋体" w:cs="Times New Roman"/>
                <w:color w:val="auto"/>
                <w:sz w:val="24"/>
                <w:szCs w:val="24"/>
                <w:u w:val="single"/>
              </w:rPr>
              <w:t>满足《工业炉窑大气污染物排放标</w:t>
            </w:r>
            <w:r>
              <w:rPr>
                <w:rFonts w:hint="default" w:ascii="Times New Roman" w:hAnsi="Times New Roman" w:eastAsia="宋体" w:cs="Times New Roman"/>
                <w:color w:val="auto"/>
                <w:sz w:val="24"/>
                <w:szCs w:val="24"/>
              </w:rPr>
              <w:t>准》（GB9078-1996）表2中二级排放标准（200mg/</w:t>
            </w:r>
            <w:r>
              <w:rPr>
                <w:rFonts w:hint="default" w:ascii="Times New Roman" w:hAnsi="Times New Roman" w:eastAsia="宋体" w:cs="Times New Roman"/>
                <w:color w:val="auto"/>
                <w:sz w:val="24"/>
                <w:szCs w:val="24"/>
                <w:lang w:val="de-DE"/>
              </w:rPr>
              <w:t>m</w:t>
            </w:r>
            <w:r>
              <w:rPr>
                <w:rFonts w:hint="default" w:ascii="Times New Roman" w:hAnsi="Times New Roman" w:eastAsia="宋体" w:cs="Times New Roman"/>
                <w:color w:val="auto"/>
                <w:sz w:val="24"/>
                <w:szCs w:val="24"/>
                <w:vertAlign w:val="superscript"/>
                <w:lang w:val="de-DE"/>
              </w:rPr>
              <w:t>3</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、NOx排放浓度及排放速率均满足《大气污染物综合排放标准》（GB16297-1996）表2中二级标准要求（SO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：550mg/</w:t>
            </w:r>
            <w:r>
              <w:rPr>
                <w:rFonts w:hint="default" w:ascii="Times New Roman" w:hAnsi="Times New Roman" w:eastAsia="宋体" w:cs="Times New Roman"/>
                <w:color w:val="auto"/>
                <w:sz w:val="24"/>
                <w:szCs w:val="24"/>
                <w:lang w:val="de-DE"/>
              </w:rPr>
              <w:t>m</w:t>
            </w:r>
            <w:r>
              <w:rPr>
                <w:rFonts w:hint="default" w:ascii="Times New Roman" w:hAnsi="Times New Roman" w:eastAsia="宋体" w:cs="Times New Roman"/>
                <w:color w:val="auto"/>
                <w:sz w:val="24"/>
                <w:szCs w:val="24"/>
                <w:vertAlign w:val="superscript"/>
                <w:lang w:val="de-DE"/>
              </w:rPr>
              <w:t>3</w:t>
            </w:r>
            <w:r>
              <w:rPr>
                <w:rStyle w:val="56"/>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25kg/h，NOx240mg/</w:t>
            </w:r>
            <w:r>
              <w:rPr>
                <w:rFonts w:hint="default" w:ascii="Times New Roman" w:hAnsi="Times New Roman" w:eastAsia="宋体" w:cs="Times New Roman"/>
                <w:color w:val="auto"/>
                <w:sz w:val="24"/>
                <w:szCs w:val="24"/>
                <w:lang w:val="de-DE"/>
              </w:rPr>
              <w:t>m</w:t>
            </w:r>
            <w:r>
              <w:rPr>
                <w:rFonts w:hint="default" w:ascii="Times New Roman" w:hAnsi="Times New Roman" w:eastAsia="宋体" w:cs="Times New Roman"/>
                <w:color w:val="auto"/>
                <w:sz w:val="24"/>
                <w:szCs w:val="24"/>
                <w:vertAlign w:val="superscript"/>
                <w:lang w:val="de-DE"/>
              </w:rPr>
              <w:t>3</w:t>
            </w:r>
            <w:r>
              <w:rPr>
                <w:rStyle w:val="56"/>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7.5kg/h）</w:t>
            </w:r>
            <w:r>
              <w:rPr>
                <w:rFonts w:hint="default" w:ascii="Times New Roman" w:hAnsi="Times New Roman" w:eastAsia="宋体" w:cs="Times New Roman"/>
                <w:color w:val="auto"/>
                <w:sz w:val="24"/>
                <w:szCs w:val="24"/>
                <w:lang w:eastAsia="zh-CN"/>
              </w:rPr>
              <w:t>。</w:t>
            </w:r>
          </w:p>
          <w:p>
            <w:pPr>
              <w:ind w:firstLine="480"/>
              <w:rPr>
                <w:rFonts w:hint="default" w:ascii="Times New Roman" w:hAnsi="Times New Roman" w:eastAsia="宋体" w:cs="Times New Roman"/>
                <w:color w:val="auto"/>
                <w:sz w:val="24"/>
                <w:szCs w:val="24"/>
                <w:u w:val="single"/>
              </w:rPr>
            </w:pPr>
            <w:r>
              <w:rPr>
                <w:rFonts w:hint="default" w:ascii="Times New Roman" w:hAnsi="Times New Roman" w:eastAsia="宋体" w:cs="Times New Roman"/>
                <w:color w:val="auto"/>
                <w:sz w:val="24"/>
                <w:szCs w:val="24"/>
                <w:u w:val="single"/>
              </w:rPr>
              <w:fldChar w:fldCharType="begin"/>
            </w:r>
            <w:r>
              <w:rPr>
                <w:rFonts w:hint="default" w:ascii="Times New Roman" w:hAnsi="Times New Roman" w:eastAsia="宋体" w:cs="Times New Roman"/>
                <w:color w:val="auto"/>
                <w:sz w:val="24"/>
                <w:szCs w:val="24"/>
                <w:u w:val="single"/>
              </w:rPr>
              <w:instrText xml:space="preserve"> = 5 \* GB3 \* MERGEFORMAT </w:instrText>
            </w:r>
            <w:r>
              <w:rPr>
                <w:rFonts w:hint="default" w:ascii="Times New Roman" w:hAnsi="Times New Roman" w:eastAsia="宋体" w:cs="Times New Roman"/>
                <w:color w:val="auto"/>
                <w:sz w:val="24"/>
                <w:szCs w:val="24"/>
                <w:u w:val="single"/>
              </w:rPr>
              <w:fldChar w:fldCharType="separate"/>
            </w:r>
            <w:r>
              <w:rPr>
                <w:color w:val="auto"/>
                <w:sz w:val="24"/>
                <w:szCs w:val="24"/>
              </w:rPr>
              <w:t>⑤</w:t>
            </w:r>
            <w:r>
              <w:rPr>
                <w:rFonts w:hint="default" w:ascii="Times New Roman" w:hAnsi="Times New Roman" w:eastAsia="宋体" w:cs="Times New Roman"/>
                <w:color w:val="auto"/>
                <w:sz w:val="24"/>
                <w:szCs w:val="24"/>
                <w:u w:val="single"/>
              </w:rPr>
              <w:fldChar w:fldCharType="end"/>
            </w:r>
            <w:r>
              <w:rPr>
                <w:rFonts w:hint="default" w:ascii="Times New Roman" w:hAnsi="Times New Roman" w:eastAsia="宋体" w:cs="Times New Roman"/>
                <w:color w:val="auto"/>
                <w:sz w:val="24"/>
                <w:szCs w:val="24"/>
                <w:u w:val="single"/>
              </w:rPr>
              <w:t>无组织排放的颗粒物</w:t>
            </w:r>
          </w:p>
          <w:p>
            <w:pPr>
              <w:pStyle w:val="33"/>
              <w:keepNext w:val="0"/>
              <w:keepLines w:val="0"/>
              <w:pageBreakBefore w:val="0"/>
              <w:widowControl w:val="0"/>
              <w:tabs>
                <w:tab w:val="left" w:pos="3720"/>
              </w:tabs>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u w:val="single"/>
              </w:rPr>
              <w:t>本项目无组织排放的颗粒物主要为物料卸载堆放、制棒机集气罩未收集的粉尘。本次评价拟将物料装卸堆放区域、制棒产生的粉尘合为一个无组织排放面源，将</w:t>
            </w:r>
            <w:r>
              <w:rPr>
                <w:rFonts w:hint="eastAsia" w:ascii="Times New Roman" w:hAnsi="Times New Roman" w:eastAsia="宋体" w:cs="Times New Roman"/>
                <w:color w:val="auto"/>
                <w:sz w:val="24"/>
                <w:szCs w:val="24"/>
                <w:u w:val="single"/>
                <w:lang w:eastAsia="zh-CN"/>
              </w:rPr>
              <w:t>本项目厂区</w:t>
            </w:r>
            <w:r>
              <w:rPr>
                <w:rFonts w:hint="default" w:ascii="Times New Roman" w:hAnsi="Times New Roman" w:eastAsia="宋体" w:cs="Times New Roman"/>
                <w:color w:val="auto"/>
                <w:sz w:val="24"/>
                <w:szCs w:val="24"/>
                <w:u w:val="single"/>
              </w:rPr>
              <w:t>作为一个无组织排放面源进行预测，则物料筛分、制棒产生的粉尘排放量为</w:t>
            </w:r>
            <w:r>
              <w:rPr>
                <w:rFonts w:hint="eastAsia" w:ascii="Times New Roman" w:hAnsi="Times New Roman" w:eastAsia="宋体" w:cs="Times New Roman"/>
                <w:color w:val="auto"/>
                <w:sz w:val="24"/>
                <w:szCs w:val="24"/>
                <w:u w:val="single"/>
                <w:lang w:val="en-US" w:eastAsia="zh-CN"/>
              </w:rPr>
              <w:t>0.</w:t>
            </w:r>
            <w:r>
              <w:rPr>
                <w:rFonts w:hint="eastAsia" w:hAnsi="Times New Roman" w:cs="Times New Roman"/>
                <w:color w:val="auto"/>
                <w:sz w:val="24"/>
                <w:szCs w:val="24"/>
                <w:u w:val="single"/>
                <w:lang w:val="en-US" w:eastAsia="zh-CN"/>
              </w:rPr>
              <w:t>87</w:t>
            </w:r>
            <w:r>
              <w:rPr>
                <w:rFonts w:hint="default" w:ascii="Times New Roman" w:hAnsi="Times New Roman" w:eastAsia="宋体" w:cs="Times New Roman"/>
                <w:color w:val="auto"/>
                <w:sz w:val="24"/>
                <w:szCs w:val="24"/>
                <w:u w:val="single"/>
              </w:rPr>
              <w:t>t/a</w:t>
            </w:r>
            <w:r>
              <w:rPr>
                <w:rFonts w:hint="eastAsia" w:hAnsi="Times New Roman" w:cs="Times New Roman"/>
                <w:color w:val="auto"/>
                <w:sz w:val="24"/>
                <w:szCs w:val="24"/>
                <w:lang w:eastAsia="zh-CN"/>
              </w:rPr>
              <w:t>。</w:t>
            </w:r>
          </w:p>
          <w:p>
            <w:pPr>
              <w:pStyle w:val="33"/>
              <w:keepNext w:val="0"/>
              <w:keepLines w:val="0"/>
              <w:pageBreakBefore w:val="0"/>
              <w:widowControl w:val="0"/>
              <w:tabs>
                <w:tab w:val="left" w:pos="3720"/>
              </w:tabs>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szCs w:val="24"/>
                <w:lang w:eastAsia="zh-CN"/>
              </w:rPr>
            </w:pPr>
            <w:r>
              <w:rPr>
                <w:rFonts w:cs="Times New Roman"/>
                <w:color w:val="auto"/>
              </w:rPr>
              <w:t>综上所述，本项目所产生的废气对周围环境的影响较小，本项目废气处理工艺可行。</w:t>
            </w:r>
          </w:p>
          <w:p>
            <w:pPr>
              <w:pStyle w:val="33"/>
              <w:tabs>
                <w:tab w:val="left" w:pos="3720"/>
              </w:tabs>
              <w:rPr>
                <w:rFonts w:hint="eastAsia" w:ascii="Times New Roman" w:hAnsi="Times New Roman" w:cs="Times New Roman"/>
                <w:color w:val="auto"/>
                <w:kern w:val="0"/>
                <w:szCs w:val="24"/>
              </w:rPr>
            </w:pPr>
            <w:r>
              <w:rPr>
                <w:rFonts w:hint="eastAsia" w:hAnsi="Times New Roman" w:cs="Times New Roman"/>
                <w:b/>
                <w:bCs/>
                <w:color w:val="auto"/>
                <w:kern w:val="0"/>
                <w:szCs w:val="24"/>
                <w:lang w:val="en-US" w:eastAsia="zh-CN"/>
              </w:rPr>
              <w:t>2、</w:t>
            </w:r>
            <w:r>
              <w:rPr>
                <w:rFonts w:hint="eastAsia" w:ascii="Times New Roman" w:hAnsi="Times New Roman" w:cs="Times New Roman"/>
                <w:b/>
                <w:bCs/>
                <w:color w:val="auto"/>
                <w:kern w:val="0"/>
                <w:szCs w:val="24"/>
              </w:rPr>
              <w:t>大气环境影响等级判定</w:t>
            </w:r>
          </w:p>
          <w:p>
            <w:pPr>
              <w:pStyle w:val="34"/>
              <w:spacing w:line="360" w:lineRule="auto"/>
              <w:rPr>
                <w:rFonts w:hint="eastAsia" w:ascii="Times New Roman" w:hAnsi="Times New Roman" w:cs="Times New Roman"/>
                <w:bCs/>
                <w:color w:val="auto"/>
              </w:rPr>
            </w:pPr>
            <w:r>
              <w:rPr>
                <w:rFonts w:ascii="Times New Roman" w:hAnsi="Times New Roman" w:cs="Times New Roman"/>
                <w:bCs/>
                <w:color w:val="auto"/>
              </w:rPr>
              <w:t>根据《环境影响评价技术导则 大气环境》（HJ2.2-2018）中评价等级判定确定方法，结合项目工程分析结果，选择正常排放的主要污染物及排放参数，采用《环境影响评价技术导则 大气环境》（HJ2.2-2018）附录 A 推荐模型中的 AERSCREEN 模式分别计算项目排放主要污染物的最大地面空气质量浓度占标率Pi和第i个污染物的地面空气质量浓度达到标准值的10%时所对应的最远距离D10%。其中Pi定义为：</w:t>
            </w:r>
          </w:p>
          <w:p>
            <w:pPr>
              <w:pStyle w:val="34"/>
              <w:spacing w:line="360" w:lineRule="auto"/>
              <w:jc w:val="center"/>
              <w:rPr>
                <w:rFonts w:hint="eastAsia" w:ascii="Times New Roman" w:hAnsi="Times New Roman" w:cs="Times New Roman"/>
                <w:bCs/>
                <w:color w:val="auto"/>
              </w:rPr>
            </w:pPr>
            <w:r>
              <w:rPr>
                <w:rFonts w:ascii="Times New Roman" w:hAnsi="Times New Roman" w:cs="Times New Roman"/>
                <w:bCs/>
                <w:color w:val="auto"/>
                <w:position w:val="-30"/>
              </w:rPr>
              <w:object>
                <v:shape id="_x0000_i1029" o:spt="75" type="#_x0000_t75" style="height:34pt;width:80pt;" o:ole="t" filled="f" o:preferrelative="t" stroked="f" coordsize="21600,21600">
                  <v:path/>
                  <v:fill on="f" alignshape="1" focussize="0,0"/>
                  <v:stroke on="f"/>
                  <v:imagedata r:id="rId21" o:title=""/>
                  <o:lock v:ext="edit" aspectratio="t"/>
                  <w10:wrap type="none"/>
                  <w10:anchorlock/>
                </v:shape>
                <o:OLEObject Type="Embed" ProgID="Equation.3" ShapeID="_x0000_i1029" DrawAspect="Content" ObjectID="_1468075729" r:id="rId20">
                  <o:LockedField>false</o:LockedField>
                </o:OLEObject>
              </w:object>
            </w:r>
          </w:p>
          <w:p>
            <w:pPr>
              <w:pStyle w:val="34"/>
              <w:spacing w:line="360" w:lineRule="auto"/>
              <w:rPr>
                <w:rFonts w:ascii="Times New Roman" w:hAnsi="Times New Roman" w:cs="Times New Roman"/>
                <w:bCs/>
                <w:color w:val="auto"/>
              </w:rPr>
            </w:pPr>
            <w:r>
              <w:rPr>
                <w:rFonts w:ascii="Times New Roman" w:hAnsi="Times New Roman" w:cs="Times New Roman"/>
                <w:bCs/>
                <w:color w:val="auto"/>
              </w:rPr>
              <w:t>式中：Pi</w:t>
            </w:r>
            <w:r>
              <w:rPr>
                <w:rFonts w:hint="eastAsia" w:ascii="Times New Roman" w:hAnsi="Times New Roman" w:cs="Times New Roman"/>
                <w:bCs/>
                <w:color w:val="auto"/>
              </w:rPr>
              <w:t>---</w:t>
            </w:r>
            <w:r>
              <w:rPr>
                <w:rFonts w:ascii="Times New Roman" w:hAnsi="Times New Roman" w:cs="Times New Roman"/>
                <w:bCs/>
                <w:color w:val="auto"/>
              </w:rPr>
              <w:t>第i个污染物的最大地面空气质量浓度占标率，%；</w:t>
            </w:r>
          </w:p>
          <w:p>
            <w:pPr>
              <w:pStyle w:val="34"/>
              <w:spacing w:line="360" w:lineRule="auto"/>
              <w:rPr>
                <w:rFonts w:ascii="Times New Roman" w:hAnsi="Times New Roman" w:cs="Times New Roman"/>
                <w:bCs/>
                <w:color w:val="auto"/>
              </w:rPr>
            </w:pPr>
            <w:r>
              <w:rPr>
                <w:rFonts w:ascii="Times New Roman" w:hAnsi="Times New Roman" w:cs="Times New Roman"/>
                <w:bCs/>
                <w:color w:val="auto"/>
              </w:rPr>
              <w:t>C</w:t>
            </w:r>
            <w:r>
              <w:rPr>
                <w:rFonts w:ascii="Times New Roman" w:hAnsi="Times New Roman" w:cs="Times New Roman"/>
                <w:bCs/>
                <w:color w:val="auto"/>
                <w:vertAlign w:val="subscript"/>
              </w:rPr>
              <w:t>i</w:t>
            </w:r>
            <w:r>
              <w:rPr>
                <w:rFonts w:ascii="Times New Roman" w:hAnsi="Times New Roman" w:cs="Times New Roman"/>
                <w:bCs/>
                <w:color w:val="auto"/>
              </w:rPr>
              <w:t>---采用估算模式计算出的第i个污染物的最大1h地面空气质量浓度，ug/m3；</w:t>
            </w:r>
          </w:p>
          <w:p>
            <w:pPr>
              <w:pStyle w:val="34"/>
              <w:spacing w:line="360" w:lineRule="auto"/>
              <w:rPr>
                <w:rFonts w:ascii="Times New Roman" w:hAnsi="Times New Roman" w:cs="Times New Roman"/>
                <w:bCs/>
                <w:color w:val="auto"/>
              </w:rPr>
            </w:pPr>
            <w:r>
              <w:rPr>
                <w:rFonts w:ascii="Times New Roman" w:hAnsi="Times New Roman" w:cs="Times New Roman"/>
                <w:bCs/>
                <w:color w:val="auto"/>
              </w:rPr>
              <w:t>C</w:t>
            </w:r>
            <w:r>
              <w:rPr>
                <w:rFonts w:ascii="Times New Roman" w:hAnsi="Times New Roman" w:cs="Times New Roman"/>
                <w:bCs/>
                <w:color w:val="auto"/>
                <w:vertAlign w:val="subscript"/>
              </w:rPr>
              <w:t>0i</w:t>
            </w:r>
            <w:r>
              <w:rPr>
                <w:rFonts w:ascii="Times New Roman" w:hAnsi="Times New Roman" w:cs="Times New Roman"/>
                <w:bCs/>
                <w:color w:val="auto"/>
              </w:rPr>
              <w:t>--第i个污染物的环境空气质量标准，ug/m</w:t>
            </w:r>
            <w:r>
              <w:rPr>
                <w:rFonts w:ascii="Times New Roman" w:hAnsi="Times New Roman" w:cs="Times New Roman"/>
                <w:bCs/>
                <w:color w:val="auto"/>
                <w:vertAlign w:val="superscript"/>
              </w:rPr>
              <w:t>3</w:t>
            </w:r>
            <w:r>
              <w:rPr>
                <w:rFonts w:ascii="Times New Roman" w:hAnsi="Times New Roman" w:cs="Times New Roman"/>
                <w:bCs/>
                <w:color w:val="auto"/>
              </w:rPr>
              <w:t>。</w:t>
            </w:r>
          </w:p>
          <w:p>
            <w:pPr>
              <w:pStyle w:val="34"/>
              <w:spacing w:line="360" w:lineRule="auto"/>
              <w:rPr>
                <w:rFonts w:ascii="Times New Roman" w:hAnsi="Times New Roman" w:cs="Times New Roman"/>
                <w:bCs/>
                <w:color w:val="auto"/>
              </w:rPr>
            </w:pPr>
            <w:r>
              <w:rPr>
                <w:rFonts w:ascii="Times New Roman" w:hAnsi="Times New Roman" w:cs="Times New Roman"/>
                <w:bCs/>
                <w:color w:val="auto"/>
              </w:rPr>
              <w:t>评价工作等级按表</w:t>
            </w:r>
            <w:r>
              <w:rPr>
                <w:rFonts w:hint="eastAsia" w:ascii="Times New Roman" w:hAnsi="Times New Roman" w:cs="Times New Roman"/>
                <w:bCs/>
                <w:color w:val="auto"/>
              </w:rPr>
              <w:t>7-</w:t>
            </w:r>
            <w:r>
              <w:rPr>
                <w:rFonts w:hint="eastAsia" w:ascii="Times New Roman" w:hAnsi="Times New Roman" w:cs="Times New Roman"/>
                <w:bCs/>
                <w:color w:val="auto"/>
                <w:lang w:val="en-US" w:eastAsia="zh-CN"/>
              </w:rPr>
              <w:t>3</w:t>
            </w:r>
            <w:r>
              <w:rPr>
                <w:rFonts w:ascii="Times New Roman" w:hAnsi="Times New Roman" w:cs="Times New Roman"/>
                <w:bCs/>
                <w:color w:val="auto"/>
              </w:rPr>
              <w:t>的分级判据进行划分，如污染物i大于1，取Pi值最大者( P</w:t>
            </w:r>
            <w:r>
              <w:rPr>
                <w:rFonts w:ascii="Times New Roman" w:hAnsi="Times New Roman" w:cs="Times New Roman"/>
                <w:bCs/>
                <w:color w:val="auto"/>
                <w:vertAlign w:val="subscript"/>
              </w:rPr>
              <w:t>max</w:t>
            </w:r>
            <w:r>
              <w:rPr>
                <w:rFonts w:ascii="Times New Roman" w:hAnsi="Times New Roman" w:cs="Times New Roman"/>
                <w:bCs/>
                <w:color w:val="auto"/>
              </w:rPr>
              <w:t>)和其对应的D10%。</w:t>
            </w:r>
          </w:p>
          <w:p>
            <w:pPr>
              <w:adjustRightInd w:val="0"/>
              <w:spacing w:line="360" w:lineRule="auto"/>
              <w:jc w:val="center"/>
              <w:rPr>
                <w:rFonts w:ascii="Times New Roman" w:hAnsi="Times New Roman" w:cs="Times New Roman"/>
                <w:b/>
                <w:color w:val="auto"/>
                <w:szCs w:val="21"/>
              </w:rPr>
            </w:pPr>
            <w:r>
              <w:rPr>
                <w:rFonts w:ascii="Times New Roman" w:hAnsi="Times New Roman" w:cs="Times New Roman"/>
                <w:b/>
                <w:color w:val="auto"/>
                <w:szCs w:val="21"/>
              </w:rPr>
              <w:t>表7-</w:t>
            </w:r>
            <w:r>
              <w:rPr>
                <w:rFonts w:hint="eastAsia" w:cs="Times New Roman"/>
                <w:b/>
                <w:color w:val="auto"/>
                <w:szCs w:val="21"/>
                <w:lang w:val="en-US" w:eastAsia="zh-CN"/>
              </w:rPr>
              <w:t>3</w:t>
            </w:r>
            <w:r>
              <w:rPr>
                <w:rFonts w:ascii="Times New Roman" w:hAnsi="Times New Roman" w:cs="Times New Roman"/>
                <w:b/>
                <w:color w:val="auto"/>
                <w:szCs w:val="21"/>
              </w:rPr>
              <w:t xml:space="preserve">   大气评价等级判别表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7"/>
              <w:gridCol w:w="4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27"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评价工作等级</w:t>
                  </w:r>
                </w:p>
              </w:tc>
              <w:tc>
                <w:tcPr>
                  <w:tcW w:w="479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27"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一级评价</w:t>
                  </w:r>
                </w:p>
              </w:tc>
              <w:tc>
                <w:tcPr>
                  <w:tcW w:w="479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P</w:t>
                  </w:r>
                  <w:r>
                    <w:rPr>
                      <w:rFonts w:ascii="Times New Roman" w:hAnsi="Times New Roman" w:cs="Times New Roman"/>
                      <w:bCs/>
                      <w:color w:val="auto"/>
                      <w:szCs w:val="21"/>
                      <w:vertAlign w:val="subscript"/>
                    </w:rPr>
                    <w:t>max</w:t>
                  </w:r>
                  <w:r>
                    <w:rPr>
                      <w:rFonts w:ascii="Times New Roman" w:hAnsi="Times New Roman" w:cs="Times New Roman"/>
                      <w:bCs/>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27"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二级评价</w:t>
                  </w:r>
                </w:p>
              </w:tc>
              <w:tc>
                <w:tcPr>
                  <w:tcW w:w="479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1%≤P</w:t>
                  </w:r>
                  <w:r>
                    <w:rPr>
                      <w:rFonts w:ascii="Times New Roman" w:hAnsi="Times New Roman" w:cs="Times New Roman"/>
                      <w:bCs/>
                      <w:color w:val="auto"/>
                      <w:szCs w:val="21"/>
                      <w:vertAlign w:val="subscript"/>
                    </w:rPr>
                    <w:t>max</w:t>
                  </w:r>
                  <w:r>
                    <w:rPr>
                      <w:rFonts w:ascii="Times New Roman" w:hAnsi="Times New Roman" w:cs="Times New Roman"/>
                      <w:bCs/>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27"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三级评价</w:t>
                  </w:r>
                </w:p>
              </w:tc>
              <w:tc>
                <w:tcPr>
                  <w:tcW w:w="479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P</w:t>
                  </w:r>
                  <w:r>
                    <w:rPr>
                      <w:rFonts w:ascii="Times New Roman" w:hAnsi="Times New Roman" w:cs="Times New Roman"/>
                      <w:bCs/>
                      <w:color w:val="auto"/>
                      <w:szCs w:val="21"/>
                      <w:vertAlign w:val="subscript"/>
                    </w:rPr>
                    <w:t>max</w:t>
                  </w:r>
                  <w:r>
                    <w:rPr>
                      <w:rFonts w:ascii="Times New Roman" w:hAnsi="Times New Roman" w:cs="Times New Roman"/>
                      <w:bCs/>
                      <w:color w:val="auto"/>
                      <w:szCs w:val="21"/>
                    </w:rPr>
                    <w:t>＜1%</w:t>
                  </w:r>
                </w:p>
              </w:tc>
            </w:tr>
          </w:tbl>
          <w:p>
            <w:pPr>
              <w:pStyle w:val="34"/>
              <w:spacing w:before="93" w:line="360" w:lineRule="auto"/>
              <w:rPr>
                <w:rFonts w:ascii="Times New Roman" w:hAnsi="Times New Roman" w:cs="Times New Roman"/>
                <w:b/>
                <w:color w:val="auto"/>
                <w:szCs w:val="21"/>
              </w:rPr>
            </w:pPr>
            <w:r>
              <w:rPr>
                <w:rFonts w:ascii="Times New Roman" w:hAnsi="Times New Roman" w:cs="Times New Roman"/>
                <w:bCs/>
                <w:color w:val="auto"/>
              </w:rPr>
              <w:t>本项目排放的主要废气污染物为</w:t>
            </w:r>
            <w:r>
              <w:rPr>
                <w:rFonts w:hint="eastAsia" w:ascii="Times New Roman" w:hAnsi="Times New Roman" w:cs="Times New Roman"/>
                <w:bCs/>
                <w:color w:val="auto"/>
                <w:lang w:eastAsia="zh-CN"/>
              </w:rPr>
              <w:t>二氧化硫、氮氧化物、颗粒物</w:t>
            </w:r>
            <w:r>
              <w:rPr>
                <w:rFonts w:ascii="Times New Roman" w:hAnsi="Times New Roman" w:cs="Times New Roman"/>
                <w:bCs/>
                <w:color w:val="auto"/>
              </w:rPr>
              <w:t>，采用附录 A 推荐模型中的 AERSCREEN 模式所用参数见下表。</w:t>
            </w:r>
          </w:p>
          <w:p>
            <w:pPr>
              <w:spacing w:line="360" w:lineRule="auto"/>
              <w:contextualSpacing/>
              <w:jc w:val="center"/>
              <w:rPr>
                <w:rFonts w:ascii="Times New Roman" w:hAnsi="Times New Roman" w:cs="Times New Roman"/>
                <w:b/>
                <w:color w:val="auto"/>
                <w:szCs w:val="21"/>
              </w:rPr>
            </w:pPr>
            <w:r>
              <w:rPr>
                <w:rFonts w:ascii="Times New Roman" w:hAnsi="Times New Roman" w:cs="Times New Roman"/>
                <w:b/>
                <w:color w:val="auto"/>
                <w:szCs w:val="21"/>
              </w:rPr>
              <w:t>表7-</w:t>
            </w:r>
            <w:r>
              <w:rPr>
                <w:rFonts w:hint="eastAsia" w:cs="Times New Roman"/>
                <w:b/>
                <w:color w:val="auto"/>
                <w:szCs w:val="21"/>
                <w:lang w:val="en-US" w:eastAsia="zh-CN"/>
              </w:rPr>
              <w:t>4</w:t>
            </w:r>
            <w:r>
              <w:rPr>
                <w:rFonts w:ascii="Times New Roman" w:hAnsi="Times New Roman" w:cs="Times New Roman"/>
                <w:b/>
                <w:color w:val="auto"/>
                <w:szCs w:val="21"/>
              </w:rPr>
              <w:t xml:space="preserve">   估算模型参数表</w:t>
            </w:r>
          </w:p>
          <w:tbl>
            <w:tblPr>
              <w:tblStyle w:val="22"/>
              <w:tblW w:w="8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626"/>
              <w:gridCol w:w="2966"/>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337" w:type="dxa"/>
                  <w:gridSpan w:val="3"/>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参数</w:t>
                  </w:r>
                </w:p>
              </w:tc>
              <w:tc>
                <w:tcPr>
                  <w:tcW w:w="330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745" w:type="dxa"/>
                  <w:vMerge w:val="restart"/>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城市/农村</w:t>
                  </w:r>
                </w:p>
              </w:tc>
              <w:tc>
                <w:tcPr>
                  <w:tcW w:w="3592" w:type="dxa"/>
                  <w:gridSpan w:val="2"/>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城市/农村</w:t>
                  </w:r>
                </w:p>
              </w:tc>
              <w:tc>
                <w:tcPr>
                  <w:tcW w:w="3302" w:type="dxa"/>
                  <w:noWrap w:val="0"/>
                  <w:vAlign w:val="center"/>
                </w:tcPr>
                <w:p>
                  <w:pPr>
                    <w:adjustRightInd w:val="0"/>
                    <w:jc w:val="center"/>
                    <w:rPr>
                      <w:rFonts w:hint="eastAsia" w:ascii="Times New Roman" w:hAnsi="Times New Roman" w:eastAsia="宋体" w:cs="Times New Roman"/>
                      <w:bCs/>
                      <w:color w:val="auto"/>
                      <w:szCs w:val="21"/>
                      <w:lang w:eastAsia="zh-CN"/>
                    </w:rPr>
                  </w:pPr>
                  <w:r>
                    <w:rPr>
                      <w:rFonts w:hint="eastAsia" w:cs="Times New Roman"/>
                      <w:bCs/>
                      <w:color w:val="auto"/>
                      <w:szCs w:val="21"/>
                      <w:lang w:eastAsia="zh-CN"/>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745" w:type="dxa"/>
                  <w:vMerge w:val="continue"/>
                  <w:noWrap w:val="0"/>
                  <w:vAlign w:val="center"/>
                </w:tcPr>
                <w:p>
                  <w:pPr>
                    <w:adjustRightInd w:val="0"/>
                    <w:jc w:val="center"/>
                    <w:rPr>
                      <w:rFonts w:ascii="Times New Roman" w:hAnsi="Times New Roman" w:cs="Times New Roman"/>
                      <w:bCs/>
                      <w:color w:val="auto"/>
                      <w:szCs w:val="21"/>
                    </w:rPr>
                  </w:pPr>
                </w:p>
              </w:tc>
              <w:tc>
                <w:tcPr>
                  <w:tcW w:w="3592" w:type="dxa"/>
                  <w:gridSpan w:val="2"/>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人口数（城市选项时）</w:t>
                  </w:r>
                </w:p>
              </w:tc>
              <w:tc>
                <w:tcPr>
                  <w:tcW w:w="3302" w:type="dxa"/>
                  <w:noWrap w:val="0"/>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10万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337" w:type="dxa"/>
                  <w:gridSpan w:val="3"/>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最高环境温度/℃</w:t>
                  </w:r>
                </w:p>
              </w:tc>
              <w:tc>
                <w:tcPr>
                  <w:tcW w:w="3302" w:type="dxa"/>
                  <w:noWrap w:val="0"/>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cs="Times New Roman"/>
                      <w:bCs/>
                      <w:color w:val="auto"/>
                      <w:szCs w:val="21"/>
                    </w:rPr>
                    <w:t>39.</w:t>
                  </w:r>
                  <w:r>
                    <w:rPr>
                      <w:rFonts w:hint="eastAsia" w:cs="Times New Roman"/>
                      <w:bCs/>
                      <w:color w:val="auto"/>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337" w:type="dxa"/>
                  <w:gridSpan w:val="3"/>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最低环境温度/℃</w:t>
                  </w:r>
                </w:p>
              </w:tc>
              <w:tc>
                <w:tcPr>
                  <w:tcW w:w="3302" w:type="dxa"/>
                  <w:noWrap w:val="0"/>
                  <w:vAlign w:val="center"/>
                </w:tcPr>
                <w:p>
                  <w:pPr>
                    <w:adjustRightInd w:val="0"/>
                    <w:jc w:val="center"/>
                    <w:rPr>
                      <w:rFonts w:hint="default" w:ascii="Times New Roman" w:hAnsi="Times New Roman" w:eastAsia="宋体" w:cs="Times New Roman"/>
                      <w:bCs/>
                      <w:color w:val="auto"/>
                      <w:szCs w:val="21"/>
                      <w:lang w:val="en-US" w:eastAsia="zh-CN"/>
                    </w:rPr>
                  </w:pPr>
                  <w:r>
                    <w:rPr>
                      <w:rFonts w:ascii="Times New Roman" w:hAnsi="Times New Roman" w:cs="Times New Roman"/>
                      <w:bCs/>
                      <w:color w:val="auto"/>
                      <w:szCs w:val="21"/>
                    </w:rPr>
                    <w:t>-</w:t>
                  </w:r>
                  <w:r>
                    <w:rPr>
                      <w:rFonts w:hint="eastAsia" w:cs="Times New Roman"/>
                      <w:bCs/>
                      <w:color w:val="auto"/>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337" w:type="dxa"/>
                  <w:gridSpan w:val="3"/>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土地利用类型</w:t>
                  </w:r>
                </w:p>
              </w:tc>
              <w:tc>
                <w:tcPr>
                  <w:tcW w:w="3302" w:type="dxa"/>
                  <w:noWrap w:val="0"/>
                  <w:vAlign w:val="center"/>
                </w:tcPr>
                <w:p>
                  <w:pPr>
                    <w:adjustRightInd w:val="0"/>
                    <w:jc w:val="center"/>
                    <w:rPr>
                      <w:rFonts w:hint="eastAsia" w:ascii="Times New Roman" w:hAnsi="Times New Roman" w:eastAsia="宋体" w:cs="Times New Roman"/>
                      <w:bCs/>
                      <w:color w:val="auto"/>
                      <w:szCs w:val="21"/>
                      <w:lang w:eastAsia="zh-CN"/>
                    </w:rPr>
                  </w:pPr>
                  <w:r>
                    <w:rPr>
                      <w:rFonts w:hint="eastAsia" w:cs="Times New Roman"/>
                      <w:bCs/>
                      <w:color w:val="auto"/>
                      <w:szCs w:val="21"/>
                      <w:lang w:eastAsia="zh-CN"/>
                    </w:rPr>
                    <w:t>针叶林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337" w:type="dxa"/>
                  <w:gridSpan w:val="3"/>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区域湿度条件</w:t>
                  </w:r>
                </w:p>
              </w:tc>
              <w:tc>
                <w:tcPr>
                  <w:tcW w:w="3302" w:type="dxa"/>
                  <w:noWrap w:val="0"/>
                  <w:vAlign w:val="center"/>
                </w:tcPr>
                <w:p>
                  <w:pPr>
                    <w:adjustRightInd w:val="0"/>
                    <w:jc w:val="center"/>
                    <w:rPr>
                      <w:rFonts w:hint="eastAsia" w:ascii="Times New Roman" w:hAnsi="Times New Roman" w:eastAsia="宋体" w:cs="Times New Roman"/>
                      <w:bCs/>
                      <w:color w:val="auto"/>
                      <w:szCs w:val="21"/>
                      <w:lang w:eastAsia="zh-CN"/>
                    </w:rPr>
                  </w:pPr>
                  <w:r>
                    <w:rPr>
                      <w:rFonts w:hint="eastAsia" w:cs="Times New Roman"/>
                      <w:bCs/>
                      <w:color w:val="auto"/>
                      <w:szCs w:val="21"/>
                      <w:lang w:eastAsia="zh-CN"/>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371" w:type="dxa"/>
                  <w:gridSpan w:val="2"/>
                  <w:vMerge w:val="restart"/>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是否考虑地形</w:t>
                  </w:r>
                </w:p>
              </w:tc>
              <w:tc>
                <w:tcPr>
                  <w:tcW w:w="2966"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考虑地形</w:t>
                  </w:r>
                </w:p>
              </w:tc>
              <w:tc>
                <w:tcPr>
                  <w:tcW w:w="330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371" w:type="dxa"/>
                  <w:gridSpan w:val="2"/>
                  <w:vMerge w:val="continue"/>
                  <w:noWrap w:val="0"/>
                  <w:vAlign w:val="center"/>
                </w:tcPr>
                <w:p>
                  <w:pPr>
                    <w:adjustRightInd w:val="0"/>
                    <w:jc w:val="center"/>
                    <w:rPr>
                      <w:rFonts w:ascii="Times New Roman" w:hAnsi="Times New Roman" w:cs="Times New Roman"/>
                      <w:bCs/>
                      <w:color w:val="auto"/>
                      <w:szCs w:val="21"/>
                    </w:rPr>
                  </w:pPr>
                </w:p>
              </w:tc>
              <w:tc>
                <w:tcPr>
                  <w:tcW w:w="2966"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地形数据分辨率/m</w:t>
                  </w:r>
                </w:p>
              </w:tc>
              <w:tc>
                <w:tcPr>
                  <w:tcW w:w="330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371" w:type="dxa"/>
                  <w:gridSpan w:val="2"/>
                  <w:vMerge w:val="restart"/>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是否考虑岸线熏烟</w:t>
                  </w:r>
                </w:p>
              </w:tc>
              <w:tc>
                <w:tcPr>
                  <w:tcW w:w="2966"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考虑岸线熏烟</w:t>
                  </w:r>
                </w:p>
              </w:tc>
              <w:tc>
                <w:tcPr>
                  <w:tcW w:w="330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371" w:type="dxa"/>
                  <w:gridSpan w:val="2"/>
                  <w:vMerge w:val="continue"/>
                  <w:noWrap w:val="0"/>
                  <w:vAlign w:val="center"/>
                </w:tcPr>
                <w:p>
                  <w:pPr>
                    <w:adjustRightInd w:val="0"/>
                    <w:jc w:val="center"/>
                    <w:rPr>
                      <w:rFonts w:ascii="Times New Roman" w:hAnsi="Times New Roman" w:cs="Times New Roman"/>
                      <w:bCs/>
                      <w:color w:val="auto"/>
                      <w:szCs w:val="21"/>
                    </w:rPr>
                  </w:pPr>
                </w:p>
              </w:tc>
              <w:tc>
                <w:tcPr>
                  <w:tcW w:w="2966"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岸线距离/km</w:t>
                  </w:r>
                </w:p>
              </w:tc>
              <w:tc>
                <w:tcPr>
                  <w:tcW w:w="330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71" w:type="dxa"/>
                  <w:gridSpan w:val="2"/>
                  <w:vMerge w:val="continue"/>
                  <w:noWrap w:val="0"/>
                  <w:vAlign w:val="center"/>
                </w:tcPr>
                <w:p>
                  <w:pPr>
                    <w:adjustRightInd w:val="0"/>
                    <w:jc w:val="center"/>
                    <w:rPr>
                      <w:rFonts w:ascii="Times New Roman" w:hAnsi="Times New Roman" w:cs="Times New Roman"/>
                      <w:bCs/>
                      <w:color w:val="auto"/>
                      <w:szCs w:val="21"/>
                    </w:rPr>
                  </w:pPr>
                </w:p>
              </w:tc>
              <w:tc>
                <w:tcPr>
                  <w:tcW w:w="2966"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岸线方向/°</w:t>
                  </w:r>
                </w:p>
              </w:tc>
              <w:tc>
                <w:tcPr>
                  <w:tcW w:w="3302" w:type="dxa"/>
                  <w:noWrap w:val="0"/>
                  <w:vAlign w:val="center"/>
                </w:tcPr>
                <w:p>
                  <w:pPr>
                    <w:adjustRightInd w:val="0"/>
                    <w:jc w:val="center"/>
                    <w:rPr>
                      <w:rFonts w:ascii="Times New Roman" w:hAnsi="Times New Roman" w:cs="Times New Roman"/>
                      <w:bCs/>
                      <w:color w:val="auto"/>
                      <w:szCs w:val="21"/>
                    </w:rPr>
                  </w:pPr>
                  <w:r>
                    <w:rPr>
                      <w:rFonts w:ascii="Times New Roman" w:hAnsi="Times New Roman" w:cs="Times New Roman"/>
                      <w:bCs/>
                      <w:color w:val="auto"/>
                      <w:szCs w:val="21"/>
                    </w:rPr>
                    <w:t>/</w:t>
                  </w:r>
                </w:p>
              </w:tc>
            </w:tr>
          </w:tbl>
          <w:p>
            <w:pPr>
              <w:adjustRightInd w:val="0"/>
              <w:spacing w:line="360" w:lineRule="auto"/>
              <w:contextualSpacing/>
              <w:rPr>
                <w:rFonts w:hint="eastAsia" w:ascii="Times New Roman" w:hAnsi="Times New Roman" w:cs="Times New Roman"/>
                <w:b/>
                <w:bCs/>
                <w:color w:val="auto"/>
                <w:szCs w:val="21"/>
              </w:rPr>
            </w:pPr>
          </w:p>
          <w:p>
            <w:pPr>
              <w:adjustRightInd w:val="0"/>
              <w:spacing w:line="360" w:lineRule="auto"/>
              <w:contextualSpacing/>
              <w:jc w:val="center"/>
              <w:rPr>
                <w:rFonts w:ascii="Times New Roman" w:hAnsi="Times New Roman" w:cs="Times New Roman"/>
                <w:b/>
                <w:bCs/>
                <w:color w:val="auto"/>
                <w:szCs w:val="21"/>
              </w:rPr>
            </w:pPr>
          </w:p>
          <w:p>
            <w:pPr>
              <w:adjustRightInd w:val="0"/>
              <w:spacing w:line="360" w:lineRule="auto"/>
              <w:contextualSpacing/>
              <w:jc w:val="center"/>
              <w:rPr>
                <w:rFonts w:ascii="Times New Roman" w:hAnsi="Times New Roman" w:cs="Times New Roman"/>
                <w:b/>
                <w:bCs/>
                <w:color w:val="auto"/>
                <w:szCs w:val="21"/>
              </w:rPr>
            </w:pPr>
          </w:p>
          <w:p>
            <w:pPr>
              <w:adjustRightInd w:val="0"/>
              <w:spacing w:line="360" w:lineRule="auto"/>
              <w:contextualSpacing/>
              <w:jc w:val="center"/>
              <w:rPr>
                <w:rFonts w:ascii="Times New Roman" w:hAnsi="Times New Roman" w:cs="Times New Roman"/>
                <w:b/>
                <w:color w:val="auto"/>
                <w:szCs w:val="21"/>
              </w:rPr>
            </w:pPr>
            <w:r>
              <w:rPr>
                <w:rFonts w:ascii="Times New Roman" w:hAnsi="Times New Roman" w:cs="Times New Roman"/>
                <w:b/>
                <w:bCs/>
                <w:color w:val="auto"/>
                <w:szCs w:val="21"/>
              </w:rPr>
              <w:t>表7-</w:t>
            </w:r>
            <w:r>
              <w:rPr>
                <w:rFonts w:hint="eastAsia" w:cs="Times New Roman"/>
                <w:b/>
                <w:bCs/>
                <w:color w:val="auto"/>
                <w:szCs w:val="21"/>
                <w:lang w:val="en-US" w:eastAsia="zh-CN"/>
              </w:rPr>
              <w:t>5</w:t>
            </w:r>
            <w:r>
              <w:rPr>
                <w:rFonts w:ascii="Times New Roman" w:hAnsi="Times New Roman" w:cs="Times New Roman"/>
                <w:b/>
                <w:color w:val="auto"/>
                <w:szCs w:val="21"/>
              </w:rPr>
              <w:t xml:space="preserve">   </w:t>
            </w:r>
            <w:r>
              <w:rPr>
                <w:rFonts w:hint="eastAsia" w:ascii="Times New Roman" w:hAnsi="Times New Roman" w:cs="Times New Roman"/>
                <w:b/>
                <w:color w:val="auto"/>
                <w:szCs w:val="21"/>
              </w:rPr>
              <w:t>主要废气污染源参数一览表（点源）</w:t>
            </w:r>
          </w:p>
          <w:tbl>
            <w:tblPr>
              <w:tblStyle w:val="22"/>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62"/>
              <w:gridCol w:w="725"/>
              <w:gridCol w:w="809"/>
              <w:gridCol w:w="789"/>
              <w:gridCol w:w="849"/>
              <w:gridCol w:w="846"/>
              <w:gridCol w:w="1143"/>
              <w:gridCol w:w="777"/>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1" w:type="dxa"/>
                  <w:vMerge w:val="restart"/>
                  <w:noWrap w:val="0"/>
                  <w:vAlign w:val="center"/>
                </w:tcPr>
                <w:p>
                  <w:pPr>
                    <w:jc w:val="center"/>
                    <w:rPr>
                      <w:rFonts w:ascii="Times New Roman" w:hAnsi="Times New Roman" w:cs="Times New Roman"/>
                      <w:color w:val="auto"/>
                    </w:rPr>
                  </w:pPr>
                  <w:r>
                    <w:rPr>
                      <w:rFonts w:ascii="Times New Roman" w:hAnsi="Times New Roman" w:cs="Times New Roman"/>
                      <w:color w:val="auto"/>
                    </w:rPr>
                    <w:t>污染源名称</w:t>
                  </w:r>
                </w:p>
              </w:tc>
              <w:tc>
                <w:tcPr>
                  <w:tcW w:w="1587" w:type="dxa"/>
                  <w:gridSpan w:val="2"/>
                  <w:noWrap w:val="0"/>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坐标(</w:t>
                  </w:r>
                  <w:r>
                    <w:rPr>
                      <w:rFonts w:ascii="Times New Roman" w:hAnsi="Times New Roman" w:cs="Times New Roman"/>
                      <w:color w:val="auto"/>
                      <w:szCs w:val="21"/>
                      <w:vertAlign w:val="superscript"/>
                    </w:rPr>
                    <w:t>o</w:t>
                  </w:r>
                  <w:r>
                    <w:rPr>
                      <w:rFonts w:ascii="Times New Roman" w:hAnsi="Times New Roman" w:cs="Times New Roman"/>
                      <w:color w:val="auto"/>
                      <w:szCs w:val="21"/>
                    </w:rPr>
                    <w:t>)</w:t>
                  </w:r>
                </w:p>
              </w:tc>
              <w:tc>
                <w:tcPr>
                  <w:tcW w:w="809" w:type="dxa"/>
                  <w:vMerge w:val="restart"/>
                  <w:noWrap w:val="0"/>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海拔高度(m)</w:t>
                  </w:r>
                </w:p>
              </w:tc>
              <w:tc>
                <w:tcPr>
                  <w:tcW w:w="2484" w:type="dxa"/>
                  <w:gridSpan w:val="3"/>
                  <w:noWrap w:val="0"/>
                  <w:vAlign w:val="center"/>
                </w:tcPr>
                <w:p>
                  <w:pPr>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排气筒</w:t>
                  </w:r>
                </w:p>
              </w:tc>
              <w:tc>
                <w:tcPr>
                  <w:tcW w:w="1143" w:type="dxa"/>
                  <w:vMerge w:val="restart"/>
                  <w:noWrap w:val="0"/>
                  <w:vAlign w:val="center"/>
                </w:tcPr>
                <w:p>
                  <w:pPr>
                    <w:pStyle w:val="13"/>
                    <w:tabs>
                      <w:tab w:val="left" w:pos="7920"/>
                    </w:tabs>
                    <w:snapToGrid w:val="0"/>
                    <w:jc w:val="center"/>
                    <w:rPr>
                      <w:rFonts w:ascii="Times New Roman" w:hAnsi="Times New Roman" w:cs="Times New Roman"/>
                      <w:color w:val="auto"/>
                      <w:szCs w:val="21"/>
                    </w:rPr>
                  </w:pPr>
                  <w:r>
                    <w:rPr>
                      <w:rFonts w:ascii="Times New Roman" w:hAnsi="Times New Roman" w:cs="Times New Roman"/>
                      <w:color w:val="auto"/>
                    </w:rPr>
                    <w:t>排放工况</w:t>
                  </w:r>
                </w:p>
              </w:tc>
              <w:tc>
                <w:tcPr>
                  <w:tcW w:w="777" w:type="dxa"/>
                  <w:vMerge w:val="restart"/>
                  <w:noWrap w:val="0"/>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污染物</w:t>
                  </w:r>
                </w:p>
              </w:tc>
              <w:tc>
                <w:tcPr>
                  <w:tcW w:w="1145" w:type="dxa"/>
                  <w:vMerge w:val="restart"/>
                  <w:noWrap w:val="0"/>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751" w:type="dxa"/>
                  <w:vMerge w:val="continue"/>
                  <w:noWrap w:val="0"/>
                  <w:vAlign w:val="center"/>
                </w:tcPr>
                <w:p>
                  <w:pPr>
                    <w:snapToGrid w:val="0"/>
                    <w:jc w:val="center"/>
                    <w:rPr>
                      <w:rFonts w:ascii="Times New Roman" w:hAnsi="Times New Roman" w:cs="Times New Roman"/>
                      <w:color w:val="auto"/>
                      <w:szCs w:val="21"/>
                    </w:rPr>
                  </w:pPr>
                </w:p>
              </w:tc>
              <w:tc>
                <w:tcPr>
                  <w:tcW w:w="862" w:type="dxa"/>
                  <w:noWrap w:val="0"/>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经度</w:t>
                  </w:r>
                </w:p>
              </w:tc>
              <w:tc>
                <w:tcPr>
                  <w:tcW w:w="725" w:type="dxa"/>
                  <w:noWrap w:val="0"/>
                  <w:vAlign w:val="center"/>
                </w:tcPr>
                <w:p>
                  <w:pPr>
                    <w:snapToGrid w:val="0"/>
                    <w:jc w:val="center"/>
                    <w:rPr>
                      <w:rFonts w:ascii="Times New Roman" w:hAnsi="Times New Roman" w:cs="Times New Roman"/>
                      <w:color w:val="auto"/>
                      <w:szCs w:val="21"/>
                    </w:rPr>
                  </w:pPr>
                  <w:r>
                    <w:rPr>
                      <w:rFonts w:ascii="Times New Roman" w:hAnsi="Times New Roman" w:cs="Times New Roman"/>
                      <w:color w:val="auto"/>
                      <w:szCs w:val="21"/>
                    </w:rPr>
                    <w:t>经度</w:t>
                  </w:r>
                </w:p>
              </w:tc>
              <w:tc>
                <w:tcPr>
                  <w:tcW w:w="809" w:type="dxa"/>
                  <w:vMerge w:val="continue"/>
                  <w:noWrap w:val="0"/>
                  <w:vAlign w:val="center"/>
                </w:tcPr>
                <w:p>
                  <w:pPr>
                    <w:snapToGrid w:val="0"/>
                    <w:jc w:val="center"/>
                    <w:rPr>
                      <w:rFonts w:ascii="Times New Roman" w:hAnsi="Times New Roman" w:cs="Times New Roman"/>
                      <w:color w:val="auto"/>
                      <w:szCs w:val="21"/>
                    </w:rPr>
                  </w:pPr>
                </w:p>
              </w:tc>
              <w:tc>
                <w:tcPr>
                  <w:tcW w:w="789" w:type="dxa"/>
                  <w:noWrap w:val="0"/>
                  <w:vAlign w:val="center"/>
                </w:tcPr>
                <w:p>
                  <w:pPr>
                    <w:snapToGrid w:val="0"/>
                    <w:jc w:val="center"/>
                    <w:rPr>
                      <w:rFonts w:ascii="Times New Roman" w:hAnsi="Times New Roman" w:cs="Times New Roman"/>
                      <w:color w:val="auto"/>
                      <w:szCs w:val="21"/>
                    </w:rPr>
                  </w:pPr>
                  <w:r>
                    <w:rPr>
                      <w:rFonts w:hint="eastAsia" w:cs="Times New Roman"/>
                      <w:color w:val="auto"/>
                      <w:szCs w:val="21"/>
                      <w:lang w:eastAsia="zh-CN"/>
                    </w:rPr>
                    <w:t>高度</w:t>
                  </w:r>
                  <w:r>
                    <w:rPr>
                      <w:rFonts w:ascii="Times New Roman" w:hAnsi="Times New Roman" w:cs="Times New Roman"/>
                      <w:color w:val="auto"/>
                      <w:szCs w:val="21"/>
                    </w:rPr>
                    <w:t>(m)</w:t>
                  </w:r>
                </w:p>
              </w:tc>
              <w:tc>
                <w:tcPr>
                  <w:tcW w:w="849" w:type="dxa"/>
                  <w:noWrap w:val="0"/>
                  <w:vAlign w:val="center"/>
                </w:tcPr>
                <w:p>
                  <w:pPr>
                    <w:snapToGrid w:val="0"/>
                    <w:jc w:val="center"/>
                    <w:rPr>
                      <w:rFonts w:ascii="Times New Roman" w:hAnsi="Times New Roman" w:cs="Times New Roman"/>
                      <w:color w:val="auto"/>
                      <w:szCs w:val="21"/>
                    </w:rPr>
                  </w:pPr>
                  <w:r>
                    <w:rPr>
                      <w:rFonts w:hint="eastAsia" w:cs="Times New Roman"/>
                      <w:color w:val="auto"/>
                      <w:szCs w:val="21"/>
                      <w:lang w:eastAsia="zh-CN"/>
                    </w:rPr>
                    <w:t>内径</w:t>
                  </w:r>
                  <w:r>
                    <w:rPr>
                      <w:rFonts w:ascii="Times New Roman" w:hAnsi="Times New Roman" w:cs="Times New Roman"/>
                      <w:color w:val="auto"/>
                      <w:szCs w:val="21"/>
                    </w:rPr>
                    <w:t>(m)</w:t>
                  </w:r>
                </w:p>
              </w:tc>
              <w:tc>
                <w:tcPr>
                  <w:tcW w:w="846" w:type="dxa"/>
                  <w:noWrap w:val="0"/>
                  <w:vAlign w:val="center"/>
                </w:tcPr>
                <w:p>
                  <w:pPr>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温度</w:t>
                  </w:r>
                </w:p>
                <w:p>
                  <w:pPr>
                    <w:snapToGrid w:val="0"/>
                    <w:jc w:val="center"/>
                    <w:rPr>
                      <w:rFonts w:ascii="Times New Roman" w:hAnsi="Times New Roman" w:cs="Times New Roman"/>
                      <w:color w:val="auto"/>
                      <w:szCs w:val="21"/>
                    </w:rPr>
                  </w:pPr>
                  <w:r>
                    <w:rPr>
                      <w:rFonts w:ascii="Times New Roman" w:hAnsi="Times New Roman" w:cs="Times New Roman"/>
                      <w:color w:val="auto"/>
                      <w:szCs w:val="21"/>
                    </w:rPr>
                    <w:t>(m)</w:t>
                  </w:r>
                </w:p>
              </w:tc>
              <w:tc>
                <w:tcPr>
                  <w:tcW w:w="1143" w:type="dxa"/>
                  <w:vMerge w:val="continue"/>
                  <w:noWrap w:val="0"/>
                  <w:vAlign w:val="center"/>
                </w:tcPr>
                <w:p>
                  <w:pPr>
                    <w:snapToGrid w:val="0"/>
                    <w:jc w:val="center"/>
                    <w:rPr>
                      <w:rFonts w:ascii="Times New Roman" w:hAnsi="Times New Roman" w:cs="Times New Roman"/>
                      <w:color w:val="auto"/>
                      <w:szCs w:val="21"/>
                    </w:rPr>
                  </w:pPr>
                </w:p>
              </w:tc>
              <w:tc>
                <w:tcPr>
                  <w:tcW w:w="777" w:type="dxa"/>
                  <w:vMerge w:val="continue"/>
                  <w:noWrap w:val="0"/>
                  <w:vAlign w:val="center"/>
                </w:tcPr>
                <w:p>
                  <w:pPr>
                    <w:snapToGrid w:val="0"/>
                    <w:jc w:val="center"/>
                    <w:rPr>
                      <w:rFonts w:ascii="Times New Roman" w:hAnsi="Times New Roman" w:cs="Times New Roman"/>
                      <w:color w:val="auto"/>
                      <w:szCs w:val="21"/>
                    </w:rPr>
                  </w:pPr>
                </w:p>
              </w:tc>
              <w:tc>
                <w:tcPr>
                  <w:tcW w:w="1145" w:type="dxa"/>
                  <w:vMerge w:val="continue"/>
                  <w:noWrap w:val="0"/>
                  <w:vAlign w:val="center"/>
                </w:tcPr>
                <w:p>
                  <w:pPr>
                    <w:snapToGrid w:val="0"/>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51" w:type="dxa"/>
                  <w:vMerge w:val="restart"/>
                  <w:noWrap w:val="0"/>
                  <w:vAlign w:val="center"/>
                </w:tcPr>
                <w:p>
                  <w:pPr>
                    <w:jc w:val="center"/>
                    <w:rPr>
                      <w:rFonts w:hint="eastAsia" w:ascii="Times New Roman" w:hAnsi="Times New Roman" w:eastAsia="宋体" w:cs="Times New Roman"/>
                      <w:color w:val="auto"/>
                      <w:lang w:eastAsia="zh-CN"/>
                    </w:rPr>
                  </w:pPr>
                  <w:r>
                    <w:rPr>
                      <w:rFonts w:hint="eastAsia" w:cs="Times New Roman"/>
                      <w:color w:val="auto"/>
                      <w:lang w:eastAsia="zh-CN"/>
                    </w:rPr>
                    <w:t>粉碎、烘干、炭化</w:t>
                  </w:r>
                </w:p>
              </w:tc>
              <w:tc>
                <w:tcPr>
                  <w:tcW w:w="862" w:type="dxa"/>
                  <w:vMerge w:val="restart"/>
                  <w:noWrap w:val="0"/>
                  <w:vAlign w:val="center"/>
                </w:tcPr>
                <w:p>
                  <w:pPr>
                    <w:jc w:val="center"/>
                    <w:rPr>
                      <w:rFonts w:ascii="Times New Roman" w:hAnsi="Times New Roman" w:cs="Times New Roman"/>
                      <w:color w:val="auto"/>
                    </w:rPr>
                  </w:pPr>
                  <w:r>
                    <w:rPr>
                      <w:rFonts w:hint="eastAsia" w:ascii="Times New Roman" w:hAnsi="Times New Roman" w:cs="Times New Roman"/>
                      <w:color w:val="auto"/>
                    </w:rPr>
                    <w:t>110.031118</w:t>
                  </w:r>
                </w:p>
              </w:tc>
              <w:tc>
                <w:tcPr>
                  <w:tcW w:w="725" w:type="dxa"/>
                  <w:vMerge w:val="restart"/>
                  <w:noWrap w:val="0"/>
                  <w:vAlign w:val="center"/>
                </w:tcPr>
                <w:p>
                  <w:pPr>
                    <w:jc w:val="center"/>
                    <w:rPr>
                      <w:rFonts w:ascii="Times New Roman" w:hAnsi="Times New Roman" w:cs="Times New Roman"/>
                      <w:color w:val="auto"/>
                    </w:rPr>
                  </w:pPr>
                  <w:r>
                    <w:rPr>
                      <w:rFonts w:hint="eastAsia" w:ascii="Times New Roman" w:hAnsi="Times New Roman" w:cs="Times New Roman"/>
                      <w:color w:val="auto"/>
                    </w:rPr>
                    <w:t>27.128283</w:t>
                  </w:r>
                </w:p>
              </w:tc>
              <w:tc>
                <w:tcPr>
                  <w:tcW w:w="809" w:type="dxa"/>
                  <w:vMerge w:val="restart"/>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202.48</w:t>
                  </w:r>
                </w:p>
              </w:tc>
              <w:tc>
                <w:tcPr>
                  <w:tcW w:w="789" w:type="dxa"/>
                  <w:vMerge w:val="restart"/>
                  <w:noWrap w:val="0"/>
                  <w:vAlign w:val="center"/>
                </w:tcPr>
                <w:p>
                  <w:pPr>
                    <w:jc w:val="center"/>
                    <w:rPr>
                      <w:rFonts w:ascii="Times New Roman" w:hAnsi="Times New Roman" w:cs="Times New Roman"/>
                      <w:color w:val="auto"/>
                    </w:rPr>
                  </w:pPr>
                  <w:r>
                    <w:rPr>
                      <w:rFonts w:hint="eastAsia" w:ascii="Times New Roman" w:hAnsi="Times New Roman" w:cs="Times New Roman"/>
                      <w:color w:val="auto"/>
                    </w:rPr>
                    <w:t>15.0</w:t>
                  </w:r>
                </w:p>
              </w:tc>
              <w:tc>
                <w:tcPr>
                  <w:tcW w:w="849" w:type="dxa"/>
                  <w:vMerge w:val="restart"/>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846" w:type="dxa"/>
                  <w:vMerge w:val="restart"/>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25.0</w:t>
                  </w:r>
                </w:p>
              </w:tc>
              <w:tc>
                <w:tcPr>
                  <w:tcW w:w="1143" w:type="dxa"/>
                  <w:vMerge w:val="restart"/>
                  <w:noWrap w:val="0"/>
                  <w:vAlign w:val="center"/>
                </w:tcPr>
                <w:p>
                  <w:pPr>
                    <w:pStyle w:val="13"/>
                    <w:tabs>
                      <w:tab w:val="left" w:pos="7920"/>
                    </w:tabs>
                    <w:snapToGrid w:val="0"/>
                    <w:jc w:val="center"/>
                    <w:rPr>
                      <w:rFonts w:hint="eastAsia" w:ascii="Times New Roman" w:hAnsi="Times New Roman" w:cs="Times New Roman"/>
                      <w:color w:val="auto"/>
                    </w:rPr>
                  </w:pPr>
                  <w:r>
                    <w:rPr>
                      <w:rFonts w:ascii="Times New Roman" w:hAnsi="Times New Roman" w:cs="Times New Roman"/>
                      <w:color w:val="auto"/>
                    </w:rPr>
                    <w:t>正常工况</w:t>
                  </w:r>
                </w:p>
              </w:tc>
              <w:tc>
                <w:tcPr>
                  <w:tcW w:w="777" w:type="dxa"/>
                  <w:noWrap w:val="0"/>
                  <w:vAlign w:val="center"/>
                </w:tcPr>
                <w:p>
                  <w:pPr>
                    <w:jc w:val="center"/>
                    <w:rPr>
                      <w:rFonts w:ascii="Times New Roman" w:hAnsi="Times New Roman" w:cs="Times New Roman"/>
                      <w:color w:val="auto"/>
                    </w:rPr>
                  </w:pPr>
                  <w:r>
                    <w:rPr>
                      <w:rFonts w:hint="eastAsia" w:ascii="Times New Roman" w:hAnsi="Times New Roman" w:cs="Times New Roman"/>
                      <w:color w:val="auto"/>
                    </w:rPr>
                    <w:t>TSP</w:t>
                  </w:r>
                  <w:r>
                    <w:rPr>
                      <w:rFonts w:ascii="Times New Roman" w:hAnsi="Times New Roman" w:cs="Times New Roman"/>
                      <w:color w:val="auto"/>
                    </w:rPr>
                    <w:t xml:space="preserve">  </w:t>
                  </w:r>
                </w:p>
              </w:tc>
              <w:tc>
                <w:tcPr>
                  <w:tcW w:w="1145" w:type="dxa"/>
                  <w:noWrap w:val="0"/>
                  <w:vAlign w:val="center"/>
                </w:tcPr>
                <w:p>
                  <w:pPr>
                    <w:jc w:val="center"/>
                    <w:rPr>
                      <w:rFonts w:hint="default" w:ascii="Times New Roman" w:hAnsi="Times New Roman" w:eastAsia="宋体" w:cs="Times New Roman"/>
                      <w:color w:val="auto"/>
                      <w:u w:val="single"/>
                      <w:lang w:val="en-US" w:eastAsia="zh-CN"/>
                    </w:rPr>
                  </w:pPr>
                  <w:r>
                    <w:rPr>
                      <w:rFonts w:hint="eastAsia" w:cs="Times New Roman"/>
                      <w:color w:val="auto"/>
                      <w:u w:val="single"/>
                      <w:lang w:val="en-US" w:eastAsia="zh-CN"/>
                    </w:rPr>
                    <w:t>0.026</w:t>
                  </w:r>
                  <w:r>
                    <w:rPr>
                      <w:rFonts w:ascii="Times New Roman" w:hAnsi="Times New Roman" w:cs="Times New Roman"/>
                      <w:color w:val="auto"/>
                      <w:u w:val="singl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51" w:type="dxa"/>
                  <w:vMerge w:val="continue"/>
                  <w:noWrap w:val="0"/>
                  <w:vAlign w:val="center"/>
                </w:tcPr>
                <w:p>
                  <w:pPr>
                    <w:jc w:val="center"/>
                    <w:rPr>
                      <w:rFonts w:hint="eastAsia" w:cs="Times New Roman"/>
                      <w:color w:val="auto"/>
                      <w:lang w:eastAsia="zh-CN"/>
                    </w:rPr>
                  </w:pPr>
                </w:p>
              </w:tc>
              <w:tc>
                <w:tcPr>
                  <w:tcW w:w="862" w:type="dxa"/>
                  <w:vMerge w:val="continue"/>
                  <w:noWrap w:val="0"/>
                  <w:vAlign w:val="center"/>
                </w:tcPr>
                <w:p>
                  <w:pPr>
                    <w:jc w:val="center"/>
                    <w:rPr>
                      <w:rFonts w:hint="eastAsia" w:ascii="Times New Roman" w:hAnsi="Times New Roman" w:cs="Times New Roman"/>
                      <w:color w:val="auto"/>
                    </w:rPr>
                  </w:pPr>
                </w:p>
              </w:tc>
              <w:tc>
                <w:tcPr>
                  <w:tcW w:w="725" w:type="dxa"/>
                  <w:vMerge w:val="continue"/>
                  <w:noWrap w:val="0"/>
                  <w:vAlign w:val="center"/>
                </w:tcPr>
                <w:p>
                  <w:pPr>
                    <w:jc w:val="center"/>
                    <w:rPr>
                      <w:rFonts w:hint="eastAsia" w:ascii="Times New Roman" w:hAnsi="Times New Roman" w:cs="Times New Roman"/>
                      <w:color w:val="auto"/>
                    </w:rPr>
                  </w:pPr>
                </w:p>
              </w:tc>
              <w:tc>
                <w:tcPr>
                  <w:tcW w:w="809" w:type="dxa"/>
                  <w:vMerge w:val="continue"/>
                  <w:noWrap w:val="0"/>
                  <w:vAlign w:val="center"/>
                </w:tcPr>
                <w:p>
                  <w:pPr>
                    <w:jc w:val="center"/>
                    <w:rPr>
                      <w:rFonts w:hint="eastAsia" w:ascii="Times New Roman" w:hAnsi="Times New Roman" w:cs="Times New Roman"/>
                      <w:color w:val="auto"/>
                    </w:rPr>
                  </w:pPr>
                </w:p>
              </w:tc>
              <w:tc>
                <w:tcPr>
                  <w:tcW w:w="789" w:type="dxa"/>
                  <w:vMerge w:val="continue"/>
                  <w:noWrap w:val="0"/>
                  <w:vAlign w:val="center"/>
                </w:tcPr>
                <w:p>
                  <w:pPr>
                    <w:jc w:val="center"/>
                    <w:rPr>
                      <w:rFonts w:hint="eastAsia" w:ascii="Times New Roman" w:hAnsi="Times New Roman" w:cs="Times New Roman"/>
                      <w:color w:val="auto"/>
                    </w:rPr>
                  </w:pPr>
                </w:p>
              </w:tc>
              <w:tc>
                <w:tcPr>
                  <w:tcW w:w="849" w:type="dxa"/>
                  <w:vMerge w:val="continue"/>
                  <w:noWrap w:val="0"/>
                  <w:vAlign w:val="center"/>
                </w:tcPr>
                <w:p>
                  <w:pPr>
                    <w:jc w:val="center"/>
                    <w:rPr>
                      <w:rFonts w:hint="eastAsia" w:cs="Times New Roman"/>
                      <w:color w:val="auto"/>
                      <w:lang w:val="en-US" w:eastAsia="zh-CN"/>
                    </w:rPr>
                  </w:pPr>
                </w:p>
              </w:tc>
              <w:tc>
                <w:tcPr>
                  <w:tcW w:w="846" w:type="dxa"/>
                  <w:vMerge w:val="continue"/>
                  <w:noWrap w:val="0"/>
                  <w:vAlign w:val="center"/>
                </w:tcPr>
                <w:p>
                  <w:pPr>
                    <w:jc w:val="center"/>
                    <w:rPr>
                      <w:rFonts w:hint="eastAsia" w:cs="Times New Roman"/>
                      <w:color w:val="auto"/>
                      <w:lang w:val="en-US" w:eastAsia="zh-CN"/>
                    </w:rPr>
                  </w:pPr>
                </w:p>
              </w:tc>
              <w:tc>
                <w:tcPr>
                  <w:tcW w:w="1143" w:type="dxa"/>
                  <w:vMerge w:val="continue"/>
                  <w:noWrap w:val="0"/>
                  <w:vAlign w:val="center"/>
                </w:tcPr>
                <w:p>
                  <w:pPr>
                    <w:jc w:val="center"/>
                    <w:rPr>
                      <w:rFonts w:hint="eastAsia" w:ascii="Times New Roman" w:hAnsi="Times New Roman" w:cs="Times New Roman"/>
                      <w:color w:val="auto"/>
                    </w:rPr>
                  </w:pPr>
                </w:p>
              </w:tc>
              <w:tc>
                <w:tcPr>
                  <w:tcW w:w="777" w:type="dxa"/>
                  <w:noWrap w:val="0"/>
                  <w:vAlign w:val="center"/>
                </w:tcPr>
                <w:p>
                  <w:pPr>
                    <w:jc w:val="center"/>
                    <w:rPr>
                      <w:rFonts w:ascii="Times New Roman" w:hAnsi="Times New Roman" w:cs="Times New Roman"/>
                      <w:color w:val="auto"/>
                    </w:rPr>
                  </w:pPr>
                  <w:r>
                    <w:rPr>
                      <w:rFonts w:hint="eastAsia" w:ascii="Times New Roman" w:hAnsi="Times New Roman" w:cs="Times New Roman"/>
                      <w:color w:val="auto"/>
                    </w:rPr>
                    <w:t>SO</w:t>
                  </w:r>
                  <w:r>
                    <w:rPr>
                      <w:rFonts w:hint="eastAsia" w:ascii="Times New Roman" w:hAnsi="Times New Roman" w:cs="Times New Roman"/>
                      <w:color w:val="auto"/>
                      <w:vertAlign w:val="subscript"/>
                    </w:rPr>
                    <w:t>2</w:t>
                  </w:r>
                  <w:r>
                    <w:rPr>
                      <w:rFonts w:hint="eastAsia" w:ascii="Times New Roman" w:hAnsi="Times New Roman" w:cs="Times New Roman"/>
                      <w:color w:val="auto"/>
                    </w:rPr>
                    <w:t xml:space="preserve"> </w:t>
                  </w:r>
                </w:p>
              </w:tc>
              <w:tc>
                <w:tcPr>
                  <w:tcW w:w="1145" w:type="dxa"/>
                  <w:noWrap w:val="0"/>
                  <w:vAlign w:val="center"/>
                </w:tcPr>
                <w:p>
                  <w:pPr>
                    <w:jc w:val="center"/>
                    <w:rPr>
                      <w:rFonts w:hint="default" w:ascii="Times New Roman" w:hAnsi="Times New Roman" w:eastAsia="宋体" w:cs="Times New Roman"/>
                      <w:color w:val="auto"/>
                      <w:u w:val="single"/>
                      <w:lang w:val="en-US" w:eastAsia="zh-CN"/>
                    </w:rPr>
                  </w:pPr>
                  <w:r>
                    <w:rPr>
                      <w:rFonts w:hint="eastAsia" w:cs="Times New Roman"/>
                      <w:color w:val="auto"/>
                      <w:u w:val="single"/>
                      <w:lang w:val="en-US" w:eastAsia="zh-CN"/>
                    </w:rPr>
                    <w:t>0.17</w:t>
                  </w:r>
                  <w:r>
                    <w:rPr>
                      <w:rFonts w:ascii="Times New Roman" w:hAnsi="Times New Roman" w:cs="Times New Roman"/>
                      <w:color w:val="auto"/>
                      <w:u w:val="singl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51" w:type="dxa"/>
                  <w:vMerge w:val="continue"/>
                  <w:noWrap w:val="0"/>
                  <w:vAlign w:val="center"/>
                </w:tcPr>
                <w:p>
                  <w:pPr>
                    <w:jc w:val="center"/>
                    <w:rPr>
                      <w:rFonts w:hint="eastAsia" w:cs="Times New Roman"/>
                      <w:color w:val="auto"/>
                      <w:lang w:eastAsia="zh-CN"/>
                    </w:rPr>
                  </w:pPr>
                </w:p>
              </w:tc>
              <w:tc>
                <w:tcPr>
                  <w:tcW w:w="862" w:type="dxa"/>
                  <w:vMerge w:val="continue"/>
                  <w:noWrap w:val="0"/>
                  <w:vAlign w:val="center"/>
                </w:tcPr>
                <w:p>
                  <w:pPr>
                    <w:jc w:val="center"/>
                    <w:rPr>
                      <w:rFonts w:hint="eastAsia" w:ascii="Times New Roman" w:hAnsi="Times New Roman" w:cs="Times New Roman"/>
                      <w:color w:val="auto"/>
                    </w:rPr>
                  </w:pPr>
                </w:p>
              </w:tc>
              <w:tc>
                <w:tcPr>
                  <w:tcW w:w="725" w:type="dxa"/>
                  <w:vMerge w:val="continue"/>
                  <w:noWrap w:val="0"/>
                  <w:vAlign w:val="center"/>
                </w:tcPr>
                <w:p>
                  <w:pPr>
                    <w:jc w:val="center"/>
                    <w:rPr>
                      <w:rFonts w:hint="eastAsia" w:ascii="Times New Roman" w:hAnsi="Times New Roman" w:cs="Times New Roman"/>
                      <w:color w:val="auto"/>
                    </w:rPr>
                  </w:pPr>
                </w:p>
              </w:tc>
              <w:tc>
                <w:tcPr>
                  <w:tcW w:w="809" w:type="dxa"/>
                  <w:vMerge w:val="continue"/>
                  <w:noWrap w:val="0"/>
                  <w:vAlign w:val="center"/>
                </w:tcPr>
                <w:p>
                  <w:pPr>
                    <w:jc w:val="center"/>
                    <w:rPr>
                      <w:rFonts w:hint="eastAsia" w:ascii="Times New Roman" w:hAnsi="Times New Roman" w:cs="Times New Roman"/>
                      <w:color w:val="auto"/>
                    </w:rPr>
                  </w:pPr>
                </w:p>
              </w:tc>
              <w:tc>
                <w:tcPr>
                  <w:tcW w:w="789" w:type="dxa"/>
                  <w:vMerge w:val="continue"/>
                  <w:noWrap w:val="0"/>
                  <w:vAlign w:val="center"/>
                </w:tcPr>
                <w:p>
                  <w:pPr>
                    <w:jc w:val="center"/>
                    <w:rPr>
                      <w:rFonts w:hint="eastAsia" w:ascii="Times New Roman" w:hAnsi="Times New Roman" w:cs="Times New Roman"/>
                      <w:color w:val="auto"/>
                    </w:rPr>
                  </w:pPr>
                </w:p>
              </w:tc>
              <w:tc>
                <w:tcPr>
                  <w:tcW w:w="849" w:type="dxa"/>
                  <w:vMerge w:val="continue"/>
                  <w:noWrap w:val="0"/>
                  <w:vAlign w:val="center"/>
                </w:tcPr>
                <w:p>
                  <w:pPr>
                    <w:jc w:val="center"/>
                    <w:rPr>
                      <w:rFonts w:hint="eastAsia" w:cs="Times New Roman"/>
                      <w:color w:val="auto"/>
                      <w:lang w:val="en-US" w:eastAsia="zh-CN"/>
                    </w:rPr>
                  </w:pPr>
                </w:p>
              </w:tc>
              <w:tc>
                <w:tcPr>
                  <w:tcW w:w="846" w:type="dxa"/>
                  <w:vMerge w:val="continue"/>
                  <w:noWrap w:val="0"/>
                  <w:vAlign w:val="center"/>
                </w:tcPr>
                <w:p>
                  <w:pPr>
                    <w:jc w:val="center"/>
                    <w:rPr>
                      <w:rFonts w:hint="eastAsia" w:cs="Times New Roman"/>
                      <w:color w:val="auto"/>
                      <w:lang w:val="en-US" w:eastAsia="zh-CN"/>
                    </w:rPr>
                  </w:pPr>
                </w:p>
              </w:tc>
              <w:tc>
                <w:tcPr>
                  <w:tcW w:w="1143" w:type="dxa"/>
                  <w:vMerge w:val="continue"/>
                  <w:noWrap w:val="0"/>
                  <w:vAlign w:val="center"/>
                </w:tcPr>
                <w:p>
                  <w:pPr>
                    <w:jc w:val="center"/>
                    <w:rPr>
                      <w:rFonts w:hint="eastAsia" w:ascii="Times New Roman" w:hAnsi="Times New Roman" w:cs="Times New Roman"/>
                      <w:color w:val="auto"/>
                    </w:rPr>
                  </w:pPr>
                </w:p>
              </w:tc>
              <w:tc>
                <w:tcPr>
                  <w:tcW w:w="777" w:type="dxa"/>
                  <w:noWrap w:val="0"/>
                  <w:vAlign w:val="center"/>
                </w:tcPr>
                <w:p>
                  <w:pPr>
                    <w:jc w:val="center"/>
                    <w:rPr>
                      <w:rFonts w:ascii="Times New Roman" w:hAnsi="Times New Roman" w:cs="Times New Roman"/>
                      <w:color w:val="auto"/>
                    </w:rPr>
                  </w:pPr>
                  <w:r>
                    <w:rPr>
                      <w:rFonts w:hint="eastAsia" w:ascii="Times New Roman" w:hAnsi="Times New Roman" w:cs="Times New Roman"/>
                      <w:color w:val="auto"/>
                    </w:rPr>
                    <w:t>NOx</w:t>
                  </w:r>
                </w:p>
              </w:tc>
              <w:tc>
                <w:tcPr>
                  <w:tcW w:w="1145" w:type="dxa"/>
                  <w:noWrap w:val="0"/>
                  <w:vAlign w:val="center"/>
                </w:tcPr>
                <w:p>
                  <w:pPr>
                    <w:jc w:val="center"/>
                    <w:rPr>
                      <w:rFonts w:hint="default" w:ascii="Times New Roman" w:hAnsi="Times New Roman" w:eastAsia="宋体" w:cs="Times New Roman"/>
                      <w:color w:val="auto"/>
                      <w:u w:val="single"/>
                      <w:lang w:val="en-US" w:eastAsia="zh-CN"/>
                    </w:rPr>
                  </w:pPr>
                  <w:r>
                    <w:rPr>
                      <w:rFonts w:hint="eastAsia" w:cs="Times New Roman"/>
                      <w:color w:val="auto"/>
                      <w:u w:val="single"/>
                      <w:lang w:val="en-US" w:eastAsia="zh-CN"/>
                    </w:rPr>
                    <w:t>0.28</w:t>
                  </w:r>
                  <w:r>
                    <w:rPr>
                      <w:rFonts w:ascii="Times New Roman" w:hAnsi="Times New Roman" w:cs="Times New Roman"/>
                      <w:color w:val="auto"/>
                      <w:u w:val="singl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51" w:type="dxa"/>
                  <w:vMerge w:val="continue"/>
                  <w:noWrap w:val="0"/>
                  <w:vAlign w:val="center"/>
                </w:tcPr>
                <w:p>
                  <w:pPr>
                    <w:jc w:val="center"/>
                    <w:rPr>
                      <w:rFonts w:hint="eastAsia" w:cs="Times New Roman"/>
                      <w:color w:val="auto"/>
                      <w:lang w:eastAsia="zh-CN"/>
                    </w:rPr>
                  </w:pPr>
                </w:p>
              </w:tc>
              <w:tc>
                <w:tcPr>
                  <w:tcW w:w="862" w:type="dxa"/>
                  <w:vMerge w:val="continue"/>
                  <w:noWrap w:val="0"/>
                  <w:vAlign w:val="center"/>
                </w:tcPr>
                <w:p>
                  <w:pPr>
                    <w:jc w:val="center"/>
                    <w:rPr>
                      <w:rFonts w:hint="eastAsia" w:ascii="Times New Roman" w:hAnsi="Times New Roman" w:cs="Times New Roman"/>
                      <w:color w:val="auto"/>
                    </w:rPr>
                  </w:pPr>
                </w:p>
              </w:tc>
              <w:tc>
                <w:tcPr>
                  <w:tcW w:w="725" w:type="dxa"/>
                  <w:vMerge w:val="continue"/>
                  <w:noWrap w:val="0"/>
                  <w:vAlign w:val="center"/>
                </w:tcPr>
                <w:p>
                  <w:pPr>
                    <w:jc w:val="center"/>
                    <w:rPr>
                      <w:rFonts w:hint="eastAsia" w:ascii="Times New Roman" w:hAnsi="Times New Roman" w:cs="Times New Roman"/>
                      <w:color w:val="auto"/>
                    </w:rPr>
                  </w:pPr>
                </w:p>
              </w:tc>
              <w:tc>
                <w:tcPr>
                  <w:tcW w:w="809" w:type="dxa"/>
                  <w:vMerge w:val="continue"/>
                  <w:noWrap w:val="0"/>
                  <w:vAlign w:val="center"/>
                </w:tcPr>
                <w:p>
                  <w:pPr>
                    <w:jc w:val="center"/>
                    <w:rPr>
                      <w:rFonts w:hint="eastAsia" w:ascii="Times New Roman" w:hAnsi="Times New Roman" w:cs="Times New Roman"/>
                      <w:color w:val="auto"/>
                    </w:rPr>
                  </w:pPr>
                </w:p>
              </w:tc>
              <w:tc>
                <w:tcPr>
                  <w:tcW w:w="789" w:type="dxa"/>
                  <w:vMerge w:val="continue"/>
                  <w:noWrap w:val="0"/>
                  <w:vAlign w:val="center"/>
                </w:tcPr>
                <w:p>
                  <w:pPr>
                    <w:jc w:val="center"/>
                    <w:rPr>
                      <w:rFonts w:hint="eastAsia" w:ascii="Times New Roman" w:hAnsi="Times New Roman" w:cs="Times New Roman"/>
                      <w:color w:val="auto"/>
                    </w:rPr>
                  </w:pPr>
                </w:p>
              </w:tc>
              <w:tc>
                <w:tcPr>
                  <w:tcW w:w="849" w:type="dxa"/>
                  <w:vMerge w:val="continue"/>
                  <w:noWrap w:val="0"/>
                  <w:vAlign w:val="center"/>
                </w:tcPr>
                <w:p>
                  <w:pPr>
                    <w:jc w:val="center"/>
                    <w:rPr>
                      <w:rFonts w:hint="eastAsia" w:cs="Times New Roman"/>
                      <w:color w:val="auto"/>
                      <w:lang w:val="en-US" w:eastAsia="zh-CN"/>
                    </w:rPr>
                  </w:pPr>
                </w:p>
              </w:tc>
              <w:tc>
                <w:tcPr>
                  <w:tcW w:w="846" w:type="dxa"/>
                  <w:vMerge w:val="continue"/>
                  <w:noWrap w:val="0"/>
                  <w:vAlign w:val="center"/>
                </w:tcPr>
                <w:p>
                  <w:pPr>
                    <w:jc w:val="center"/>
                    <w:rPr>
                      <w:rFonts w:hint="eastAsia" w:cs="Times New Roman"/>
                      <w:color w:val="auto"/>
                      <w:lang w:val="en-US" w:eastAsia="zh-CN"/>
                    </w:rPr>
                  </w:pPr>
                </w:p>
              </w:tc>
              <w:tc>
                <w:tcPr>
                  <w:tcW w:w="1143" w:type="dxa"/>
                  <w:vMerge w:val="restart"/>
                  <w:noWrap w:val="0"/>
                  <w:vAlign w:val="center"/>
                </w:tcPr>
                <w:p>
                  <w:pPr>
                    <w:pStyle w:val="13"/>
                    <w:tabs>
                      <w:tab w:val="left" w:pos="7920"/>
                    </w:tabs>
                    <w:snapToGrid w:val="0"/>
                    <w:jc w:val="center"/>
                    <w:rPr>
                      <w:rFonts w:hint="eastAsia" w:ascii="Times New Roman" w:hAnsi="Times New Roman" w:eastAsia="宋体" w:cs="Times New Roman"/>
                      <w:color w:val="auto"/>
                      <w:lang w:eastAsia="zh-CN"/>
                    </w:rPr>
                  </w:pPr>
                  <w:r>
                    <w:rPr>
                      <w:rFonts w:ascii="Times New Roman" w:hAnsi="Times New Roman" w:cs="Times New Roman"/>
                      <w:color w:val="auto"/>
                    </w:rPr>
                    <w:t>非正常工况</w:t>
                  </w:r>
                  <w:r>
                    <w:rPr>
                      <w:rFonts w:hint="eastAsia" w:ascii="Times New Roman" w:hAnsi="Times New Roman" w:cs="Times New Roman"/>
                      <w:color w:val="auto"/>
                      <w:lang w:eastAsia="zh-CN"/>
                    </w:rPr>
                    <w:t>（粉尘</w:t>
                  </w:r>
                  <w:r>
                    <w:rPr>
                      <w:rFonts w:hint="eastAsia" w:ascii="Times New Roman" w:hAnsi="Times New Roman" w:cs="Times New Roman"/>
                      <w:color w:val="auto"/>
                      <w:lang w:val="en-US" w:eastAsia="zh-CN"/>
                    </w:rPr>
                    <w:t>、</w:t>
                  </w:r>
                  <w:r>
                    <w:rPr>
                      <w:rFonts w:hint="eastAsia" w:ascii="Times New Roman" w:hAnsi="Times New Roman" w:cs="Times New Roman"/>
                      <w:color w:val="auto"/>
                    </w:rPr>
                    <w:t>SO</w:t>
                  </w:r>
                  <w:r>
                    <w:rPr>
                      <w:rFonts w:hint="eastAsia" w:ascii="Times New Roman" w:hAnsi="Times New Roman" w:cs="Times New Roman"/>
                      <w:color w:val="auto"/>
                      <w:vertAlign w:val="subscript"/>
                    </w:rPr>
                    <w:t>2</w:t>
                  </w:r>
                  <w:r>
                    <w:rPr>
                      <w:rFonts w:hint="eastAsia" w:ascii="Times New Roman" w:hAnsi="Times New Roman" w:cs="Times New Roman"/>
                      <w:color w:val="auto"/>
                    </w:rPr>
                    <w:t xml:space="preserve"> </w:t>
                  </w:r>
                  <w:r>
                    <w:rPr>
                      <w:rFonts w:hint="eastAsia" w:ascii="Times New Roman" w:hAnsi="Times New Roman" w:cs="Times New Roman"/>
                      <w:color w:val="auto"/>
                      <w:lang w:eastAsia="zh-CN"/>
                    </w:rPr>
                    <w:t>、</w:t>
                  </w:r>
                  <w:r>
                    <w:rPr>
                      <w:rFonts w:hint="eastAsia" w:ascii="Times New Roman" w:hAnsi="Times New Roman" w:cs="Times New Roman"/>
                      <w:color w:val="auto"/>
                    </w:rPr>
                    <w:t>NOx</w:t>
                  </w:r>
                  <w:r>
                    <w:rPr>
                      <w:rFonts w:hint="eastAsia" w:ascii="Times New Roman" w:hAnsi="Times New Roman" w:cs="Times New Roman"/>
                      <w:color w:val="auto"/>
                      <w:lang w:eastAsia="zh-CN"/>
                    </w:rPr>
                    <w:t>处理效率均为</w:t>
                  </w:r>
                  <w:r>
                    <w:rPr>
                      <w:rFonts w:hint="eastAsia" w:ascii="Times New Roman" w:hAnsi="Times New Roman" w:cs="Times New Roman"/>
                      <w:color w:val="auto"/>
                      <w:lang w:val="en-US" w:eastAsia="zh-CN"/>
                    </w:rPr>
                    <w:t>0</w:t>
                  </w:r>
                  <w:r>
                    <w:rPr>
                      <w:rFonts w:hint="eastAsia" w:ascii="Times New Roman" w:hAnsi="Times New Roman" w:cs="Times New Roman"/>
                      <w:color w:val="auto"/>
                      <w:lang w:eastAsia="zh-CN"/>
                    </w:rPr>
                    <w:t>）</w:t>
                  </w:r>
                </w:p>
              </w:tc>
              <w:tc>
                <w:tcPr>
                  <w:tcW w:w="777" w:type="dxa"/>
                  <w:noWrap w:val="0"/>
                  <w:vAlign w:val="center"/>
                </w:tcPr>
                <w:p>
                  <w:pPr>
                    <w:jc w:val="center"/>
                    <w:rPr>
                      <w:rFonts w:hint="eastAsia" w:ascii="Times New Roman" w:hAnsi="Times New Roman" w:cs="Times New Roman"/>
                      <w:color w:val="auto"/>
                    </w:rPr>
                  </w:pPr>
                  <w:r>
                    <w:rPr>
                      <w:rFonts w:hint="eastAsia" w:ascii="Times New Roman" w:hAnsi="Times New Roman" w:cs="Times New Roman"/>
                      <w:color w:val="auto"/>
                    </w:rPr>
                    <w:t>TSP</w:t>
                  </w:r>
                  <w:r>
                    <w:rPr>
                      <w:rFonts w:ascii="Times New Roman" w:hAnsi="Times New Roman" w:cs="Times New Roman"/>
                      <w:color w:val="auto"/>
                    </w:rPr>
                    <w:t xml:space="preserve">  </w:t>
                  </w:r>
                </w:p>
              </w:tc>
              <w:tc>
                <w:tcPr>
                  <w:tcW w:w="1145" w:type="dxa"/>
                  <w:noWrap w:val="0"/>
                  <w:vAlign w:val="center"/>
                </w:tcPr>
                <w:p>
                  <w:pPr>
                    <w:jc w:val="center"/>
                    <w:rPr>
                      <w:rFonts w:hint="eastAsia" w:cs="Times New Roman"/>
                      <w:color w:val="auto"/>
                      <w:u w:val="single"/>
                      <w:lang w:val="en-US" w:eastAsia="zh-CN"/>
                    </w:rPr>
                  </w:pPr>
                  <w:r>
                    <w:rPr>
                      <w:rFonts w:hint="eastAsia" w:cs="Times New Roman"/>
                      <w:color w:val="auto"/>
                      <w:u w:val="single"/>
                      <w:lang w:val="en-US" w:eastAsia="zh-CN"/>
                    </w:rPr>
                    <w:t>5.11</w:t>
                  </w:r>
                  <w:r>
                    <w:rPr>
                      <w:rFonts w:ascii="Times New Roman" w:hAnsi="Times New Roman" w:cs="Times New Roman"/>
                      <w:color w:val="auto"/>
                      <w:u w:val="singl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51" w:type="dxa"/>
                  <w:vMerge w:val="continue"/>
                  <w:noWrap w:val="0"/>
                  <w:vAlign w:val="center"/>
                </w:tcPr>
                <w:p>
                  <w:pPr>
                    <w:jc w:val="center"/>
                    <w:rPr>
                      <w:rFonts w:hint="eastAsia" w:cs="Times New Roman"/>
                      <w:color w:val="auto"/>
                      <w:lang w:eastAsia="zh-CN"/>
                    </w:rPr>
                  </w:pPr>
                </w:p>
              </w:tc>
              <w:tc>
                <w:tcPr>
                  <w:tcW w:w="862" w:type="dxa"/>
                  <w:vMerge w:val="continue"/>
                  <w:noWrap w:val="0"/>
                  <w:vAlign w:val="center"/>
                </w:tcPr>
                <w:p>
                  <w:pPr>
                    <w:jc w:val="center"/>
                    <w:rPr>
                      <w:rFonts w:hint="eastAsia" w:ascii="Times New Roman" w:hAnsi="Times New Roman" w:cs="Times New Roman"/>
                      <w:color w:val="auto"/>
                    </w:rPr>
                  </w:pPr>
                </w:p>
              </w:tc>
              <w:tc>
                <w:tcPr>
                  <w:tcW w:w="725" w:type="dxa"/>
                  <w:vMerge w:val="continue"/>
                  <w:noWrap w:val="0"/>
                  <w:vAlign w:val="center"/>
                </w:tcPr>
                <w:p>
                  <w:pPr>
                    <w:jc w:val="center"/>
                    <w:rPr>
                      <w:rFonts w:hint="eastAsia" w:ascii="Times New Roman" w:hAnsi="Times New Roman" w:cs="Times New Roman"/>
                      <w:color w:val="auto"/>
                    </w:rPr>
                  </w:pPr>
                </w:p>
              </w:tc>
              <w:tc>
                <w:tcPr>
                  <w:tcW w:w="809" w:type="dxa"/>
                  <w:vMerge w:val="continue"/>
                  <w:noWrap w:val="0"/>
                  <w:vAlign w:val="center"/>
                </w:tcPr>
                <w:p>
                  <w:pPr>
                    <w:jc w:val="center"/>
                    <w:rPr>
                      <w:rFonts w:hint="eastAsia" w:ascii="Times New Roman" w:hAnsi="Times New Roman" w:cs="Times New Roman"/>
                      <w:color w:val="auto"/>
                    </w:rPr>
                  </w:pPr>
                </w:p>
              </w:tc>
              <w:tc>
                <w:tcPr>
                  <w:tcW w:w="789" w:type="dxa"/>
                  <w:vMerge w:val="continue"/>
                  <w:noWrap w:val="0"/>
                  <w:vAlign w:val="center"/>
                </w:tcPr>
                <w:p>
                  <w:pPr>
                    <w:jc w:val="center"/>
                    <w:rPr>
                      <w:rFonts w:hint="eastAsia" w:ascii="Times New Roman" w:hAnsi="Times New Roman" w:cs="Times New Roman"/>
                      <w:color w:val="auto"/>
                    </w:rPr>
                  </w:pPr>
                </w:p>
              </w:tc>
              <w:tc>
                <w:tcPr>
                  <w:tcW w:w="849" w:type="dxa"/>
                  <w:vMerge w:val="continue"/>
                  <w:noWrap w:val="0"/>
                  <w:vAlign w:val="center"/>
                </w:tcPr>
                <w:p>
                  <w:pPr>
                    <w:jc w:val="center"/>
                    <w:rPr>
                      <w:rFonts w:hint="eastAsia" w:cs="Times New Roman"/>
                      <w:color w:val="auto"/>
                      <w:lang w:val="en-US" w:eastAsia="zh-CN"/>
                    </w:rPr>
                  </w:pPr>
                </w:p>
              </w:tc>
              <w:tc>
                <w:tcPr>
                  <w:tcW w:w="846" w:type="dxa"/>
                  <w:vMerge w:val="continue"/>
                  <w:noWrap w:val="0"/>
                  <w:vAlign w:val="center"/>
                </w:tcPr>
                <w:p>
                  <w:pPr>
                    <w:jc w:val="center"/>
                    <w:rPr>
                      <w:rFonts w:hint="eastAsia" w:cs="Times New Roman"/>
                      <w:color w:val="auto"/>
                      <w:lang w:val="en-US" w:eastAsia="zh-CN"/>
                    </w:rPr>
                  </w:pPr>
                </w:p>
              </w:tc>
              <w:tc>
                <w:tcPr>
                  <w:tcW w:w="1143" w:type="dxa"/>
                  <w:vMerge w:val="continue"/>
                  <w:noWrap w:val="0"/>
                  <w:vAlign w:val="center"/>
                </w:tcPr>
                <w:p>
                  <w:pPr>
                    <w:jc w:val="center"/>
                    <w:rPr>
                      <w:rFonts w:hint="eastAsia" w:ascii="Times New Roman" w:hAnsi="Times New Roman" w:cs="Times New Roman"/>
                      <w:color w:val="auto"/>
                    </w:rPr>
                  </w:pPr>
                </w:p>
              </w:tc>
              <w:tc>
                <w:tcPr>
                  <w:tcW w:w="777" w:type="dxa"/>
                  <w:noWrap w:val="0"/>
                  <w:vAlign w:val="center"/>
                </w:tcPr>
                <w:p>
                  <w:pPr>
                    <w:jc w:val="center"/>
                    <w:rPr>
                      <w:rFonts w:hint="eastAsia" w:ascii="Times New Roman" w:hAnsi="Times New Roman" w:cs="Times New Roman"/>
                      <w:color w:val="auto"/>
                    </w:rPr>
                  </w:pPr>
                  <w:r>
                    <w:rPr>
                      <w:rFonts w:hint="eastAsia" w:ascii="Times New Roman" w:hAnsi="Times New Roman" w:cs="Times New Roman"/>
                      <w:color w:val="auto"/>
                    </w:rPr>
                    <w:t>SO</w:t>
                  </w:r>
                  <w:r>
                    <w:rPr>
                      <w:rFonts w:hint="eastAsia" w:ascii="Times New Roman" w:hAnsi="Times New Roman" w:cs="Times New Roman"/>
                      <w:color w:val="auto"/>
                      <w:vertAlign w:val="subscript"/>
                    </w:rPr>
                    <w:t>2</w:t>
                  </w:r>
                  <w:r>
                    <w:rPr>
                      <w:rFonts w:hint="eastAsia" w:ascii="Times New Roman" w:hAnsi="Times New Roman" w:cs="Times New Roman"/>
                      <w:color w:val="auto"/>
                    </w:rPr>
                    <w:t xml:space="preserve"> </w:t>
                  </w:r>
                </w:p>
              </w:tc>
              <w:tc>
                <w:tcPr>
                  <w:tcW w:w="1145" w:type="dxa"/>
                  <w:noWrap w:val="0"/>
                  <w:vAlign w:val="center"/>
                </w:tcPr>
                <w:p>
                  <w:pPr>
                    <w:jc w:val="center"/>
                    <w:rPr>
                      <w:rFonts w:hint="eastAsia" w:cs="Times New Roman"/>
                      <w:color w:val="auto"/>
                      <w:u w:val="single"/>
                      <w:lang w:val="en-US" w:eastAsia="zh-CN"/>
                    </w:rPr>
                  </w:pPr>
                  <w:r>
                    <w:rPr>
                      <w:rFonts w:hint="eastAsia" w:cs="Times New Roman"/>
                      <w:color w:val="auto"/>
                      <w:u w:val="single"/>
                      <w:lang w:val="en-US" w:eastAsia="zh-CN"/>
                    </w:rPr>
                    <w:t>0.202</w:t>
                  </w:r>
                  <w:r>
                    <w:rPr>
                      <w:rFonts w:ascii="Times New Roman" w:hAnsi="Times New Roman" w:cs="Times New Roman"/>
                      <w:color w:val="auto"/>
                      <w:u w:val="singl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51" w:type="dxa"/>
                  <w:vMerge w:val="continue"/>
                  <w:noWrap w:val="0"/>
                  <w:vAlign w:val="center"/>
                </w:tcPr>
                <w:p>
                  <w:pPr>
                    <w:jc w:val="center"/>
                    <w:rPr>
                      <w:rFonts w:hint="eastAsia" w:cs="Times New Roman"/>
                      <w:color w:val="auto"/>
                      <w:lang w:eastAsia="zh-CN"/>
                    </w:rPr>
                  </w:pPr>
                </w:p>
              </w:tc>
              <w:tc>
                <w:tcPr>
                  <w:tcW w:w="862" w:type="dxa"/>
                  <w:vMerge w:val="continue"/>
                  <w:noWrap w:val="0"/>
                  <w:vAlign w:val="center"/>
                </w:tcPr>
                <w:p>
                  <w:pPr>
                    <w:jc w:val="center"/>
                    <w:rPr>
                      <w:rFonts w:hint="eastAsia" w:ascii="Times New Roman" w:hAnsi="Times New Roman" w:cs="Times New Roman"/>
                      <w:color w:val="auto"/>
                    </w:rPr>
                  </w:pPr>
                </w:p>
              </w:tc>
              <w:tc>
                <w:tcPr>
                  <w:tcW w:w="725" w:type="dxa"/>
                  <w:vMerge w:val="continue"/>
                  <w:noWrap w:val="0"/>
                  <w:vAlign w:val="center"/>
                </w:tcPr>
                <w:p>
                  <w:pPr>
                    <w:jc w:val="center"/>
                    <w:rPr>
                      <w:rFonts w:hint="eastAsia" w:ascii="Times New Roman" w:hAnsi="Times New Roman" w:cs="Times New Roman"/>
                      <w:color w:val="auto"/>
                    </w:rPr>
                  </w:pPr>
                </w:p>
              </w:tc>
              <w:tc>
                <w:tcPr>
                  <w:tcW w:w="809" w:type="dxa"/>
                  <w:vMerge w:val="continue"/>
                  <w:noWrap w:val="0"/>
                  <w:vAlign w:val="center"/>
                </w:tcPr>
                <w:p>
                  <w:pPr>
                    <w:jc w:val="center"/>
                    <w:rPr>
                      <w:rFonts w:hint="eastAsia" w:ascii="Times New Roman" w:hAnsi="Times New Roman" w:cs="Times New Roman"/>
                      <w:color w:val="auto"/>
                    </w:rPr>
                  </w:pPr>
                </w:p>
              </w:tc>
              <w:tc>
                <w:tcPr>
                  <w:tcW w:w="789" w:type="dxa"/>
                  <w:vMerge w:val="continue"/>
                  <w:noWrap w:val="0"/>
                  <w:vAlign w:val="center"/>
                </w:tcPr>
                <w:p>
                  <w:pPr>
                    <w:jc w:val="center"/>
                    <w:rPr>
                      <w:rFonts w:hint="eastAsia" w:ascii="Times New Roman" w:hAnsi="Times New Roman" w:cs="Times New Roman"/>
                      <w:color w:val="auto"/>
                    </w:rPr>
                  </w:pPr>
                </w:p>
              </w:tc>
              <w:tc>
                <w:tcPr>
                  <w:tcW w:w="849" w:type="dxa"/>
                  <w:vMerge w:val="continue"/>
                  <w:noWrap w:val="0"/>
                  <w:vAlign w:val="center"/>
                </w:tcPr>
                <w:p>
                  <w:pPr>
                    <w:jc w:val="center"/>
                    <w:rPr>
                      <w:rFonts w:hint="eastAsia" w:cs="Times New Roman"/>
                      <w:color w:val="auto"/>
                      <w:lang w:val="en-US" w:eastAsia="zh-CN"/>
                    </w:rPr>
                  </w:pPr>
                </w:p>
              </w:tc>
              <w:tc>
                <w:tcPr>
                  <w:tcW w:w="846" w:type="dxa"/>
                  <w:vMerge w:val="continue"/>
                  <w:noWrap w:val="0"/>
                  <w:vAlign w:val="center"/>
                </w:tcPr>
                <w:p>
                  <w:pPr>
                    <w:jc w:val="center"/>
                    <w:rPr>
                      <w:rFonts w:hint="eastAsia" w:cs="Times New Roman"/>
                      <w:color w:val="auto"/>
                      <w:lang w:val="en-US" w:eastAsia="zh-CN"/>
                    </w:rPr>
                  </w:pPr>
                </w:p>
              </w:tc>
              <w:tc>
                <w:tcPr>
                  <w:tcW w:w="1143" w:type="dxa"/>
                  <w:vMerge w:val="continue"/>
                  <w:noWrap w:val="0"/>
                  <w:vAlign w:val="center"/>
                </w:tcPr>
                <w:p>
                  <w:pPr>
                    <w:jc w:val="center"/>
                    <w:rPr>
                      <w:rFonts w:hint="eastAsia" w:ascii="Times New Roman" w:hAnsi="Times New Roman" w:cs="Times New Roman"/>
                      <w:color w:val="auto"/>
                    </w:rPr>
                  </w:pPr>
                </w:p>
              </w:tc>
              <w:tc>
                <w:tcPr>
                  <w:tcW w:w="777" w:type="dxa"/>
                  <w:noWrap w:val="0"/>
                  <w:vAlign w:val="center"/>
                </w:tcPr>
                <w:p>
                  <w:pPr>
                    <w:jc w:val="center"/>
                    <w:rPr>
                      <w:rFonts w:hint="eastAsia" w:ascii="Times New Roman" w:hAnsi="Times New Roman" w:cs="Times New Roman"/>
                      <w:color w:val="auto"/>
                    </w:rPr>
                  </w:pPr>
                  <w:r>
                    <w:rPr>
                      <w:rFonts w:hint="eastAsia" w:ascii="Times New Roman" w:hAnsi="Times New Roman" w:cs="Times New Roman"/>
                      <w:color w:val="auto"/>
                    </w:rPr>
                    <w:t>NOx</w:t>
                  </w:r>
                </w:p>
              </w:tc>
              <w:tc>
                <w:tcPr>
                  <w:tcW w:w="1145" w:type="dxa"/>
                  <w:noWrap w:val="0"/>
                  <w:vAlign w:val="center"/>
                </w:tcPr>
                <w:p>
                  <w:pPr>
                    <w:jc w:val="center"/>
                    <w:rPr>
                      <w:rFonts w:hint="eastAsia" w:cs="Times New Roman"/>
                      <w:color w:val="auto"/>
                      <w:u w:val="single"/>
                      <w:lang w:val="en-US" w:eastAsia="zh-CN"/>
                    </w:rPr>
                  </w:pPr>
                  <w:r>
                    <w:rPr>
                      <w:rFonts w:hint="eastAsia" w:cs="Times New Roman"/>
                      <w:color w:val="auto"/>
                      <w:u w:val="single"/>
                      <w:lang w:val="en-US" w:eastAsia="zh-CN"/>
                    </w:rPr>
                    <w:t>0.284</w:t>
                  </w:r>
                  <w:r>
                    <w:rPr>
                      <w:rFonts w:ascii="Times New Roman" w:hAnsi="Times New Roman" w:cs="Times New Roman"/>
                      <w:color w:val="auto"/>
                      <w:u w:val="single"/>
                    </w:rPr>
                    <w:t>kg/h</w:t>
                  </w:r>
                </w:p>
              </w:tc>
            </w:tr>
          </w:tbl>
          <w:p>
            <w:pPr>
              <w:pStyle w:val="8"/>
              <w:jc w:val="center"/>
              <w:rPr>
                <w:rFonts w:ascii="Times New Roman" w:hAnsi="Times New Roman" w:eastAsia="宋体" w:cs="Times New Roman"/>
                <w:b/>
                <w:color w:val="auto"/>
                <w:sz w:val="21"/>
                <w:szCs w:val="21"/>
              </w:rPr>
            </w:pPr>
          </w:p>
          <w:p>
            <w:pPr>
              <w:pStyle w:val="8"/>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w:t>
            </w:r>
            <w:r>
              <w:rPr>
                <w:rFonts w:ascii="Times New Roman" w:hAnsi="Times New Roman" w:cs="Times New Roman"/>
                <w:b/>
                <w:bCs/>
                <w:color w:val="auto"/>
                <w:szCs w:val="21"/>
              </w:rPr>
              <w:t>7-</w:t>
            </w:r>
            <w:r>
              <w:rPr>
                <w:rFonts w:hint="eastAsia" w:ascii="Times New Roman" w:hAnsi="Times New Roman" w:cs="Times New Roman"/>
                <w:b/>
                <w:bCs/>
                <w:color w:val="auto"/>
                <w:szCs w:val="21"/>
                <w:lang w:val="en-US" w:eastAsia="zh-CN"/>
              </w:rPr>
              <w:t>6</w:t>
            </w:r>
            <w:r>
              <w:rPr>
                <w:rFonts w:ascii="Times New Roman" w:hAnsi="Times New Roman" w:eastAsia="宋体" w:cs="Times New Roman"/>
                <w:b/>
                <w:color w:val="auto"/>
                <w:sz w:val="21"/>
                <w:szCs w:val="21"/>
              </w:rPr>
              <w:t xml:space="preserve">    无组织排放污染源强参数调查表</w:t>
            </w:r>
          </w:p>
          <w:tbl>
            <w:tblPr>
              <w:tblStyle w:val="22"/>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447"/>
              <w:gridCol w:w="1356"/>
              <w:gridCol w:w="1447"/>
              <w:gridCol w:w="145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41" w:type="pct"/>
                  <w:noWrap w:val="0"/>
                  <w:vAlign w:val="center"/>
                </w:tcPr>
                <w:p>
                  <w:pPr>
                    <w:pStyle w:val="13"/>
                    <w:tabs>
                      <w:tab w:val="left" w:pos="7920"/>
                    </w:tabs>
                    <w:jc w:val="center"/>
                    <w:rPr>
                      <w:rFonts w:ascii="Times New Roman" w:hAnsi="Times New Roman" w:cs="Times New Roman"/>
                      <w:color w:val="auto"/>
                    </w:rPr>
                  </w:pPr>
                  <w:r>
                    <w:rPr>
                      <w:rFonts w:ascii="Times New Roman" w:hAnsi="Times New Roman" w:cs="Times New Roman"/>
                      <w:color w:val="auto"/>
                    </w:rPr>
                    <w:t>污染源</w:t>
                  </w:r>
                </w:p>
              </w:tc>
              <w:tc>
                <w:tcPr>
                  <w:tcW w:w="841" w:type="pct"/>
                  <w:noWrap w:val="0"/>
                  <w:vAlign w:val="center"/>
                </w:tcPr>
                <w:p>
                  <w:pPr>
                    <w:pStyle w:val="13"/>
                    <w:tabs>
                      <w:tab w:val="left" w:pos="7920"/>
                    </w:tabs>
                    <w:jc w:val="center"/>
                    <w:rPr>
                      <w:rFonts w:ascii="Times New Roman" w:hAnsi="Times New Roman" w:cs="Times New Roman"/>
                      <w:color w:val="auto"/>
                    </w:rPr>
                  </w:pPr>
                  <w:r>
                    <w:rPr>
                      <w:rFonts w:ascii="Times New Roman" w:hAnsi="Times New Roman" w:cs="Times New Roman"/>
                      <w:color w:val="auto"/>
                    </w:rPr>
                    <w:t>污染物名称</w:t>
                  </w:r>
                </w:p>
              </w:tc>
              <w:tc>
                <w:tcPr>
                  <w:tcW w:w="788" w:type="pct"/>
                  <w:noWrap w:val="0"/>
                  <w:vAlign w:val="center"/>
                </w:tcPr>
                <w:p>
                  <w:pPr>
                    <w:pStyle w:val="13"/>
                    <w:tabs>
                      <w:tab w:val="left" w:pos="7920"/>
                    </w:tabs>
                    <w:jc w:val="center"/>
                    <w:rPr>
                      <w:rFonts w:ascii="Times New Roman" w:hAnsi="Times New Roman" w:cs="Times New Roman"/>
                      <w:color w:val="auto"/>
                    </w:rPr>
                  </w:pPr>
                  <w:r>
                    <w:rPr>
                      <w:rFonts w:ascii="Times New Roman" w:hAnsi="Times New Roman" w:cs="Times New Roman"/>
                      <w:color w:val="auto"/>
                    </w:rPr>
                    <w:t>排放速率（kg/h）</w:t>
                  </w:r>
                </w:p>
              </w:tc>
              <w:tc>
                <w:tcPr>
                  <w:tcW w:w="841" w:type="pct"/>
                  <w:noWrap w:val="0"/>
                  <w:vAlign w:val="center"/>
                </w:tcPr>
                <w:p>
                  <w:pPr>
                    <w:pStyle w:val="13"/>
                    <w:tabs>
                      <w:tab w:val="left" w:pos="7920"/>
                    </w:tabs>
                    <w:jc w:val="center"/>
                    <w:rPr>
                      <w:rFonts w:ascii="Times New Roman" w:hAnsi="Times New Roman" w:cs="Times New Roman"/>
                      <w:color w:val="auto"/>
                    </w:rPr>
                  </w:pPr>
                  <w:r>
                    <w:rPr>
                      <w:rFonts w:ascii="Times New Roman" w:hAnsi="Times New Roman" w:cs="Times New Roman"/>
                      <w:color w:val="auto"/>
                    </w:rPr>
                    <w:t>源释放高度（m）</w:t>
                  </w:r>
                </w:p>
              </w:tc>
              <w:tc>
                <w:tcPr>
                  <w:tcW w:w="843" w:type="pct"/>
                  <w:noWrap w:val="0"/>
                  <w:vAlign w:val="center"/>
                </w:tcPr>
                <w:p>
                  <w:pPr>
                    <w:pStyle w:val="13"/>
                    <w:tabs>
                      <w:tab w:val="left" w:pos="7920"/>
                    </w:tabs>
                    <w:jc w:val="center"/>
                    <w:rPr>
                      <w:rFonts w:ascii="Times New Roman" w:hAnsi="Times New Roman" w:cs="Times New Roman"/>
                      <w:color w:val="auto"/>
                    </w:rPr>
                  </w:pPr>
                  <w:r>
                    <w:rPr>
                      <w:rFonts w:ascii="Times New Roman" w:hAnsi="Times New Roman" w:cs="Times New Roman"/>
                      <w:color w:val="auto"/>
                    </w:rPr>
                    <w:t>矩形面源长（m）</w:t>
                  </w:r>
                </w:p>
              </w:tc>
              <w:tc>
                <w:tcPr>
                  <w:tcW w:w="843" w:type="pct"/>
                  <w:noWrap w:val="0"/>
                  <w:vAlign w:val="center"/>
                </w:tcPr>
                <w:p>
                  <w:pPr>
                    <w:pStyle w:val="13"/>
                    <w:tabs>
                      <w:tab w:val="left" w:pos="7920"/>
                    </w:tabs>
                    <w:jc w:val="center"/>
                    <w:rPr>
                      <w:rFonts w:ascii="Times New Roman" w:hAnsi="Times New Roman" w:cs="Times New Roman"/>
                      <w:color w:val="auto"/>
                    </w:rPr>
                  </w:pPr>
                  <w:r>
                    <w:rPr>
                      <w:rFonts w:ascii="Times New Roman" w:hAnsi="Times New Roman" w:cs="Times New Roman"/>
                      <w:color w:val="auto"/>
                    </w:rPr>
                    <w:t>矩形面源宽（m）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41" w:type="pct"/>
                  <w:noWrap w:val="0"/>
                  <w:vAlign w:val="center"/>
                </w:tcPr>
                <w:p>
                  <w:pPr>
                    <w:pStyle w:val="13"/>
                    <w:tabs>
                      <w:tab w:val="left" w:pos="7920"/>
                    </w:tabs>
                    <w:jc w:val="center"/>
                    <w:rPr>
                      <w:rFonts w:ascii="Times New Roman" w:hAnsi="Times New Roman" w:cs="Times New Roman"/>
                      <w:color w:val="auto"/>
                    </w:rPr>
                  </w:pPr>
                  <w:r>
                    <w:rPr>
                      <w:rFonts w:ascii="Times New Roman" w:hAnsi="Times New Roman" w:cs="Times New Roman"/>
                      <w:color w:val="auto"/>
                    </w:rPr>
                    <w:t>生产厂区</w:t>
                  </w:r>
                </w:p>
              </w:tc>
              <w:tc>
                <w:tcPr>
                  <w:tcW w:w="841" w:type="pct"/>
                  <w:noWrap w:val="0"/>
                  <w:vAlign w:val="center"/>
                </w:tcPr>
                <w:p>
                  <w:pPr>
                    <w:pStyle w:val="13"/>
                    <w:tabs>
                      <w:tab w:val="left" w:pos="7920"/>
                    </w:tabs>
                    <w:jc w:val="center"/>
                    <w:rPr>
                      <w:rFonts w:ascii="Times New Roman" w:hAnsi="Times New Roman" w:cs="Times New Roman"/>
                      <w:color w:val="auto"/>
                    </w:rPr>
                  </w:pPr>
                  <w:r>
                    <w:rPr>
                      <w:rFonts w:hint="eastAsia" w:ascii="Times New Roman" w:hAnsi="Times New Roman" w:cs="Times New Roman"/>
                      <w:color w:val="auto"/>
                    </w:rPr>
                    <w:t>TSP</w:t>
                  </w:r>
                  <w:r>
                    <w:rPr>
                      <w:rFonts w:ascii="Times New Roman" w:hAnsi="Times New Roman" w:cs="Times New Roman"/>
                      <w:color w:val="auto"/>
                    </w:rPr>
                    <w:t xml:space="preserve"> </w:t>
                  </w:r>
                </w:p>
              </w:tc>
              <w:tc>
                <w:tcPr>
                  <w:tcW w:w="788" w:type="pct"/>
                  <w:noWrap w:val="0"/>
                  <w:vAlign w:val="center"/>
                </w:tcPr>
                <w:p>
                  <w:pPr>
                    <w:pStyle w:val="13"/>
                    <w:tabs>
                      <w:tab w:val="left" w:pos="7920"/>
                    </w:tabs>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u w:val="single"/>
                      <w:lang w:val="en-US" w:eastAsia="zh-CN"/>
                    </w:rPr>
                    <w:t>0.12</w:t>
                  </w:r>
                </w:p>
              </w:tc>
              <w:tc>
                <w:tcPr>
                  <w:tcW w:w="841" w:type="pct"/>
                  <w:noWrap w:val="0"/>
                  <w:vAlign w:val="center"/>
                </w:tcPr>
                <w:p>
                  <w:pPr>
                    <w:pStyle w:val="13"/>
                    <w:tabs>
                      <w:tab w:val="left" w:pos="7920"/>
                    </w:tabs>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8</w:t>
                  </w:r>
                </w:p>
              </w:tc>
              <w:tc>
                <w:tcPr>
                  <w:tcW w:w="843" w:type="pct"/>
                  <w:noWrap w:val="0"/>
                  <w:vAlign w:val="center"/>
                </w:tcPr>
                <w:p>
                  <w:pPr>
                    <w:pStyle w:val="13"/>
                    <w:tabs>
                      <w:tab w:val="left" w:pos="7920"/>
                    </w:tabs>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78</w:t>
                  </w:r>
                </w:p>
              </w:tc>
              <w:tc>
                <w:tcPr>
                  <w:tcW w:w="843" w:type="pct"/>
                  <w:noWrap w:val="0"/>
                  <w:vAlign w:val="center"/>
                </w:tcPr>
                <w:p>
                  <w:pPr>
                    <w:pStyle w:val="13"/>
                    <w:tabs>
                      <w:tab w:val="left" w:pos="7920"/>
                    </w:tabs>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w:t>
                  </w:r>
                </w:p>
              </w:tc>
            </w:tr>
          </w:tbl>
          <w:p>
            <w:pPr>
              <w:adjustRightInd w:val="0"/>
              <w:spacing w:line="360" w:lineRule="auto"/>
              <w:contextualSpacing/>
              <w:jc w:val="center"/>
              <w:rPr>
                <w:rFonts w:ascii="Times New Roman" w:hAnsi="Times New Roman" w:cs="Times New Roman"/>
                <w:b/>
                <w:bCs/>
                <w:color w:val="auto"/>
                <w:szCs w:val="21"/>
              </w:rPr>
            </w:pPr>
          </w:p>
          <w:p>
            <w:pPr>
              <w:adjustRightInd w:val="0"/>
              <w:spacing w:line="360" w:lineRule="auto"/>
              <w:contextualSpacing/>
              <w:jc w:val="center"/>
              <w:rPr>
                <w:rFonts w:ascii="Times New Roman" w:hAnsi="Times New Roman" w:cs="Times New Roman"/>
                <w:b/>
                <w:bCs/>
                <w:color w:val="auto"/>
                <w:szCs w:val="21"/>
              </w:rPr>
            </w:pPr>
            <w:r>
              <w:rPr>
                <w:rFonts w:ascii="Times New Roman" w:hAnsi="Times New Roman" w:cs="Times New Roman"/>
                <w:b/>
                <w:bCs/>
                <w:color w:val="auto"/>
                <w:szCs w:val="21"/>
              </w:rPr>
              <w:t>表7-</w:t>
            </w:r>
            <w:r>
              <w:rPr>
                <w:rFonts w:hint="eastAsia" w:cs="Times New Roman"/>
                <w:b/>
                <w:bCs/>
                <w:color w:val="auto"/>
                <w:szCs w:val="21"/>
                <w:lang w:val="en-US" w:eastAsia="zh-CN"/>
              </w:rPr>
              <w:t>7</w:t>
            </w:r>
            <w:r>
              <w:rPr>
                <w:rFonts w:ascii="Times New Roman" w:hAnsi="Times New Roman" w:cs="Times New Roman"/>
                <w:b/>
                <w:bCs/>
                <w:color w:val="auto"/>
                <w:szCs w:val="21"/>
              </w:rPr>
              <w:t xml:space="preserve">   污染物评价标准</w:t>
            </w:r>
          </w:p>
          <w:tbl>
            <w:tblPr>
              <w:tblStyle w:val="23"/>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113"/>
              <w:gridCol w:w="2336"/>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污染物名称</w:t>
                  </w:r>
                </w:p>
              </w:tc>
              <w:tc>
                <w:tcPr>
                  <w:tcW w:w="211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功能区</w:t>
                  </w:r>
                </w:p>
              </w:tc>
              <w:tc>
                <w:tcPr>
                  <w:tcW w:w="233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取值时间</w:t>
                  </w:r>
                </w:p>
              </w:tc>
              <w:tc>
                <w:tcPr>
                  <w:tcW w:w="209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bookmarkStart w:id="13" w:name="OLE_LINK5"/>
                  <w:bookmarkStart w:id="14" w:name="OLE_LINK4"/>
                  <w:r>
                    <w:rPr>
                      <w:rFonts w:hint="default" w:ascii="Times New Roman" w:hAnsi="Times New Roman" w:eastAsia="宋体" w:cs="Times New Roman"/>
                      <w:i w:val="0"/>
                      <w:iCs w:val="0"/>
                      <w:color w:val="auto"/>
                      <w:sz w:val="21"/>
                      <w:szCs w:val="21"/>
                    </w:rPr>
                    <w:t>标准值</w:t>
                  </w:r>
                  <w:bookmarkEnd w:id="13"/>
                  <w:bookmarkEnd w:id="14"/>
                </w:p>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bookmarkStart w:id="15" w:name="OLE_LINK14"/>
                  <w:bookmarkStart w:id="16" w:name="OLE_LINK15"/>
                  <w:r>
                    <w:rPr>
                      <w:rFonts w:hint="default" w:ascii="Times New Roman" w:hAnsi="Times New Roman" w:eastAsia="宋体" w:cs="Times New Roman"/>
                      <w:i w:val="0"/>
                      <w:iCs w:val="0"/>
                      <w:color w:val="auto"/>
                      <w:sz w:val="21"/>
                      <w:szCs w:val="21"/>
                    </w:rPr>
                    <w:t>(μg/m</w:t>
                  </w:r>
                  <w:r>
                    <w:rPr>
                      <w:rFonts w:hint="default" w:ascii="Times New Roman" w:hAnsi="Times New Roman" w:eastAsia="宋体" w:cs="Times New Roman"/>
                      <w:i w:val="0"/>
                      <w:iCs w:val="0"/>
                      <w:color w:val="auto"/>
                      <w:sz w:val="21"/>
                      <w:szCs w:val="21"/>
                      <w:vertAlign w:val="superscript"/>
                    </w:rPr>
                    <w:t>3</w:t>
                  </w:r>
                  <w:r>
                    <w:rPr>
                      <w:rFonts w:hint="default" w:ascii="Times New Roman" w:hAnsi="Times New Roman" w:eastAsia="宋体" w:cs="Times New Roman"/>
                      <w:i w:val="0"/>
                      <w:iCs w:val="0"/>
                      <w:color w:val="auto"/>
                      <w:sz w:val="21"/>
                      <w:szCs w:val="21"/>
                    </w:rPr>
                    <w:t>)</w:t>
                  </w:r>
                  <w:bookmarkEnd w:id="15"/>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TSP</w:t>
                  </w:r>
                </w:p>
              </w:tc>
              <w:tc>
                <w:tcPr>
                  <w:tcW w:w="211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二类限区</w:t>
                  </w:r>
                </w:p>
              </w:tc>
              <w:tc>
                <w:tcPr>
                  <w:tcW w:w="233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一小时</w:t>
                  </w:r>
                </w:p>
              </w:tc>
              <w:tc>
                <w:tcPr>
                  <w:tcW w:w="209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eastAsia" w:ascii="Times New Roman" w:hAnsi="Times New Roman" w:eastAsia="宋体" w:cs="Times New Roman"/>
                      <w:i w:val="0"/>
                      <w:iCs w:val="0"/>
                      <w:color w:val="auto"/>
                      <w:sz w:val="21"/>
                      <w:szCs w:val="21"/>
                      <w:lang w:val="en-US" w:eastAsia="zh-CN"/>
                    </w:rPr>
                    <w:t>9</w:t>
                  </w:r>
                  <w:r>
                    <w:rPr>
                      <w:rFonts w:hint="default" w:ascii="Times New Roman" w:hAnsi="Times New Roman" w:eastAsia="宋体" w:cs="Times New Roman"/>
                      <w:i w:val="0"/>
                      <w:iCs w:val="0"/>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SO2</w:t>
                  </w:r>
                </w:p>
              </w:tc>
              <w:tc>
                <w:tcPr>
                  <w:tcW w:w="211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二类限区</w:t>
                  </w:r>
                </w:p>
              </w:tc>
              <w:tc>
                <w:tcPr>
                  <w:tcW w:w="233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一小时</w:t>
                  </w:r>
                </w:p>
              </w:tc>
              <w:tc>
                <w:tcPr>
                  <w:tcW w:w="209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NOx</w:t>
                  </w:r>
                </w:p>
              </w:tc>
              <w:tc>
                <w:tcPr>
                  <w:tcW w:w="211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二类限区</w:t>
                  </w:r>
                </w:p>
              </w:tc>
              <w:tc>
                <w:tcPr>
                  <w:tcW w:w="233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一小时</w:t>
                  </w:r>
                </w:p>
              </w:tc>
              <w:tc>
                <w:tcPr>
                  <w:tcW w:w="209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250.0</w:t>
                  </w:r>
                </w:p>
              </w:tc>
            </w:tr>
          </w:tbl>
          <w:p>
            <w:pPr>
              <w:spacing w:line="360" w:lineRule="auto"/>
              <w:rPr>
                <w:rFonts w:ascii="Times New Roman" w:hAnsi="Times New Roman" w:cs="Times New Roman"/>
                <w:b/>
                <w:bCs/>
                <w:color w:val="auto"/>
                <w:sz w:val="24"/>
              </w:rPr>
            </w:pPr>
          </w:p>
          <w:p>
            <w:pPr>
              <w:spacing w:line="360" w:lineRule="auto"/>
              <w:ind w:firstLine="482" w:firstLineChars="200"/>
              <w:rPr>
                <w:rFonts w:ascii="Times New Roman" w:hAnsi="Times New Roman" w:cs="Times New Roman"/>
                <w:b/>
                <w:color w:val="auto"/>
                <w:szCs w:val="21"/>
              </w:rPr>
            </w:pPr>
            <w:r>
              <w:rPr>
                <w:rFonts w:ascii="Times New Roman" w:hAnsi="Times New Roman" w:cs="Times New Roman"/>
                <w:b/>
                <w:bCs/>
                <w:color w:val="auto"/>
                <w:sz w:val="24"/>
              </w:rPr>
              <w:t>预测结果：</w:t>
            </w:r>
          </w:p>
          <w:p>
            <w:pPr>
              <w:adjustRightInd w:val="0"/>
              <w:spacing w:line="360" w:lineRule="auto"/>
              <w:ind w:firstLine="480" w:firstLineChars="200"/>
              <w:rPr>
                <w:b/>
                <w:bCs/>
                <w:color w:val="auto"/>
                <w:sz w:val="21"/>
                <w:szCs w:val="21"/>
              </w:rPr>
            </w:pPr>
            <w:r>
              <w:rPr>
                <w:color w:val="auto"/>
                <w:sz w:val="24"/>
              </w:rPr>
              <w:t>预测采用估算模式（AERSCREEN），预测结果如下表所示。</w:t>
            </w:r>
          </w:p>
          <w:p>
            <w:pPr>
              <w:pStyle w:val="14"/>
              <w:jc w:val="center"/>
              <w:rPr>
                <w:b/>
                <w:bCs/>
                <w:color w:val="auto"/>
                <w:sz w:val="21"/>
                <w:szCs w:val="21"/>
              </w:rPr>
            </w:pPr>
            <w:r>
              <w:rPr>
                <w:b/>
                <w:bCs/>
                <w:color w:val="auto"/>
                <w:sz w:val="21"/>
                <w:szCs w:val="21"/>
              </w:rPr>
              <w:t>表</w:t>
            </w:r>
            <w:r>
              <w:rPr>
                <w:rFonts w:hint="eastAsia"/>
                <w:b/>
                <w:bCs/>
                <w:color w:val="auto"/>
                <w:sz w:val="21"/>
                <w:szCs w:val="21"/>
              </w:rPr>
              <w:t>7-</w:t>
            </w:r>
            <w:r>
              <w:rPr>
                <w:rFonts w:hint="eastAsia"/>
                <w:b/>
                <w:bCs/>
                <w:color w:val="auto"/>
                <w:sz w:val="21"/>
                <w:szCs w:val="21"/>
                <w:lang w:val="en-US" w:eastAsia="zh-CN"/>
              </w:rPr>
              <w:t>8</w:t>
            </w:r>
            <w:r>
              <w:rPr>
                <w:b/>
                <w:bCs/>
                <w:color w:val="auto"/>
                <w:sz w:val="21"/>
                <w:szCs w:val="21"/>
              </w:rPr>
              <w:t xml:space="preserve">  有组织废气正常工况排放估算模式计算结果</w:t>
            </w:r>
          </w:p>
          <w:p>
            <w:pPr>
              <w:pStyle w:val="14"/>
              <w:rPr>
                <w:color w:val="auto"/>
              </w:rPr>
            </w:pPr>
          </w:p>
          <w:tbl>
            <w:tblPr>
              <w:tblStyle w:val="22"/>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584"/>
              <w:gridCol w:w="1121"/>
              <w:gridCol w:w="1459"/>
              <w:gridCol w:w="978"/>
              <w:gridCol w:w="148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77" w:type="dxa"/>
                  <w:vMerge w:val="restart"/>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下风向距离/m</w:t>
                  </w:r>
                </w:p>
              </w:tc>
              <w:tc>
                <w:tcPr>
                  <w:tcW w:w="2705" w:type="dxa"/>
                  <w:gridSpan w:val="2"/>
                  <w:noWrap w:val="0"/>
                  <w:vAlign w:val="center"/>
                </w:tcPr>
                <w:p>
                  <w:pPr>
                    <w:adjustRightInd w:val="0"/>
                    <w:snapToGrid w:val="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SO</w:t>
                  </w:r>
                  <w:r>
                    <w:rPr>
                      <w:rFonts w:hint="default" w:ascii="Times New Roman" w:hAnsi="Times New Roman" w:cs="Times New Roman"/>
                      <w:color w:val="auto"/>
                      <w:sz w:val="21"/>
                      <w:szCs w:val="21"/>
                      <w:u w:val="single"/>
                      <w:vertAlign w:val="subscript"/>
                    </w:rPr>
                    <w:t>2</w:t>
                  </w:r>
                </w:p>
              </w:tc>
              <w:tc>
                <w:tcPr>
                  <w:tcW w:w="2437" w:type="dxa"/>
                  <w:gridSpan w:val="2"/>
                  <w:noWrap w:val="0"/>
                  <w:vAlign w:val="center"/>
                </w:tcPr>
                <w:p>
                  <w:pPr>
                    <w:adjustRightInd w:val="0"/>
                    <w:snapToGrid w:val="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TSP</w:t>
                  </w:r>
                </w:p>
              </w:tc>
              <w:tc>
                <w:tcPr>
                  <w:tcW w:w="2479" w:type="dxa"/>
                  <w:gridSpan w:val="2"/>
                  <w:noWrap w:val="0"/>
                  <w:vAlign w:val="center"/>
                </w:tcPr>
                <w:p>
                  <w:pPr>
                    <w:adjustRightInd w:val="0"/>
                    <w:snapToGrid w:val="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NO</w:t>
                  </w:r>
                  <w:r>
                    <w:rPr>
                      <w:rFonts w:hint="default" w:ascii="Times New Roman" w:hAnsi="Times New Roman" w:cs="Times New Roman"/>
                      <w:color w:val="auto"/>
                      <w:sz w:val="21"/>
                      <w:szCs w:val="21"/>
                      <w:u w:val="single"/>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077" w:type="dxa"/>
                  <w:vMerge w:val="continue"/>
                  <w:noWrap w:val="0"/>
                  <w:vAlign w:val="center"/>
                </w:tcPr>
                <w:p>
                  <w:pPr>
                    <w:widowControl/>
                    <w:adjustRightInd w:val="0"/>
                    <w:snapToGrid w:val="0"/>
                    <w:jc w:val="center"/>
                    <w:rPr>
                      <w:rFonts w:hint="default" w:ascii="Times New Roman" w:hAnsi="Times New Roman" w:cs="Times New Roman"/>
                      <w:color w:val="auto"/>
                      <w:sz w:val="21"/>
                      <w:szCs w:val="21"/>
                      <w:u w:val="single"/>
                    </w:rPr>
                  </w:pPr>
                </w:p>
              </w:tc>
              <w:tc>
                <w:tcPr>
                  <w:tcW w:w="1584"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预测质量浓度（ug/m</w:t>
                  </w:r>
                  <w:r>
                    <w:rPr>
                      <w:rFonts w:hint="default" w:ascii="Times New Roman" w:hAnsi="Times New Roman" w:cs="Times New Roman"/>
                      <w:color w:val="auto"/>
                      <w:sz w:val="21"/>
                      <w:szCs w:val="21"/>
                      <w:u w:val="single"/>
                      <w:vertAlign w:val="superscript"/>
                    </w:rPr>
                    <w:t>3</w:t>
                  </w:r>
                  <w:r>
                    <w:rPr>
                      <w:rFonts w:hint="default" w:ascii="Times New Roman" w:hAnsi="Times New Roman" w:cs="Times New Roman"/>
                      <w:color w:val="auto"/>
                      <w:sz w:val="21"/>
                      <w:szCs w:val="21"/>
                      <w:u w:val="single"/>
                    </w:rPr>
                    <w:t>）</w:t>
                  </w:r>
                </w:p>
              </w:tc>
              <w:tc>
                <w:tcPr>
                  <w:tcW w:w="1121"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占标率/%</w:t>
                  </w:r>
                </w:p>
              </w:tc>
              <w:tc>
                <w:tcPr>
                  <w:tcW w:w="1459"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预测质量浓度（ug/m</w:t>
                  </w:r>
                  <w:r>
                    <w:rPr>
                      <w:rFonts w:hint="default" w:ascii="Times New Roman" w:hAnsi="Times New Roman" w:cs="Times New Roman"/>
                      <w:color w:val="auto"/>
                      <w:sz w:val="21"/>
                      <w:szCs w:val="21"/>
                      <w:u w:val="single"/>
                      <w:vertAlign w:val="superscript"/>
                    </w:rPr>
                    <w:t>3</w:t>
                  </w:r>
                  <w:r>
                    <w:rPr>
                      <w:rFonts w:hint="default" w:ascii="Times New Roman" w:hAnsi="Times New Roman" w:cs="Times New Roman"/>
                      <w:color w:val="auto"/>
                      <w:sz w:val="21"/>
                      <w:szCs w:val="21"/>
                      <w:u w:val="single"/>
                    </w:rPr>
                    <w:t>）</w:t>
                  </w:r>
                </w:p>
              </w:tc>
              <w:tc>
                <w:tcPr>
                  <w:tcW w:w="978"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占标率/%</w:t>
                  </w:r>
                </w:p>
              </w:tc>
              <w:tc>
                <w:tcPr>
                  <w:tcW w:w="1487"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预测质量浓度（ug/m</w:t>
                  </w:r>
                  <w:r>
                    <w:rPr>
                      <w:rFonts w:hint="default" w:ascii="Times New Roman" w:hAnsi="Times New Roman" w:cs="Times New Roman"/>
                      <w:color w:val="auto"/>
                      <w:sz w:val="21"/>
                      <w:szCs w:val="21"/>
                      <w:u w:val="single"/>
                      <w:vertAlign w:val="superscript"/>
                    </w:rPr>
                    <w:t>3</w:t>
                  </w:r>
                  <w:r>
                    <w:rPr>
                      <w:rFonts w:hint="default" w:ascii="Times New Roman" w:hAnsi="Times New Roman" w:cs="Times New Roman"/>
                      <w:color w:val="auto"/>
                      <w:sz w:val="21"/>
                      <w:szCs w:val="21"/>
                      <w:u w:val="single"/>
                    </w:rPr>
                    <w:t>）</w:t>
                  </w:r>
                </w:p>
              </w:tc>
              <w:tc>
                <w:tcPr>
                  <w:tcW w:w="992"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0.169</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0.034</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0.026</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color w:val="auto"/>
                      <w:kern w:val="0"/>
                      <w:sz w:val="21"/>
                      <w:szCs w:val="21"/>
                      <w:u w:val="single"/>
                      <w:lang w:val="en-US" w:eastAsia="zh-CN" w:bidi="ar"/>
                    </w:rPr>
                    <w:t>0.003</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0.278</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3.950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0.790</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0.605</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color w:val="auto"/>
                      <w:kern w:val="0"/>
                      <w:sz w:val="21"/>
                      <w:szCs w:val="21"/>
                      <w:u w:val="single"/>
                      <w:lang w:val="en-US" w:eastAsia="zh-CN" w:bidi="ar"/>
                    </w:rPr>
                    <w:t>0.067</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6.510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b/>
                      <w:bCs/>
                      <w:color w:val="auto"/>
                      <w:sz w:val="21"/>
                      <w:szCs w:val="21"/>
                      <w:u w:val="single"/>
                    </w:rPr>
                  </w:pPr>
                  <w:r>
                    <w:rPr>
                      <w:rFonts w:hint="default" w:ascii="Times New Roman" w:hAnsi="Times New Roman" w:cs="Times New Roman"/>
                      <w:color w:val="auto"/>
                      <w:kern w:val="0"/>
                      <w:sz w:val="21"/>
                      <w:szCs w:val="21"/>
                      <w:u w:val="single"/>
                    </w:rPr>
                    <w:t>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5.290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1.058</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0.810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i w:val="0"/>
                      <w:color w:val="auto"/>
                      <w:kern w:val="0"/>
                      <w:sz w:val="21"/>
                      <w:szCs w:val="21"/>
                      <w:u w:val="single"/>
                      <w:lang w:val="en-US" w:eastAsia="zh-CN" w:bidi="ar"/>
                    </w:rPr>
                    <w:t>0.090</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8.720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b/>
                      <w:bCs/>
                      <w:color w:val="auto"/>
                      <w:sz w:val="21"/>
                      <w:szCs w:val="21"/>
                      <w:u w:val="single"/>
                    </w:rPr>
                  </w:pPr>
                  <w:r>
                    <w:rPr>
                      <w:rFonts w:hint="default" w:ascii="Times New Roman" w:hAnsi="Times New Roman" w:cs="Times New Roman"/>
                      <w:color w:val="auto"/>
                      <w:kern w:val="0"/>
                      <w:sz w:val="21"/>
                      <w:szCs w:val="21"/>
                      <w:u w:val="single"/>
                    </w:rPr>
                    <w:t>100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8.410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1.682</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1.290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i w:val="0"/>
                      <w:color w:val="auto"/>
                      <w:kern w:val="0"/>
                      <w:sz w:val="21"/>
                      <w:szCs w:val="21"/>
                      <w:u w:val="single"/>
                      <w:lang w:val="en-US" w:eastAsia="zh-CN" w:bidi="ar"/>
                    </w:rPr>
                    <w:t>0.143</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13.900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b/>
                      <w:bCs/>
                      <w:color w:val="auto"/>
                      <w:kern w:val="0"/>
                      <w:sz w:val="21"/>
                      <w:szCs w:val="21"/>
                      <w:u w:val="single"/>
                      <w:lang w:val="en-US" w:eastAsia="zh-CN"/>
                    </w:rPr>
                  </w:pPr>
                  <w:r>
                    <w:rPr>
                      <w:rFonts w:hint="default" w:ascii="Times New Roman" w:hAnsi="Times New Roman" w:cs="Times New Roman"/>
                      <w:b/>
                      <w:bCs/>
                      <w:color w:val="auto"/>
                      <w:kern w:val="0"/>
                      <w:sz w:val="21"/>
                      <w:szCs w:val="21"/>
                      <w:u w:val="single"/>
                      <w:lang w:val="en-US" w:eastAsia="zh-CN"/>
                    </w:rPr>
                    <w:t>115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9.000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1.800</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lang w:val="en-US"/>
                    </w:rPr>
                  </w:pPr>
                  <w:r>
                    <w:rPr>
                      <w:rFonts w:hint="default" w:ascii="Times New Roman" w:hAnsi="Times New Roman" w:eastAsia="宋体" w:cs="Times New Roman"/>
                      <w:b/>
                      <w:bCs/>
                      <w:i w:val="0"/>
                      <w:color w:val="auto"/>
                      <w:kern w:val="0"/>
                      <w:sz w:val="21"/>
                      <w:szCs w:val="21"/>
                      <w:u w:val="single"/>
                      <w:lang w:val="en-US" w:eastAsia="zh-CN" w:bidi="ar"/>
                    </w:rPr>
                    <w:t>1.380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i w:val="0"/>
                      <w:color w:val="auto"/>
                      <w:kern w:val="0"/>
                      <w:sz w:val="21"/>
                      <w:szCs w:val="21"/>
                      <w:u w:val="single"/>
                      <w:lang w:val="en-US" w:eastAsia="zh-CN" w:bidi="ar"/>
                    </w:rPr>
                    <w:t>0.153</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14.800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125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8.800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1.760</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1.350</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0.150</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14.500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150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7.930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1.586</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1.210</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0.134</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13.100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175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7.040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1.408</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1.080</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0.120</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11.600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200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6.240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1.248</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0.954</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0.106</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10.300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5.540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1.108</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0.848</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0.094</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9.130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4.960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0.992</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0.758</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0.084</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8.160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4.460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0.892</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0.681</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0.076</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7.340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300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4.030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0.806</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0.616</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0.068</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6.640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325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3.670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0.734</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0.561</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0.062</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6.040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350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3.350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0.670</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0.513</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0.057</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5.520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375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3.080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0.616</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0.471</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0.052</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5.070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400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2.840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0.568</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0.435</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0.048</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4.680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425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2.630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0.526</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0.403</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0.045</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4.340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450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2.450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0.490</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0.374</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0.042</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4.030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475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2.280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0.456</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0.349</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0.039</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3.760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500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2.140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0.428</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0.327</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0.036</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3.520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525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2.010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0.402</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0.307</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0.034</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3.300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550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1.890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0.378</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0.289</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0.032</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3.110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575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1.780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0.356</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0.272</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0.030</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2.930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600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1.680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0.336</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0.258</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0.029</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2.770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625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1.600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0.320</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0.244</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0.027</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2.630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650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1.520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0.304</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0.232</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0.026</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2.500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675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1.440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0.288</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0.220</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0.024</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2.370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700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1.370</w:t>
                  </w:r>
                </w:p>
              </w:tc>
              <w:tc>
                <w:tcPr>
                  <w:tcW w:w="112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0.274</w:t>
                  </w:r>
                </w:p>
              </w:tc>
              <w:tc>
                <w:tcPr>
                  <w:tcW w:w="145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0.210</w:t>
                  </w:r>
                </w:p>
              </w:tc>
              <w:tc>
                <w:tcPr>
                  <w:tcW w:w="97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0.023</w:t>
                  </w:r>
                </w:p>
              </w:tc>
              <w:tc>
                <w:tcPr>
                  <w:tcW w:w="14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2.260</w:t>
                  </w:r>
                </w:p>
              </w:tc>
              <w:tc>
                <w:tcPr>
                  <w:tcW w:w="99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077" w:type="dxa"/>
                  <w:noWrap w:val="0"/>
                  <w:vAlign w:val="center"/>
                </w:tcPr>
                <w:p>
                  <w:pPr>
                    <w:widowControl/>
                    <w:adjustRightInd w:val="0"/>
                    <w:snapToGrid w:val="0"/>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下风向最大质量浓度及占标率%</w:t>
                  </w:r>
                </w:p>
              </w:tc>
              <w:tc>
                <w:tcPr>
                  <w:tcW w:w="2705" w:type="dxa"/>
                  <w:gridSpan w:val="2"/>
                  <w:noWrap w:val="0"/>
                  <w:vAlign w:val="center"/>
                </w:tcPr>
                <w:p>
                  <w:pPr>
                    <w:adjustRightInd w:val="0"/>
                    <w:snapToGrid w:val="0"/>
                    <w:jc w:val="center"/>
                    <w:rPr>
                      <w:rFonts w:hint="default" w:ascii="Times New Roman" w:hAnsi="Times New Roman" w:cs="Times New Roman"/>
                      <w:b/>
                      <w:bCs/>
                      <w:color w:val="auto"/>
                      <w:sz w:val="21"/>
                      <w:szCs w:val="21"/>
                      <w:u w:val="single"/>
                    </w:rPr>
                  </w:pPr>
                  <w:r>
                    <w:rPr>
                      <w:rFonts w:hint="eastAsia" w:cs="Times New Roman"/>
                      <w:b/>
                      <w:bCs/>
                      <w:color w:val="auto"/>
                      <w:sz w:val="21"/>
                      <w:szCs w:val="21"/>
                      <w:u w:val="single"/>
                      <w:lang w:val="en-US" w:eastAsia="zh-CN"/>
                    </w:rPr>
                    <w:t>9.0</w:t>
                  </w:r>
                  <w:r>
                    <w:rPr>
                      <w:rFonts w:hint="default" w:ascii="Times New Roman" w:hAnsi="Times New Roman" w:cs="Times New Roman"/>
                      <w:b/>
                      <w:bCs/>
                      <w:color w:val="auto"/>
                      <w:sz w:val="21"/>
                      <w:szCs w:val="21"/>
                      <w:u w:val="single"/>
                    </w:rPr>
                    <w:t>ug/m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w:t>
                  </w:r>
                  <w:r>
                    <w:rPr>
                      <w:rFonts w:hint="eastAsia" w:cs="Times New Roman"/>
                      <w:b/>
                      <w:bCs/>
                      <w:color w:val="auto"/>
                      <w:sz w:val="21"/>
                      <w:szCs w:val="21"/>
                      <w:u w:val="single"/>
                      <w:lang w:val="en-US" w:eastAsia="zh-CN"/>
                    </w:rPr>
                    <w:t>1.8</w:t>
                  </w:r>
                  <w:r>
                    <w:rPr>
                      <w:rFonts w:hint="default" w:ascii="Times New Roman" w:hAnsi="Times New Roman" w:cs="Times New Roman"/>
                      <w:b/>
                      <w:bCs/>
                      <w:color w:val="auto"/>
                      <w:sz w:val="21"/>
                      <w:szCs w:val="21"/>
                      <w:u w:val="single"/>
                    </w:rPr>
                    <w:t>%</w:t>
                  </w:r>
                </w:p>
              </w:tc>
              <w:tc>
                <w:tcPr>
                  <w:tcW w:w="2437" w:type="dxa"/>
                  <w:gridSpan w:val="2"/>
                  <w:noWrap w:val="0"/>
                  <w:vAlign w:val="center"/>
                </w:tcPr>
                <w:p>
                  <w:pPr>
                    <w:adjustRightInd w:val="0"/>
                    <w:snapToGrid w:val="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val="en-US" w:eastAsia="zh-CN"/>
                    </w:rPr>
                    <w:t>1.</w:t>
                  </w:r>
                  <w:r>
                    <w:rPr>
                      <w:rFonts w:hint="eastAsia" w:cs="Times New Roman"/>
                      <w:b/>
                      <w:bCs/>
                      <w:color w:val="auto"/>
                      <w:sz w:val="21"/>
                      <w:szCs w:val="21"/>
                      <w:u w:val="single"/>
                      <w:lang w:val="en-US" w:eastAsia="zh-CN"/>
                    </w:rPr>
                    <w:t>38</w:t>
                  </w:r>
                  <w:r>
                    <w:rPr>
                      <w:rFonts w:hint="default" w:ascii="Times New Roman" w:hAnsi="Times New Roman" w:cs="Times New Roman"/>
                      <w:b/>
                      <w:bCs/>
                      <w:color w:val="auto"/>
                      <w:sz w:val="21"/>
                      <w:szCs w:val="21"/>
                      <w:u w:val="single"/>
                    </w:rPr>
                    <w:t>ug/m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、0.</w:t>
                  </w:r>
                  <w:r>
                    <w:rPr>
                      <w:rFonts w:hint="eastAsia" w:cs="Times New Roman"/>
                      <w:b/>
                      <w:bCs/>
                      <w:color w:val="auto"/>
                      <w:sz w:val="21"/>
                      <w:szCs w:val="21"/>
                      <w:u w:val="single"/>
                      <w:lang w:val="en-US" w:eastAsia="zh-CN"/>
                    </w:rPr>
                    <w:t>153</w:t>
                  </w:r>
                  <w:r>
                    <w:rPr>
                      <w:rFonts w:hint="default" w:ascii="Times New Roman" w:hAnsi="Times New Roman" w:cs="Times New Roman"/>
                      <w:b/>
                      <w:bCs/>
                      <w:color w:val="auto"/>
                      <w:sz w:val="21"/>
                      <w:szCs w:val="21"/>
                      <w:u w:val="single"/>
                    </w:rPr>
                    <w:t>%</w:t>
                  </w:r>
                </w:p>
              </w:tc>
              <w:tc>
                <w:tcPr>
                  <w:tcW w:w="2479" w:type="dxa"/>
                  <w:gridSpan w:val="2"/>
                  <w:noWrap w:val="0"/>
                  <w:vAlign w:val="center"/>
                </w:tcPr>
                <w:p>
                  <w:pPr>
                    <w:adjustRightInd w:val="0"/>
                    <w:snapToGrid w:val="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val="en-US" w:eastAsia="zh-CN"/>
                    </w:rPr>
                    <w:t>1</w:t>
                  </w:r>
                  <w:r>
                    <w:rPr>
                      <w:rFonts w:hint="eastAsia" w:cs="Times New Roman"/>
                      <w:b/>
                      <w:bCs/>
                      <w:color w:val="auto"/>
                      <w:sz w:val="21"/>
                      <w:szCs w:val="21"/>
                      <w:u w:val="single"/>
                      <w:lang w:val="en-US" w:eastAsia="zh-CN"/>
                    </w:rPr>
                    <w:t>4.80</w:t>
                  </w:r>
                  <w:r>
                    <w:rPr>
                      <w:rFonts w:hint="default" w:ascii="Times New Roman" w:hAnsi="Times New Roman" w:cs="Times New Roman"/>
                      <w:b/>
                      <w:bCs/>
                      <w:color w:val="auto"/>
                      <w:sz w:val="21"/>
                      <w:szCs w:val="21"/>
                      <w:u w:val="single"/>
                    </w:rPr>
                    <w:t>ug/m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w:t>
                  </w:r>
                  <w:r>
                    <w:rPr>
                      <w:rFonts w:hint="eastAsia" w:cs="Times New Roman"/>
                      <w:b/>
                      <w:bCs/>
                      <w:color w:val="auto"/>
                      <w:sz w:val="21"/>
                      <w:szCs w:val="21"/>
                      <w:u w:val="single"/>
                      <w:lang w:val="en-US" w:eastAsia="zh-CN"/>
                    </w:rPr>
                    <w:t>5.92</w:t>
                  </w:r>
                  <w:r>
                    <w:rPr>
                      <w:rFonts w:hint="default" w:ascii="Times New Roman" w:hAnsi="Times New Roman" w:cs="Times New Roman"/>
                      <w:b/>
                      <w:bCs/>
                      <w:color w:val="auto"/>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77" w:type="dxa"/>
                  <w:noWrap w:val="0"/>
                  <w:vAlign w:val="center"/>
                </w:tcPr>
                <w:p>
                  <w:pPr>
                    <w:pStyle w:val="8"/>
                    <w:tabs>
                      <w:tab w:val="left" w:pos="0"/>
                    </w:tabs>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评价等级</w:t>
                  </w:r>
                </w:p>
              </w:tc>
              <w:tc>
                <w:tcPr>
                  <w:tcW w:w="7621" w:type="dxa"/>
                  <w:gridSpan w:val="6"/>
                  <w:noWrap w:val="0"/>
                  <w:vAlign w:val="center"/>
                </w:tcPr>
                <w:p>
                  <w:pPr>
                    <w:widowControl/>
                    <w:adjustRightInd w:val="0"/>
                    <w:snapToGrid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二级</w:t>
                  </w:r>
                </w:p>
              </w:tc>
            </w:tr>
          </w:tbl>
          <w:p>
            <w:pPr>
              <w:pStyle w:val="14"/>
              <w:jc w:val="both"/>
              <w:rPr>
                <w:b/>
                <w:bCs/>
                <w:color w:val="auto"/>
                <w:sz w:val="21"/>
                <w:szCs w:val="21"/>
              </w:rPr>
            </w:pPr>
          </w:p>
          <w:p>
            <w:pPr>
              <w:pStyle w:val="14"/>
              <w:jc w:val="both"/>
              <w:rPr>
                <w:b/>
                <w:bCs/>
                <w:color w:val="auto"/>
                <w:sz w:val="21"/>
                <w:szCs w:val="21"/>
              </w:rPr>
            </w:pPr>
          </w:p>
          <w:p>
            <w:pPr>
              <w:pStyle w:val="14"/>
              <w:jc w:val="center"/>
              <w:rPr>
                <w:b/>
                <w:bCs/>
                <w:color w:val="auto"/>
                <w:sz w:val="21"/>
                <w:szCs w:val="21"/>
              </w:rPr>
            </w:pPr>
            <w:r>
              <w:rPr>
                <w:b/>
                <w:bCs/>
                <w:color w:val="auto"/>
                <w:sz w:val="21"/>
                <w:szCs w:val="21"/>
              </w:rPr>
              <w:t>表</w:t>
            </w:r>
            <w:r>
              <w:rPr>
                <w:rFonts w:hint="eastAsia"/>
                <w:b/>
                <w:bCs/>
                <w:color w:val="auto"/>
                <w:sz w:val="21"/>
                <w:szCs w:val="21"/>
              </w:rPr>
              <w:t>7-</w:t>
            </w:r>
            <w:r>
              <w:rPr>
                <w:rFonts w:hint="eastAsia"/>
                <w:b/>
                <w:bCs/>
                <w:color w:val="auto"/>
                <w:sz w:val="21"/>
                <w:szCs w:val="21"/>
                <w:lang w:val="en-US" w:eastAsia="zh-CN"/>
              </w:rPr>
              <w:t>9</w:t>
            </w:r>
            <w:r>
              <w:rPr>
                <w:b/>
                <w:bCs/>
                <w:color w:val="auto"/>
                <w:sz w:val="21"/>
                <w:szCs w:val="21"/>
              </w:rPr>
              <w:t xml:space="preserve">  有组织废气</w:t>
            </w:r>
            <w:r>
              <w:rPr>
                <w:rFonts w:hint="eastAsia"/>
                <w:b/>
                <w:bCs/>
                <w:color w:val="auto"/>
                <w:sz w:val="21"/>
                <w:szCs w:val="21"/>
                <w:lang w:eastAsia="zh-CN"/>
              </w:rPr>
              <w:t>非</w:t>
            </w:r>
            <w:r>
              <w:rPr>
                <w:b/>
                <w:bCs/>
                <w:color w:val="auto"/>
                <w:sz w:val="21"/>
                <w:szCs w:val="21"/>
              </w:rPr>
              <w:t>正常工况排放估算模式计算结果</w:t>
            </w:r>
          </w:p>
          <w:p>
            <w:pPr>
              <w:pStyle w:val="14"/>
              <w:rPr>
                <w:color w:val="auto"/>
              </w:rPr>
            </w:pPr>
          </w:p>
          <w:tbl>
            <w:tblPr>
              <w:tblStyle w:val="22"/>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584"/>
              <w:gridCol w:w="1121"/>
              <w:gridCol w:w="1459"/>
              <w:gridCol w:w="978"/>
              <w:gridCol w:w="148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77" w:type="dxa"/>
                  <w:vMerge w:val="restart"/>
                  <w:noWrap w:val="0"/>
                  <w:vAlign w:val="center"/>
                </w:tcPr>
                <w:p>
                  <w:pPr>
                    <w:pStyle w:val="62"/>
                    <w:adjustRightInd w:val="0"/>
                    <w:snapToGrid w:val="0"/>
                    <w:spacing w:line="24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下风向距离/m</w:t>
                  </w:r>
                </w:p>
              </w:tc>
              <w:tc>
                <w:tcPr>
                  <w:tcW w:w="2705" w:type="dxa"/>
                  <w:gridSpan w:val="2"/>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SO</w:t>
                  </w:r>
                  <w:r>
                    <w:rPr>
                      <w:rFonts w:hint="default" w:ascii="Times New Roman" w:hAnsi="Times New Roman" w:eastAsia="宋体" w:cs="Times New Roman"/>
                      <w:color w:val="auto"/>
                      <w:sz w:val="21"/>
                      <w:szCs w:val="21"/>
                      <w:u w:val="single"/>
                      <w:vertAlign w:val="subscript"/>
                    </w:rPr>
                    <w:t>2</w:t>
                  </w:r>
                </w:p>
              </w:tc>
              <w:tc>
                <w:tcPr>
                  <w:tcW w:w="2437" w:type="dxa"/>
                  <w:gridSpan w:val="2"/>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TSP</w:t>
                  </w:r>
                </w:p>
              </w:tc>
              <w:tc>
                <w:tcPr>
                  <w:tcW w:w="2479" w:type="dxa"/>
                  <w:gridSpan w:val="2"/>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NO</w:t>
                  </w:r>
                  <w:r>
                    <w:rPr>
                      <w:rFonts w:hint="default" w:ascii="Times New Roman" w:hAnsi="Times New Roman" w:eastAsia="宋体" w:cs="Times New Roman"/>
                      <w:color w:val="auto"/>
                      <w:sz w:val="21"/>
                      <w:szCs w:val="21"/>
                      <w:u w:val="single"/>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077" w:type="dxa"/>
                  <w:vMerge w:val="continue"/>
                  <w:noWrap w:val="0"/>
                  <w:vAlign w:val="center"/>
                </w:tcPr>
                <w:p>
                  <w:pPr>
                    <w:widowControl/>
                    <w:adjustRightInd w:val="0"/>
                    <w:snapToGrid w:val="0"/>
                    <w:jc w:val="center"/>
                    <w:rPr>
                      <w:rFonts w:hint="default" w:ascii="Times New Roman" w:hAnsi="Times New Roman" w:eastAsia="宋体" w:cs="Times New Roman"/>
                      <w:color w:val="auto"/>
                      <w:sz w:val="21"/>
                      <w:szCs w:val="21"/>
                      <w:u w:val="single"/>
                    </w:rPr>
                  </w:pPr>
                </w:p>
              </w:tc>
              <w:tc>
                <w:tcPr>
                  <w:tcW w:w="1584" w:type="dxa"/>
                  <w:noWrap w:val="0"/>
                  <w:vAlign w:val="center"/>
                </w:tcPr>
                <w:p>
                  <w:pPr>
                    <w:pStyle w:val="62"/>
                    <w:adjustRightInd w:val="0"/>
                    <w:snapToGrid w:val="0"/>
                    <w:spacing w:line="24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预测质量浓度（ug/m</w:t>
                  </w:r>
                  <w:r>
                    <w:rPr>
                      <w:rFonts w:hint="default" w:ascii="Times New Roman" w:hAnsi="Times New Roman" w:eastAsia="宋体" w:cs="Times New Roman"/>
                      <w:color w:val="auto"/>
                      <w:sz w:val="21"/>
                      <w:szCs w:val="21"/>
                      <w:u w:val="single"/>
                      <w:vertAlign w:val="superscript"/>
                    </w:rPr>
                    <w:t>3</w:t>
                  </w:r>
                  <w:r>
                    <w:rPr>
                      <w:rFonts w:hint="default" w:ascii="Times New Roman" w:hAnsi="Times New Roman" w:eastAsia="宋体" w:cs="Times New Roman"/>
                      <w:color w:val="auto"/>
                      <w:sz w:val="21"/>
                      <w:szCs w:val="21"/>
                      <w:u w:val="single"/>
                    </w:rPr>
                    <w:t>）</w:t>
                  </w:r>
                </w:p>
              </w:tc>
              <w:tc>
                <w:tcPr>
                  <w:tcW w:w="1121" w:type="dxa"/>
                  <w:noWrap w:val="0"/>
                  <w:vAlign w:val="center"/>
                </w:tcPr>
                <w:p>
                  <w:pPr>
                    <w:pStyle w:val="62"/>
                    <w:adjustRightInd w:val="0"/>
                    <w:snapToGrid w:val="0"/>
                    <w:spacing w:line="24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占标率/%</w:t>
                  </w:r>
                </w:p>
              </w:tc>
              <w:tc>
                <w:tcPr>
                  <w:tcW w:w="1459" w:type="dxa"/>
                  <w:noWrap w:val="0"/>
                  <w:vAlign w:val="center"/>
                </w:tcPr>
                <w:p>
                  <w:pPr>
                    <w:pStyle w:val="62"/>
                    <w:adjustRightInd w:val="0"/>
                    <w:snapToGrid w:val="0"/>
                    <w:spacing w:line="24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预测质量浓度（ug/m</w:t>
                  </w:r>
                  <w:r>
                    <w:rPr>
                      <w:rFonts w:hint="default" w:ascii="Times New Roman" w:hAnsi="Times New Roman" w:eastAsia="宋体" w:cs="Times New Roman"/>
                      <w:color w:val="auto"/>
                      <w:sz w:val="21"/>
                      <w:szCs w:val="21"/>
                      <w:u w:val="single"/>
                      <w:vertAlign w:val="superscript"/>
                    </w:rPr>
                    <w:t>3</w:t>
                  </w:r>
                  <w:r>
                    <w:rPr>
                      <w:rFonts w:hint="default" w:ascii="Times New Roman" w:hAnsi="Times New Roman" w:eastAsia="宋体" w:cs="Times New Roman"/>
                      <w:color w:val="auto"/>
                      <w:sz w:val="21"/>
                      <w:szCs w:val="21"/>
                      <w:u w:val="single"/>
                    </w:rPr>
                    <w:t>）</w:t>
                  </w:r>
                </w:p>
              </w:tc>
              <w:tc>
                <w:tcPr>
                  <w:tcW w:w="978" w:type="dxa"/>
                  <w:noWrap w:val="0"/>
                  <w:vAlign w:val="center"/>
                </w:tcPr>
                <w:p>
                  <w:pPr>
                    <w:pStyle w:val="62"/>
                    <w:adjustRightInd w:val="0"/>
                    <w:snapToGrid w:val="0"/>
                    <w:spacing w:line="24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占标率/%</w:t>
                  </w:r>
                </w:p>
              </w:tc>
              <w:tc>
                <w:tcPr>
                  <w:tcW w:w="1487" w:type="dxa"/>
                  <w:noWrap w:val="0"/>
                  <w:vAlign w:val="center"/>
                </w:tcPr>
                <w:p>
                  <w:pPr>
                    <w:pStyle w:val="62"/>
                    <w:adjustRightInd w:val="0"/>
                    <w:snapToGrid w:val="0"/>
                    <w:spacing w:line="24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预测质量浓度（ug/m</w:t>
                  </w:r>
                  <w:r>
                    <w:rPr>
                      <w:rFonts w:hint="default" w:ascii="Times New Roman" w:hAnsi="Times New Roman" w:eastAsia="宋体" w:cs="Times New Roman"/>
                      <w:color w:val="auto"/>
                      <w:sz w:val="21"/>
                      <w:szCs w:val="21"/>
                      <w:u w:val="single"/>
                      <w:vertAlign w:val="superscript"/>
                    </w:rPr>
                    <w:t>3</w:t>
                  </w:r>
                  <w:r>
                    <w:rPr>
                      <w:rFonts w:hint="default" w:ascii="Times New Roman" w:hAnsi="Times New Roman" w:eastAsia="宋体" w:cs="Times New Roman"/>
                      <w:color w:val="auto"/>
                      <w:sz w:val="21"/>
                      <w:szCs w:val="21"/>
                      <w:u w:val="single"/>
                    </w:rPr>
                    <w:t>）</w:t>
                  </w:r>
                </w:p>
              </w:tc>
              <w:tc>
                <w:tcPr>
                  <w:tcW w:w="992" w:type="dxa"/>
                  <w:noWrap w:val="0"/>
                  <w:vAlign w:val="center"/>
                </w:tcPr>
                <w:p>
                  <w:pPr>
                    <w:pStyle w:val="62"/>
                    <w:adjustRightInd w:val="0"/>
                    <w:snapToGrid w:val="0"/>
                    <w:spacing w:line="24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25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0.20</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0.040</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5.1</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0.564</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0.28</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50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4.70</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0.940</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119.0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13.222</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6.61</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color w:val="auto"/>
                      <w:kern w:val="0"/>
                      <w:sz w:val="21"/>
                      <w:szCs w:val="21"/>
                      <w:u w:val="single"/>
                    </w:rPr>
                    <w:t>75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6.29</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1.258</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159.0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17.667</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8.84</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color w:val="auto"/>
                      <w:kern w:val="0"/>
                      <w:sz w:val="21"/>
                      <w:szCs w:val="21"/>
                      <w:u w:val="single"/>
                    </w:rPr>
                    <w:t>100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10.00</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2.000</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253.0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28.111</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14.10</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b/>
                      <w:bCs/>
                      <w:color w:val="auto"/>
                      <w:kern w:val="0"/>
                      <w:sz w:val="21"/>
                      <w:szCs w:val="21"/>
                      <w:u w:val="single"/>
                      <w:lang w:val="en-US" w:eastAsia="zh-CN"/>
                    </w:rPr>
                  </w:pPr>
                  <w:r>
                    <w:rPr>
                      <w:rFonts w:hint="default" w:ascii="Times New Roman" w:hAnsi="Times New Roman" w:eastAsia="宋体" w:cs="Times New Roman"/>
                      <w:b/>
                      <w:bCs/>
                      <w:color w:val="auto"/>
                      <w:kern w:val="0"/>
                      <w:sz w:val="21"/>
                      <w:szCs w:val="21"/>
                      <w:u w:val="single"/>
                      <w:lang w:val="en-US" w:eastAsia="zh-CN"/>
                    </w:rPr>
                    <w:t>115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10.70</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2.140</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271.0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30.111</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15.00</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125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10.50</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2.100</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264.0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29.333</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14.70</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150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9.42</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1.884</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238.0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26.444</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13.20</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175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8.36</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1.672</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212.0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23.556</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11.80</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200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7.41</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1.482</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187.0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20.778</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10.40</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225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6.59</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1.318</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167.0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18.556</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9.26</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250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5.89</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1.178</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149.0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16.556</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8.28</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275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5.29</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1.058</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134.0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14.889</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7.44</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300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4.79</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0.958</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121.0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13.444</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6.73</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325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4.36</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0.872</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110.0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12.222</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6.12</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350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3.98</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0.796</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101.0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11.222</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5.60</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375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3.66</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0.732</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92.5</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10.278</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5.14</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400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3.38</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0.676</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85.4</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9.489</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4.75</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425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3.13</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0.626</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79.1</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8.789</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4.40</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450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2.91</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0.582</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73.6</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8.178</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4.09</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475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2.71</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0.542</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68.6</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7.622</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3.82</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500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2.54</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0.508</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64.3</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7.144</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3.57</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525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2.38</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0.476</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60.3</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6.700</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3.35</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550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2.24</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0.448</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56.8</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6.311</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3.15</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575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2.12</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0.424</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53.5</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5.944</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2.98</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600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2.00</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0.400</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50.6</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5.622</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2.81</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625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1.90</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0.380</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48.0</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5.333</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2.67</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650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1.80</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0.360</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45.5</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5.056</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2.53</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675</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1.71</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0.342</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43.3</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4.811</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2.41</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7" w:type="dxa"/>
                  <w:noWrap w:val="0"/>
                  <w:vAlign w:val="center"/>
                </w:tcPr>
                <w:p>
                  <w:pPr>
                    <w:widowControl/>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700</w:t>
                  </w:r>
                </w:p>
              </w:tc>
              <w:tc>
                <w:tcPr>
                  <w:tcW w:w="15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1.63</w:t>
                  </w:r>
                </w:p>
              </w:tc>
              <w:tc>
                <w:tcPr>
                  <w:tcW w:w="11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0.326</w:t>
                  </w:r>
                </w:p>
              </w:tc>
              <w:tc>
                <w:tcPr>
                  <w:tcW w:w="14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41.3</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4.589</w:t>
                  </w:r>
                </w:p>
              </w:tc>
              <w:tc>
                <w:tcPr>
                  <w:tcW w:w="14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2.29</w:t>
                  </w:r>
                </w:p>
              </w:tc>
              <w:tc>
                <w:tcPr>
                  <w:tcW w:w="9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0.916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07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下风向最大质量浓度及占标率%</w:t>
                  </w:r>
                </w:p>
              </w:tc>
              <w:tc>
                <w:tcPr>
                  <w:tcW w:w="2705"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i w:val="0"/>
                      <w:color w:val="auto"/>
                      <w:kern w:val="0"/>
                      <w:sz w:val="21"/>
                      <w:szCs w:val="21"/>
                      <w:u w:val="single"/>
                      <w:lang w:val="en-US" w:eastAsia="zh-CN" w:bidi="ar"/>
                    </w:rPr>
                    <w:t>1</w:t>
                  </w:r>
                  <w:r>
                    <w:rPr>
                      <w:rFonts w:hint="eastAsia" w:cs="Times New Roman"/>
                      <w:b/>
                      <w:bCs/>
                      <w:i w:val="0"/>
                      <w:color w:val="auto"/>
                      <w:kern w:val="0"/>
                      <w:sz w:val="21"/>
                      <w:szCs w:val="21"/>
                      <w:u w:val="single"/>
                      <w:lang w:val="en-US" w:eastAsia="zh-CN" w:bidi="ar"/>
                    </w:rPr>
                    <w:t>0.7</w:t>
                  </w:r>
                  <w:r>
                    <w:rPr>
                      <w:rFonts w:hint="default" w:ascii="Times New Roman" w:hAnsi="Times New Roman" w:eastAsia="宋体" w:cs="Times New Roman"/>
                      <w:b/>
                      <w:bCs/>
                      <w:color w:val="auto"/>
                      <w:sz w:val="21"/>
                      <w:szCs w:val="21"/>
                      <w:u w:val="single"/>
                    </w:rPr>
                    <w:t>ug/m</w:t>
                  </w:r>
                  <w:r>
                    <w:rPr>
                      <w:rFonts w:hint="default" w:ascii="Times New Roman" w:hAnsi="Times New Roman" w:eastAsia="宋体" w:cs="Times New Roman"/>
                      <w:b/>
                      <w:bCs/>
                      <w:color w:val="auto"/>
                      <w:sz w:val="21"/>
                      <w:szCs w:val="21"/>
                      <w:u w:val="single"/>
                      <w:vertAlign w:val="superscript"/>
                    </w:rPr>
                    <w:t>3</w:t>
                  </w:r>
                  <w:r>
                    <w:rPr>
                      <w:rFonts w:hint="default" w:ascii="Times New Roman" w:hAnsi="Times New Roman" w:eastAsia="宋体" w:cs="Times New Roman"/>
                      <w:b/>
                      <w:bCs/>
                      <w:color w:val="auto"/>
                      <w:sz w:val="21"/>
                      <w:szCs w:val="21"/>
                      <w:u w:val="single"/>
                    </w:rPr>
                    <w:t>、</w:t>
                  </w:r>
                  <w:r>
                    <w:rPr>
                      <w:rFonts w:hint="eastAsia" w:cs="Times New Roman"/>
                      <w:b/>
                      <w:bCs/>
                      <w:color w:val="auto"/>
                      <w:sz w:val="21"/>
                      <w:szCs w:val="21"/>
                      <w:u w:val="single"/>
                      <w:lang w:val="en-US" w:eastAsia="zh-CN"/>
                    </w:rPr>
                    <w:t>2.1</w:t>
                  </w:r>
                  <w:r>
                    <w:rPr>
                      <w:rFonts w:hint="default" w:ascii="Times New Roman" w:hAnsi="Times New Roman" w:eastAsia="宋体" w:cs="Times New Roman"/>
                      <w:b/>
                      <w:bCs/>
                      <w:color w:val="auto"/>
                      <w:sz w:val="21"/>
                      <w:szCs w:val="21"/>
                      <w:u w:val="single"/>
                    </w:rPr>
                    <w:t>%</w:t>
                  </w:r>
                </w:p>
              </w:tc>
              <w:tc>
                <w:tcPr>
                  <w:tcW w:w="2437"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u w:val="single"/>
                    </w:rPr>
                  </w:pPr>
                  <w:r>
                    <w:rPr>
                      <w:rFonts w:hint="eastAsia" w:cs="Times New Roman"/>
                      <w:b/>
                      <w:bCs/>
                      <w:i w:val="0"/>
                      <w:color w:val="auto"/>
                      <w:kern w:val="0"/>
                      <w:sz w:val="21"/>
                      <w:szCs w:val="21"/>
                      <w:u w:val="single"/>
                      <w:lang w:val="en-US" w:eastAsia="zh-CN" w:bidi="ar"/>
                    </w:rPr>
                    <w:t>271</w:t>
                  </w:r>
                  <w:r>
                    <w:rPr>
                      <w:rFonts w:hint="default" w:ascii="Times New Roman" w:hAnsi="Times New Roman" w:eastAsia="宋体" w:cs="Times New Roman"/>
                      <w:b/>
                      <w:bCs/>
                      <w:color w:val="auto"/>
                      <w:sz w:val="21"/>
                      <w:szCs w:val="21"/>
                      <w:u w:val="single"/>
                    </w:rPr>
                    <w:t>ug/m</w:t>
                  </w:r>
                  <w:r>
                    <w:rPr>
                      <w:rFonts w:hint="default" w:ascii="Times New Roman" w:hAnsi="Times New Roman" w:eastAsia="宋体" w:cs="Times New Roman"/>
                      <w:b/>
                      <w:bCs/>
                      <w:color w:val="auto"/>
                      <w:sz w:val="21"/>
                      <w:szCs w:val="21"/>
                      <w:u w:val="single"/>
                      <w:vertAlign w:val="superscript"/>
                    </w:rPr>
                    <w:t>3</w:t>
                  </w:r>
                  <w:r>
                    <w:rPr>
                      <w:rFonts w:hint="default" w:ascii="Times New Roman" w:hAnsi="Times New Roman" w:eastAsia="宋体" w:cs="Times New Roman"/>
                      <w:b/>
                      <w:bCs/>
                      <w:color w:val="auto"/>
                      <w:sz w:val="21"/>
                      <w:szCs w:val="21"/>
                      <w:u w:val="single"/>
                    </w:rPr>
                    <w:t>、</w:t>
                  </w:r>
                  <w:r>
                    <w:rPr>
                      <w:rFonts w:hint="eastAsia" w:cs="Times New Roman"/>
                      <w:b/>
                      <w:bCs/>
                      <w:color w:val="auto"/>
                      <w:sz w:val="21"/>
                      <w:szCs w:val="21"/>
                      <w:u w:val="single"/>
                      <w:lang w:val="en-US" w:eastAsia="zh-CN"/>
                    </w:rPr>
                    <w:t>30.11</w:t>
                  </w:r>
                  <w:r>
                    <w:rPr>
                      <w:rFonts w:hint="default" w:ascii="Times New Roman" w:hAnsi="Times New Roman" w:eastAsia="宋体" w:cs="Times New Roman"/>
                      <w:b/>
                      <w:bCs/>
                      <w:color w:val="auto"/>
                      <w:sz w:val="21"/>
                      <w:szCs w:val="21"/>
                      <w:u w:val="single"/>
                    </w:rPr>
                    <w:t>%</w:t>
                  </w:r>
                </w:p>
              </w:tc>
              <w:tc>
                <w:tcPr>
                  <w:tcW w:w="2479"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u w:val="single"/>
                    </w:rPr>
                  </w:pPr>
                  <w:r>
                    <w:rPr>
                      <w:rFonts w:hint="eastAsia" w:cs="Times New Roman"/>
                      <w:b/>
                      <w:bCs/>
                      <w:color w:val="auto"/>
                      <w:sz w:val="21"/>
                      <w:szCs w:val="21"/>
                      <w:u w:val="single"/>
                      <w:lang w:val="en-US" w:eastAsia="zh-CN"/>
                    </w:rPr>
                    <w:t>15.00</w:t>
                  </w:r>
                  <w:r>
                    <w:rPr>
                      <w:rFonts w:hint="default" w:ascii="Times New Roman" w:hAnsi="Times New Roman" w:eastAsia="宋体" w:cs="Times New Roman"/>
                      <w:b/>
                      <w:bCs/>
                      <w:color w:val="auto"/>
                      <w:sz w:val="21"/>
                      <w:szCs w:val="21"/>
                      <w:u w:val="single"/>
                    </w:rPr>
                    <w:t>ug/m</w:t>
                  </w:r>
                  <w:r>
                    <w:rPr>
                      <w:rFonts w:hint="default" w:ascii="Times New Roman" w:hAnsi="Times New Roman" w:eastAsia="宋体" w:cs="Times New Roman"/>
                      <w:b/>
                      <w:bCs/>
                      <w:color w:val="auto"/>
                      <w:sz w:val="21"/>
                      <w:szCs w:val="21"/>
                      <w:u w:val="single"/>
                      <w:vertAlign w:val="superscript"/>
                    </w:rPr>
                    <w:t>3</w:t>
                  </w:r>
                  <w:r>
                    <w:rPr>
                      <w:rFonts w:hint="default" w:ascii="Times New Roman" w:hAnsi="Times New Roman" w:eastAsia="宋体" w:cs="Times New Roman"/>
                      <w:b/>
                      <w:bCs/>
                      <w:color w:val="auto"/>
                      <w:sz w:val="21"/>
                      <w:szCs w:val="21"/>
                      <w:u w:val="single"/>
                    </w:rPr>
                    <w:t>、</w:t>
                  </w:r>
                  <w:r>
                    <w:rPr>
                      <w:rFonts w:hint="eastAsia" w:cs="Times New Roman"/>
                      <w:b/>
                      <w:bCs/>
                      <w:color w:val="auto"/>
                      <w:sz w:val="21"/>
                      <w:szCs w:val="21"/>
                      <w:u w:val="single"/>
                      <w:lang w:val="en-US" w:eastAsia="zh-CN"/>
                    </w:rPr>
                    <w:t>6.0</w:t>
                  </w:r>
                  <w:r>
                    <w:rPr>
                      <w:rFonts w:hint="default" w:ascii="Times New Roman" w:hAnsi="Times New Roman" w:eastAsia="宋体" w:cs="Times New Roman"/>
                      <w:b/>
                      <w:bCs/>
                      <w:color w:val="auto"/>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77" w:type="dxa"/>
                  <w:noWrap w:val="0"/>
                  <w:vAlign w:val="center"/>
                </w:tcPr>
                <w:p>
                  <w:pPr>
                    <w:pStyle w:val="8"/>
                    <w:tabs>
                      <w:tab w:val="left" w:pos="0"/>
                    </w:tabs>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评价等级</w:t>
                  </w:r>
                </w:p>
              </w:tc>
              <w:tc>
                <w:tcPr>
                  <w:tcW w:w="7621" w:type="dxa"/>
                  <w:gridSpan w:val="6"/>
                  <w:noWrap w:val="0"/>
                  <w:vAlign w:val="center"/>
                </w:tcPr>
                <w:p>
                  <w:pPr>
                    <w:widowControl/>
                    <w:adjustRightInd w:val="0"/>
                    <w:snapToGrid w:val="0"/>
                    <w:jc w:val="center"/>
                    <w:textAlignment w:val="center"/>
                    <w:rPr>
                      <w:rFonts w:hint="default" w:ascii="Times New Roman" w:hAnsi="Times New Roman" w:eastAsia="宋体" w:cs="Times New Roman"/>
                      <w:b/>
                      <w:bCs/>
                      <w:color w:val="auto"/>
                      <w:sz w:val="21"/>
                      <w:szCs w:val="21"/>
                      <w:u w:val="single"/>
                    </w:rPr>
                  </w:pPr>
                  <w:r>
                    <w:rPr>
                      <w:rFonts w:hint="eastAsia" w:ascii="Times New Roman" w:hAnsi="Times New Roman" w:eastAsia="宋体" w:cs="Times New Roman"/>
                      <w:b/>
                      <w:bCs/>
                      <w:color w:val="auto"/>
                      <w:sz w:val="21"/>
                      <w:szCs w:val="21"/>
                      <w:u w:val="single"/>
                      <w:lang w:eastAsia="zh-CN"/>
                    </w:rPr>
                    <w:t>一</w:t>
                  </w:r>
                  <w:r>
                    <w:rPr>
                      <w:rFonts w:hint="default" w:ascii="Times New Roman" w:hAnsi="Times New Roman" w:eastAsia="宋体" w:cs="Times New Roman"/>
                      <w:b/>
                      <w:bCs/>
                      <w:color w:val="auto"/>
                      <w:sz w:val="21"/>
                      <w:szCs w:val="21"/>
                      <w:u w:val="single"/>
                    </w:rPr>
                    <w:t>级</w:t>
                  </w:r>
                </w:p>
              </w:tc>
            </w:tr>
          </w:tbl>
          <w:p>
            <w:pPr>
              <w:pStyle w:val="2"/>
              <w:rPr>
                <w:color w:val="auto"/>
              </w:rPr>
            </w:pPr>
          </w:p>
          <w:p>
            <w:pPr>
              <w:spacing w:line="360" w:lineRule="auto"/>
              <w:jc w:val="center"/>
              <w:rPr>
                <w:b/>
                <w:bCs/>
                <w:color w:val="auto"/>
                <w:szCs w:val="21"/>
              </w:rPr>
            </w:pPr>
            <w:r>
              <w:rPr>
                <w:b/>
                <w:bCs/>
                <w:color w:val="auto"/>
                <w:szCs w:val="21"/>
              </w:rPr>
              <w:t>表</w:t>
            </w:r>
            <w:r>
              <w:rPr>
                <w:rFonts w:hint="eastAsia"/>
                <w:b/>
                <w:bCs/>
                <w:color w:val="auto"/>
                <w:szCs w:val="21"/>
                <w:lang w:val="en-US" w:eastAsia="zh-CN"/>
              </w:rPr>
              <w:t>7-10</w:t>
            </w:r>
            <w:r>
              <w:rPr>
                <w:b/>
                <w:bCs/>
                <w:color w:val="auto"/>
                <w:szCs w:val="21"/>
              </w:rPr>
              <w:t xml:space="preserve">  无组织废气排放估算模式计算结果</w:t>
            </w:r>
          </w:p>
          <w:tbl>
            <w:tblPr>
              <w:tblStyle w:val="22"/>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584"/>
              <w:gridCol w:w="1094"/>
              <w:gridCol w:w="1527"/>
              <w:gridCol w:w="1570"/>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680" w:type="dxa"/>
                  <w:gridSpan w:val="6"/>
                  <w:noWrap w:val="0"/>
                  <w:vAlign w:val="center"/>
                </w:tcPr>
                <w:p>
                  <w:pPr>
                    <w:adjustRightInd w:val="0"/>
                    <w:snapToGrid w:val="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724" w:type="dxa"/>
                  <w:noWrap w:val="0"/>
                  <w:vAlign w:val="center"/>
                </w:tcPr>
                <w:p>
                  <w:pPr>
                    <w:widowControl/>
                    <w:adjustRightInd w:val="0"/>
                    <w:snapToGrid w:val="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下风向距离/m</w:t>
                  </w:r>
                </w:p>
              </w:tc>
              <w:tc>
                <w:tcPr>
                  <w:tcW w:w="1584"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预测质量浓度（ug/m</w:t>
                  </w:r>
                  <w:r>
                    <w:rPr>
                      <w:rFonts w:hint="default" w:ascii="Times New Roman" w:hAnsi="Times New Roman" w:cs="Times New Roman"/>
                      <w:color w:val="auto"/>
                      <w:sz w:val="21"/>
                      <w:szCs w:val="21"/>
                      <w:u w:val="single"/>
                      <w:vertAlign w:val="superscript"/>
                    </w:rPr>
                    <w:t>3</w:t>
                  </w:r>
                  <w:r>
                    <w:rPr>
                      <w:rFonts w:hint="default" w:ascii="Times New Roman" w:hAnsi="Times New Roman" w:cs="Times New Roman"/>
                      <w:color w:val="auto"/>
                      <w:sz w:val="21"/>
                      <w:szCs w:val="21"/>
                      <w:u w:val="single"/>
                    </w:rPr>
                    <w:t>）</w:t>
                  </w:r>
                </w:p>
              </w:tc>
              <w:tc>
                <w:tcPr>
                  <w:tcW w:w="1094"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占标率/%</w:t>
                  </w:r>
                </w:p>
              </w:tc>
              <w:tc>
                <w:tcPr>
                  <w:tcW w:w="1527"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下风向距离/m</w:t>
                  </w:r>
                </w:p>
              </w:tc>
              <w:tc>
                <w:tcPr>
                  <w:tcW w:w="1570"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预测质量浓度（ug/m</w:t>
                  </w:r>
                  <w:r>
                    <w:rPr>
                      <w:rFonts w:hint="default" w:ascii="Times New Roman" w:hAnsi="Times New Roman" w:cs="Times New Roman"/>
                      <w:color w:val="auto"/>
                      <w:sz w:val="21"/>
                      <w:szCs w:val="21"/>
                      <w:u w:val="single"/>
                      <w:vertAlign w:val="superscript"/>
                    </w:rPr>
                    <w:t>3</w:t>
                  </w:r>
                  <w:r>
                    <w:rPr>
                      <w:rFonts w:hint="default" w:ascii="Times New Roman" w:hAnsi="Times New Roman" w:cs="Times New Roman"/>
                      <w:color w:val="auto"/>
                      <w:sz w:val="21"/>
                      <w:szCs w:val="21"/>
                      <w:u w:val="single"/>
                    </w:rPr>
                    <w:t>）</w:t>
                  </w:r>
                </w:p>
              </w:tc>
              <w:tc>
                <w:tcPr>
                  <w:tcW w:w="1181" w:type="dxa"/>
                  <w:noWrap w:val="0"/>
                  <w:vAlign w:val="center"/>
                </w:tcPr>
                <w:p>
                  <w:pPr>
                    <w:pStyle w:val="62"/>
                    <w:adjustRightInd w:val="0"/>
                    <w:snapToGrid w:val="0"/>
                    <w:spacing w:line="24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10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28.60</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3.18</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300</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3.94</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33.40</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3.71</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325</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3.51</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48</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lang w:val="en-US"/>
                    </w:rPr>
                  </w:pPr>
                  <w:r>
                    <w:rPr>
                      <w:rFonts w:hint="default" w:ascii="Times New Roman" w:hAnsi="Times New Roman" w:eastAsia="宋体" w:cs="Times New Roman"/>
                      <w:b/>
                      <w:bCs/>
                      <w:i w:val="0"/>
                      <w:color w:val="auto"/>
                      <w:kern w:val="0"/>
                      <w:sz w:val="22"/>
                      <w:szCs w:val="22"/>
                      <w:u w:val="single"/>
                      <w:lang w:val="en-US" w:eastAsia="zh-CN" w:bidi="ar"/>
                    </w:rPr>
                    <w:t>38.80</w:t>
                  </w:r>
                </w:p>
              </w:tc>
              <w:tc>
                <w:tcPr>
                  <w:tcW w:w="1094" w:type="dxa"/>
                  <w:noWrap w:val="0"/>
                  <w:vAlign w:val="center"/>
                </w:tcPr>
                <w:p>
                  <w:pPr>
                    <w:widowControl/>
                    <w:jc w:val="center"/>
                    <w:textAlignment w:val="center"/>
                    <w:rPr>
                      <w:rFonts w:hint="default" w:ascii="Times New Roman" w:hAnsi="Times New Roman" w:cs="Times New Roman"/>
                      <w:b/>
                      <w:bCs/>
                      <w:color w:val="auto"/>
                      <w:sz w:val="21"/>
                      <w:szCs w:val="21"/>
                      <w:u w:val="single"/>
                    </w:rPr>
                  </w:pPr>
                  <w:r>
                    <w:rPr>
                      <w:rFonts w:hint="eastAsia"/>
                      <w:b/>
                      <w:bCs/>
                      <w:color w:val="auto"/>
                      <w:u w:val="single"/>
                    </w:rPr>
                    <w:t>4.31</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350</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3.17</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b/>
                      <w:bCs/>
                      <w:color w:val="auto"/>
                      <w:sz w:val="21"/>
                      <w:szCs w:val="21"/>
                      <w:u w:val="single"/>
                    </w:rPr>
                  </w:pPr>
                  <w:r>
                    <w:rPr>
                      <w:rFonts w:hint="default" w:ascii="Times New Roman" w:hAnsi="Times New Roman" w:cs="Times New Roman"/>
                      <w:color w:val="auto"/>
                      <w:kern w:val="0"/>
                      <w:sz w:val="21"/>
                      <w:szCs w:val="21"/>
                      <w:u w:val="single"/>
                    </w:rPr>
                    <w:t>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38.60</w:t>
                  </w:r>
                </w:p>
              </w:tc>
              <w:tc>
                <w:tcPr>
                  <w:tcW w:w="1094" w:type="dxa"/>
                  <w:noWrap w:val="0"/>
                  <w:vAlign w:val="center"/>
                </w:tcPr>
                <w:p>
                  <w:pPr>
                    <w:widowControl/>
                    <w:jc w:val="center"/>
                    <w:textAlignment w:val="center"/>
                    <w:rPr>
                      <w:rFonts w:hint="default" w:ascii="Times New Roman" w:hAnsi="Times New Roman" w:cs="Times New Roman"/>
                      <w:b/>
                      <w:bCs/>
                      <w:color w:val="auto"/>
                      <w:sz w:val="21"/>
                      <w:szCs w:val="21"/>
                      <w:u w:val="single"/>
                    </w:rPr>
                  </w:pPr>
                  <w:r>
                    <w:rPr>
                      <w:rFonts w:hint="eastAsia"/>
                      <w:color w:val="auto"/>
                      <w:u w:val="single"/>
                    </w:rPr>
                    <w:t>4.29</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375</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2.87</w:t>
                  </w:r>
                </w:p>
              </w:tc>
              <w:tc>
                <w:tcPr>
                  <w:tcW w:w="1181" w:type="dxa"/>
                  <w:noWrap w:val="0"/>
                  <w:vAlign w:val="center"/>
                </w:tcPr>
                <w:p>
                  <w:pPr>
                    <w:widowControl/>
                    <w:jc w:val="center"/>
                    <w:textAlignment w:val="center"/>
                    <w:rPr>
                      <w:rFonts w:hint="default" w:ascii="Times New Roman" w:hAnsi="Times New Roman" w:cs="Times New Roman"/>
                      <w:b/>
                      <w:bCs/>
                      <w:color w:val="auto"/>
                      <w:sz w:val="21"/>
                      <w:szCs w:val="21"/>
                      <w:u w:val="single"/>
                    </w:rPr>
                  </w:pPr>
                  <w:r>
                    <w:rPr>
                      <w:rFonts w:hint="eastAsia"/>
                      <w:color w:val="auto"/>
                      <w:u w:val="single"/>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b/>
                      <w:bCs/>
                      <w:color w:val="auto"/>
                      <w:sz w:val="21"/>
                      <w:szCs w:val="21"/>
                      <w:u w:val="single"/>
                    </w:rPr>
                  </w:pPr>
                  <w:r>
                    <w:rPr>
                      <w:rFonts w:hint="default" w:ascii="Times New Roman" w:hAnsi="Times New Roman" w:cs="Times New Roman"/>
                      <w:color w:val="auto"/>
                      <w:kern w:val="0"/>
                      <w:sz w:val="21"/>
                      <w:szCs w:val="21"/>
                      <w:u w:val="single"/>
                    </w:rPr>
                    <w:t>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28.60</w:t>
                  </w:r>
                </w:p>
              </w:tc>
              <w:tc>
                <w:tcPr>
                  <w:tcW w:w="1094" w:type="dxa"/>
                  <w:noWrap w:val="0"/>
                  <w:vAlign w:val="center"/>
                </w:tcPr>
                <w:p>
                  <w:pPr>
                    <w:widowControl/>
                    <w:jc w:val="center"/>
                    <w:textAlignment w:val="center"/>
                    <w:rPr>
                      <w:rFonts w:hint="default" w:ascii="Times New Roman" w:hAnsi="Times New Roman" w:cs="Times New Roman"/>
                      <w:b/>
                      <w:bCs/>
                      <w:color w:val="auto"/>
                      <w:sz w:val="21"/>
                      <w:szCs w:val="21"/>
                      <w:u w:val="single"/>
                    </w:rPr>
                  </w:pPr>
                  <w:r>
                    <w:rPr>
                      <w:rFonts w:hint="eastAsia"/>
                      <w:color w:val="auto"/>
                      <w:u w:val="single"/>
                    </w:rPr>
                    <w:t>3.18</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400</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2.63</w:t>
                  </w:r>
                </w:p>
              </w:tc>
              <w:tc>
                <w:tcPr>
                  <w:tcW w:w="1181" w:type="dxa"/>
                  <w:noWrap w:val="0"/>
                  <w:vAlign w:val="center"/>
                </w:tcPr>
                <w:p>
                  <w:pPr>
                    <w:widowControl/>
                    <w:jc w:val="center"/>
                    <w:textAlignment w:val="center"/>
                    <w:rPr>
                      <w:rFonts w:hint="default" w:ascii="Times New Roman" w:hAnsi="Times New Roman" w:cs="Times New Roman"/>
                      <w:b/>
                      <w:bCs/>
                      <w:color w:val="auto"/>
                      <w:sz w:val="21"/>
                      <w:szCs w:val="21"/>
                      <w:u w:val="single"/>
                    </w:rPr>
                  </w:pPr>
                  <w:r>
                    <w:rPr>
                      <w:rFonts w:hint="eastAsia"/>
                      <w:color w:val="auto"/>
                      <w:u w:val="single"/>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100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19.10</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2.12</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425</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2.41</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125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13.80</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1.53</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450</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2.23</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150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10.60</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1.18</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475</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2.07</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175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8.47</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0.94</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500</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1.92</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200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6.99</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0.78</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525</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1.80</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225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5.91</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0.66</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550</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1.68</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250</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5.09</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0.57</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575</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1.58</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2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275</w:t>
                  </w:r>
                </w:p>
              </w:tc>
              <w:tc>
                <w:tcPr>
                  <w:tcW w:w="15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4.45</w:t>
                  </w:r>
                </w:p>
              </w:tc>
              <w:tc>
                <w:tcPr>
                  <w:tcW w:w="1094"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0.49</w:t>
                  </w:r>
                </w:p>
              </w:tc>
              <w:tc>
                <w:tcPr>
                  <w:tcW w:w="1527"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600</w:t>
                  </w:r>
                </w:p>
              </w:tc>
              <w:tc>
                <w:tcPr>
                  <w:tcW w:w="15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single"/>
                    </w:rPr>
                  </w:pPr>
                  <w:r>
                    <w:rPr>
                      <w:rFonts w:hint="default" w:ascii="Times New Roman" w:hAnsi="Times New Roman" w:eastAsia="宋体" w:cs="Times New Roman"/>
                      <w:i w:val="0"/>
                      <w:color w:val="auto"/>
                      <w:kern w:val="0"/>
                      <w:sz w:val="22"/>
                      <w:szCs w:val="22"/>
                      <w:u w:val="single"/>
                      <w:lang w:val="en-US" w:eastAsia="zh-CN" w:bidi="ar"/>
                    </w:rPr>
                    <w:t>1.49</w:t>
                  </w:r>
                </w:p>
              </w:tc>
              <w:tc>
                <w:tcPr>
                  <w:tcW w:w="1181" w:type="dxa"/>
                  <w:noWrap w:val="0"/>
                  <w:vAlign w:val="center"/>
                </w:tcPr>
                <w:p>
                  <w:pPr>
                    <w:widowControl/>
                    <w:jc w:val="center"/>
                    <w:textAlignment w:val="center"/>
                    <w:rPr>
                      <w:rFonts w:hint="default" w:ascii="Times New Roman" w:hAnsi="Times New Roman" w:cs="Times New Roman"/>
                      <w:color w:val="auto"/>
                      <w:sz w:val="21"/>
                      <w:szCs w:val="21"/>
                      <w:u w:val="single"/>
                    </w:rPr>
                  </w:pPr>
                  <w:r>
                    <w:rPr>
                      <w:rFonts w:hint="eastAsia"/>
                      <w:color w:val="auto"/>
                      <w:u w:val="single"/>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724" w:type="dxa"/>
                  <w:noWrap w:val="0"/>
                  <w:vAlign w:val="center"/>
                </w:tcPr>
                <w:p>
                  <w:pPr>
                    <w:widowControl/>
                    <w:adjustRightInd w:val="0"/>
                    <w:snapToGrid w:val="0"/>
                    <w:jc w:val="center"/>
                    <w:textAlignment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下风向最大质量浓度及占标率%</w:t>
                  </w:r>
                </w:p>
              </w:tc>
              <w:tc>
                <w:tcPr>
                  <w:tcW w:w="6956" w:type="dxa"/>
                  <w:gridSpan w:val="5"/>
                  <w:noWrap w:val="0"/>
                  <w:vAlign w:val="center"/>
                </w:tcPr>
                <w:p>
                  <w:pPr>
                    <w:adjustRightInd w:val="0"/>
                    <w:snapToGrid w:val="0"/>
                    <w:jc w:val="center"/>
                    <w:rPr>
                      <w:rFonts w:hint="default" w:ascii="Times New Roman" w:hAnsi="Times New Roman" w:cs="Times New Roman"/>
                      <w:b/>
                      <w:bCs/>
                      <w:color w:val="auto"/>
                      <w:sz w:val="21"/>
                      <w:szCs w:val="21"/>
                      <w:u w:val="single"/>
                    </w:rPr>
                  </w:pPr>
                  <w:r>
                    <w:rPr>
                      <w:rFonts w:hint="eastAsia" w:cs="Times New Roman"/>
                      <w:b/>
                      <w:bCs/>
                      <w:color w:val="auto"/>
                      <w:sz w:val="21"/>
                      <w:szCs w:val="21"/>
                      <w:u w:val="single"/>
                      <w:lang w:val="en-US" w:eastAsia="zh-CN"/>
                    </w:rPr>
                    <w:t>38.8</w:t>
                  </w:r>
                  <w:r>
                    <w:rPr>
                      <w:rFonts w:hint="default" w:ascii="Times New Roman" w:hAnsi="Times New Roman" w:cs="Times New Roman"/>
                      <w:b/>
                      <w:bCs/>
                      <w:color w:val="auto"/>
                      <w:sz w:val="21"/>
                      <w:szCs w:val="21"/>
                      <w:u w:val="single"/>
                    </w:rPr>
                    <w:t>ug/m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w:t>
                  </w:r>
                  <w:r>
                    <w:rPr>
                      <w:rFonts w:hint="eastAsia" w:cs="Times New Roman"/>
                      <w:b/>
                      <w:bCs/>
                      <w:color w:val="auto"/>
                      <w:sz w:val="21"/>
                      <w:szCs w:val="21"/>
                      <w:u w:val="single"/>
                      <w:lang w:val="en-US" w:eastAsia="zh-CN"/>
                    </w:rPr>
                    <w:t>4.31</w:t>
                  </w:r>
                  <w:r>
                    <w:rPr>
                      <w:rFonts w:hint="default" w:ascii="Times New Roman" w:hAnsi="Times New Roman" w:cs="Times New Roman"/>
                      <w:b/>
                      <w:bCs/>
                      <w:color w:val="auto"/>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24" w:type="dxa"/>
                  <w:noWrap w:val="0"/>
                  <w:vAlign w:val="center"/>
                </w:tcPr>
                <w:p>
                  <w:pPr>
                    <w:widowControl/>
                    <w:adjustRightInd w:val="0"/>
                    <w:snapToGrid w:val="0"/>
                    <w:jc w:val="center"/>
                    <w:textAlignment w:val="center"/>
                    <w:rPr>
                      <w:rFonts w:hint="default" w:ascii="Times New Roman" w:hAnsi="Times New Roman" w:cs="Times New Roman"/>
                      <w:color w:val="auto"/>
                      <w:kern w:val="0"/>
                      <w:sz w:val="21"/>
                      <w:szCs w:val="21"/>
                      <w:u w:val="single"/>
                    </w:rPr>
                  </w:pPr>
                  <w:r>
                    <w:rPr>
                      <w:rFonts w:hint="default" w:ascii="Times New Roman" w:hAnsi="Times New Roman" w:cs="Times New Roman"/>
                      <w:color w:val="auto"/>
                      <w:sz w:val="21"/>
                      <w:szCs w:val="21"/>
                      <w:u w:val="single"/>
                    </w:rPr>
                    <w:t>评价等级</w:t>
                  </w:r>
                </w:p>
              </w:tc>
              <w:tc>
                <w:tcPr>
                  <w:tcW w:w="6956" w:type="dxa"/>
                  <w:gridSpan w:val="5"/>
                  <w:noWrap w:val="0"/>
                  <w:vAlign w:val="center"/>
                </w:tcPr>
                <w:p>
                  <w:pPr>
                    <w:adjustRightInd w:val="0"/>
                    <w:snapToGrid w:val="0"/>
                    <w:jc w:val="center"/>
                    <w:rPr>
                      <w:rFonts w:hint="default" w:ascii="Times New Roman" w:hAnsi="Times New Roman" w:cs="Times New Roman"/>
                      <w:b/>
                      <w:bCs/>
                      <w:color w:val="auto"/>
                      <w:sz w:val="21"/>
                      <w:szCs w:val="21"/>
                      <w:u w:val="single"/>
                    </w:rPr>
                  </w:pPr>
                  <w:r>
                    <w:rPr>
                      <w:rFonts w:hint="eastAsia" w:cs="Times New Roman"/>
                      <w:b/>
                      <w:bCs/>
                      <w:color w:val="auto"/>
                      <w:sz w:val="21"/>
                      <w:szCs w:val="21"/>
                      <w:u w:val="single"/>
                      <w:lang w:eastAsia="zh-CN"/>
                    </w:rPr>
                    <w:t>二</w:t>
                  </w:r>
                  <w:r>
                    <w:rPr>
                      <w:rFonts w:hint="default" w:ascii="Times New Roman" w:hAnsi="Times New Roman" w:cs="Times New Roman"/>
                      <w:b/>
                      <w:bCs/>
                      <w:color w:val="auto"/>
                      <w:sz w:val="21"/>
                      <w:szCs w:val="21"/>
                      <w:u w:val="single"/>
                    </w:rPr>
                    <w:t>级</w:t>
                  </w:r>
                </w:p>
              </w:tc>
            </w:tr>
          </w:tbl>
          <w:p>
            <w:pPr>
              <w:spacing w:line="360" w:lineRule="auto"/>
              <w:contextualSpacing/>
              <w:jc w:val="both"/>
              <w:rPr>
                <w:rFonts w:ascii="Times New Roman" w:hAnsi="Times New Roman" w:cs="Times New Roman"/>
                <w:b/>
                <w:color w:val="auto"/>
                <w:szCs w:val="21"/>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
                <w:color w:val="auto"/>
                <w:szCs w:val="21"/>
              </w:rPr>
            </w:pPr>
            <w:r>
              <w:rPr>
                <w:color w:val="auto"/>
                <w:sz w:val="24"/>
              </w:rPr>
              <w:t>预测结果汇总如下表所示。</w:t>
            </w:r>
          </w:p>
          <w:p>
            <w:pPr>
              <w:spacing w:line="360" w:lineRule="auto"/>
              <w:contextualSpacing/>
              <w:jc w:val="center"/>
              <w:rPr>
                <w:rFonts w:ascii="Times New Roman" w:hAnsi="Times New Roman" w:cs="Times New Roman"/>
                <w:b/>
                <w:color w:val="auto"/>
                <w:szCs w:val="21"/>
              </w:rPr>
            </w:pPr>
            <w:r>
              <w:rPr>
                <w:rFonts w:ascii="Times New Roman" w:hAnsi="Times New Roman" w:cs="Times New Roman"/>
                <w:b/>
                <w:color w:val="auto"/>
                <w:szCs w:val="21"/>
              </w:rPr>
              <w:t>表7-</w:t>
            </w:r>
            <w:r>
              <w:rPr>
                <w:rFonts w:hint="eastAsia" w:cs="Times New Roman"/>
                <w:b/>
                <w:color w:val="auto"/>
                <w:szCs w:val="21"/>
                <w:lang w:val="en-US" w:eastAsia="zh-CN"/>
              </w:rPr>
              <w:t>11</w:t>
            </w:r>
            <w:r>
              <w:rPr>
                <w:rFonts w:ascii="Times New Roman" w:hAnsi="Times New Roman" w:cs="Times New Roman"/>
                <w:b/>
                <w:color w:val="auto"/>
                <w:szCs w:val="21"/>
              </w:rPr>
              <w:t xml:space="preserve">   Pmax和D10%预测和计算结果一览表</w:t>
            </w:r>
          </w:p>
          <w:tbl>
            <w:tblPr>
              <w:tblStyle w:val="22"/>
              <w:tblW w:w="86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4"/>
              <w:gridCol w:w="1109"/>
              <w:gridCol w:w="1154"/>
              <w:gridCol w:w="1124"/>
              <w:gridCol w:w="1125"/>
              <w:gridCol w:w="1168"/>
              <w:gridCol w:w="1050"/>
              <w:gridCol w:w="10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4" w:type="dxa"/>
                  <w:vMerge w:val="restart"/>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排放</w:t>
                  </w:r>
                </w:p>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方式</w:t>
                  </w:r>
                </w:p>
              </w:tc>
              <w:tc>
                <w:tcPr>
                  <w:tcW w:w="1109" w:type="dxa"/>
                  <w:vMerge w:val="restart"/>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污染物</w:t>
                  </w:r>
                </w:p>
              </w:tc>
              <w:tc>
                <w:tcPr>
                  <w:tcW w:w="3403" w:type="dxa"/>
                  <w:gridSpan w:val="3"/>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正常排放</w:t>
                  </w:r>
                </w:p>
              </w:tc>
              <w:tc>
                <w:tcPr>
                  <w:tcW w:w="3302" w:type="dxa"/>
                  <w:gridSpan w:val="3"/>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非正常工况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4" w:type="dxa"/>
                  <w:vMerge w:val="continue"/>
                  <w:noWrap w:val="0"/>
                  <w:vAlign w:val="center"/>
                </w:tcPr>
                <w:p>
                  <w:pPr>
                    <w:pStyle w:val="13"/>
                    <w:tabs>
                      <w:tab w:val="left" w:pos="7920"/>
                    </w:tabs>
                    <w:jc w:val="center"/>
                    <w:rPr>
                      <w:rFonts w:ascii="Times New Roman" w:hAnsi="Times New Roman" w:cs="Times New Roman"/>
                      <w:color w:val="auto"/>
                      <w:u w:val="single"/>
                    </w:rPr>
                  </w:pPr>
                </w:p>
              </w:tc>
              <w:tc>
                <w:tcPr>
                  <w:tcW w:w="1109" w:type="dxa"/>
                  <w:vMerge w:val="continue"/>
                  <w:noWrap w:val="0"/>
                  <w:vAlign w:val="center"/>
                </w:tcPr>
                <w:p>
                  <w:pPr>
                    <w:pStyle w:val="13"/>
                    <w:tabs>
                      <w:tab w:val="left" w:pos="7920"/>
                    </w:tabs>
                    <w:jc w:val="center"/>
                    <w:rPr>
                      <w:rFonts w:ascii="Times New Roman" w:hAnsi="Times New Roman" w:cs="Times New Roman"/>
                      <w:color w:val="auto"/>
                      <w:u w:val="single"/>
                    </w:rPr>
                  </w:pPr>
                </w:p>
              </w:tc>
              <w:tc>
                <w:tcPr>
                  <w:tcW w:w="1154"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最大预测质量浓度（μg/m</w:t>
                  </w:r>
                  <w:r>
                    <w:rPr>
                      <w:rFonts w:ascii="Times New Roman" w:hAnsi="Times New Roman" w:cs="Times New Roman"/>
                      <w:color w:val="auto"/>
                      <w:u w:val="single"/>
                      <w:vertAlign w:val="superscript"/>
                    </w:rPr>
                    <w:t>3</w:t>
                  </w:r>
                  <w:r>
                    <w:rPr>
                      <w:rFonts w:ascii="Times New Roman" w:hAnsi="Times New Roman" w:cs="Times New Roman"/>
                      <w:color w:val="auto"/>
                      <w:u w:val="single"/>
                    </w:rPr>
                    <w:t>）</w:t>
                  </w:r>
                </w:p>
              </w:tc>
              <w:tc>
                <w:tcPr>
                  <w:tcW w:w="1124"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最大浓度占标率（%）</w:t>
                  </w:r>
                </w:p>
              </w:tc>
              <w:tc>
                <w:tcPr>
                  <w:tcW w:w="1125"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最大浓度出现位置（m）</w:t>
                  </w:r>
                </w:p>
              </w:tc>
              <w:tc>
                <w:tcPr>
                  <w:tcW w:w="1168"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最大预测质量浓度（μg/m</w:t>
                  </w:r>
                  <w:r>
                    <w:rPr>
                      <w:rFonts w:ascii="Times New Roman" w:hAnsi="Times New Roman" w:cs="Times New Roman"/>
                      <w:color w:val="auto"/>
                      <w:u w:val="single"/>
                      <w:vertAlign w:val="superscript"/>
                    </w:rPr>
                    <w:t>3</w:t>
                  </w:r>
                  <w:r>
                    <w:rPr>
                      <w:rFonts w:ascii="Times New Roman" w:hAnsi="Times New Roman" w:cs="Times New Roman"/>
                      <w:color w:val="auto"/>
                      <w:u w:val="single"/>
                    </w:rPr>
                    <w:t>）</w:t>
                  </w:r>
                </w:p>
              </w:tc>
              <w:tc>
                <w:tcPr>
                  <w:tcW w:w="1050"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最大浓度占标率（%）</w:t>
                  </w:r>
                </w:p>
              </w:tc>
              <w:tc>
                <w:tcPr>
                  <w:tcW w:w="1084"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最大浓度出现位置（m）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4" w:type="dxa"/>
                  <w:vMerge w:val="restart"/>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有组织</w:t>
                  </w:r>
                </w:p>
              </w:tc>
              <w:tc>
                <w:tcPr>
                  <w:tcW w:w="1109"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bCs/>
                      <w:color w:val="auto"/>
                      <w:u w:val="single"/>
                      <w:shd w:val="clear" w:color="auto" w:fill="FFFFFF"/>
                    </w:rPr>
                    <w:t>SO</w:t>
                  </w:r>
                  <w:r>
                    <w:rPr>
                      <w:rFonts w:ascii="Times New Roman" w:hAnsi="Times New Roman" w:cs="Times New Roman"/>
                      <w:bCs/>
                      <w:color w:val="auto"/>
                      <w:u w:val="single"/>
                      <w:shd w:val="clear" w:color="auto" w:fill="FFFFFF"/>
                      <w:vertAlign w:val="subscript"/>
                    </w:rPr>
                    <w:t>2</w:t>
                  </w:r>
                </w:p>
              </w:tc>
              <w:tc>
                <w:tcPr>
                  <w:tcW w:w="1154" w:type="dxa"/>
                  <w:noWrap w:val="0"/>
                  <w:vAlign w:val="center"/>
                </w:tcPr>
                <w:p>
                  <w:pPr>
                    <w:jc w:val="center"/>
                    <w:rPr>
                      <w:rFonts w:hint="default"/>
                      <w:color w:val="auto"/>
                      <w:szCs w:val="21"/>
                      <w:u w:val="single"/>
                      <w:lang w:val="en-US"/>
                    </w:rPr>
                  </w:pPr>
                  <w:r>
                    <w:rPr>
                      <w:rFonts w:hint="eastAsia" w:cs="Times New Roman"/>
                      <w:color w:val="auto"/>
                      <w:u w:val="single"/>
                      <w:lang w:val="en-US" w:eastAsia="zh-CN"/>
                    </w:rPr>
                    <w:t>9.0</w:t>
                  </w:r>
                </w:p>
              </w:tc>
              <w:tc>
                <w:tcPr>
                  <w:tcW w:w="1124" w:type="dxa"/>
                  <w:noWrap w:val="0"/>
                  <w:vAlign w:val="center"/>
                </w:tcPr>
                <w:p>
                  <w:pPr>
                    <w:jc w:val="center"/>
                    <w:rPr>
                      <w:rFonts w:hint="default"/>
                      <w:color w:val="auto"/>
                      <w:szCs w:val="21"/>
                      <w:u w:val="single"/>
                      <w:lang w:val="en-US"/>
                    </w:rPr>
                  </w:pPr>
                  <w:r>
                    <w:rPr>
                      <w:rFonts w:hint="eastAsia" w:cs="Times New Roman"/>
                      <w:color w:val="auto"/>
                      <w:u w:val="single"/>
                      <w:lang w:val="en-US" w:eastAsia="zh-CN"/>
                    </w:rPr>
                    <w:t>1.8</w:t>
                  </w:r>
                </w:p>
              </w:tc>
              <w:tc>
                <w:tcPr>
                  <w:tcW w:w="1125" w:type="dxa"/>
                  <w:noWrap w:val="0"/>
                  <w:vAlign w:val="center"/>
                </w:tcPr>
                <w:p>
                  <w:pPr>
                    <w:pStyle w:val="13"/>
                    <w:tabs>
                      <w:tab w:val="left" w:pos="7920"/>
                    </w:tabs>
                    <w:jc w:val="center"/>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115</w:t>
                  </w:r>
                </w:p>
              </w:tc>
              <w:tc>
                <w:tcPr>
                  <w:tcW w:w="1168" w:type="dxa"/>
                  <w:noWrap w:val="0"/>
                  <w:vAlign w:val="center"/>
                </w:tcPr>
                <w:p>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10.7</w:t>
                  </w:r>
                </w:p>
              </w:tc>
              <w:tc>
                <w:tcPr>
                  <w:tcW w:w="1050" w:type="dxa"/>
                  <w:noWrap w:val="0"/>
                  <w:vAlign w:val="center"/>
                </w:tcPr>
                <w:p>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2.14</w:t>
                  </w:r>
                </w:p>
              </w:tc>
              <w:tc>
                <w:tcPr>
                  <w:tcW w:w="1084" w:type="dxa"/>
                  <w:noWrap w:val="0"/>
                  <w:vAlign w:val="center"/>
                </w:tcPr>
                <w:p>
                  <w:pPr>
                    <w:pStyle w:val="13"/>
                    <w:tabs>
                      <w:tab w:val="left" w:pos="7920"/>
                    </w:tabs>
                    <w:jc w:val="center"/>
                    <w:rPr>
                      <w:color w:val="auto"/>
                      <w:szCs w:val="21"/>
                      <w:u w:val="single"/>
                    </w:rPr>
                  </w:pPr>
                  <w:r>
                    <w:rPr>
                      <w:rFonts w:hint="eastAsia" w:ascii="Times New Roman" w:hAnsi="Times New Roman" w:cs="Times New Roman"/>
                      <w:color w:val="auto"/>
                      <w:u w:val="singl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4" w:type="dxa"/>
                  <w:vMerge w:val="continue"/>
                  <w:noWrap w:val="0"/>
                  <w:vAlign w:val="center"/>
                </w:tcPr>
                <w:p>
                  <w:pPr>
                    <w:pStyle w:val="13"/>
                    <w:tabs>
                      <w:tab w:val="left" w:pos="7920"/>
                    </w:tabs>
                    <w:jc w:val="center"/>
                    <w:rPr>
                      <w:rFonts w:ascii="Times New Roman" w:hAnsi="Times New Roman" w:cs="Times New Roman"/>
                      <w:color w:val="auto"/>
                      <w:u w:val="single"/>
                    </w:rPr>
                  </w:pPr>
                </w:p>
              </w:tc>
              <w:tc>
                <w:tcPr>
                  <w:tcW w:w="1109"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TSP</w:t>
                  </w:r>
                </w:p>
              </w:tc>
              <w:tc>
                <w:tcPr>
                  <w:tcW w:w="1154" w:type="dxa"/>
                  <w:noWrap w:val="0"/>
                  <w:vAlign w:val="center"/>
                </w:tcPr>
                <w:p>
                  <w:pPr>
                    <w:jc w:val="center"/>
                    <w:rPr>
                      <w:rFonts w:hint="default"/>
                      <w:color w:val="auto"/>
                      <w:szCs w:val="21"/>
                      <w:u w:val="single"/>
                      <w:lang w:val="en-US"/>
                    </w:rPr>
                  </w:pPr>
                  <w:r>
                    <w:rPr>
                      <w:rFonts w:hint="eastAsia" w:cs="Times New Roman"/>
                      <w:color w:val="auto"/>
                      <w:u w:val="single"/>
                      <w:lang w:val="en-US" w:eastAsia="zh-CN"/>
                    </w:rPr>
                    <w:t>1.38</w:t>
                  </w:r>
                </w:p>
              </w:tc>
              <w:tc>
                <w:tcPr>
                  <w:tcW w:w="1124" w:type="dxa"/>
                  <w:noWrap w:val="0"/>
                  <w:vAlign w:val="center"/>
                </w:tcPr>
                <w:p>
                  <w:pPr>
                    <w:jc w:val="center"/>
                    <w:rPr>
                      <w:rFonts w:hint="default"/>
                      <w:color w:val="auto"/>
                      <w:szCs w:val="21"/>
                      <w:u w:val="single"/>
                      <w:lang w:val="en-US"/>
                    </w:rPr>
                  </w:pPr>
                  <w:r>
                    <w:rPr>
                      <w:rFonts w:hint="eastAsia" w:cs="Times New Roman"/>
                      <w:color w:val="auto"/>
                      <w:u w:val="single"/>
                      <w:lang w:val="en-US" w:eastAsia="zh-CN"/>
                    </w:rPr>
                    <w:t>0.15</w:t>
                  </w:r>
                </w:p>
              </w:tc>
              <w:tc>
                <w:tcPr>
                  <w:tcW w:w="1125" w:type="dxa"/>
                  <w:noWrap w:val="0"/>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115</w:t>
                  </w:r>
                </w:p>
              </w:tc>
              <w:tc>
                <w:tcPr>
                  <w:tcW w:w="1168" w:type="dxa"/>
                  <w:noWrap w:val="0"/>
                  <w:vAlign w:val="center"/>
                </w:tcPr>
                <w:p>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271</w:t>
                  </w:r>
                </w:p>
              </w:tc>
              <w:tc>
                <w:tcPr>
                  <w:tcW w:w="1050" w:type="dxa"/>
                  <w:noWrap w:val="0"/>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30.11</w:t>
                  </w:r>
                </w:p>
              </w:tc>
              <w:tc>
                <w:tcPr>
                  <w:tcW w:w="1084" w:type="dxa"/>
                  <w:noWrap w:val="0"/>
                  <w:vAlign w:val="center"/>
                </w:tcPr>
                <w:p>
                  <w:pPr>
                    <w:jc w:val="center"/>
                    <w:rPr>
                      <w:color w:val="auto"/>
                      <w:sz w:val="18"/>
                      <w:szCs w:val="18"/>
                      <w:u w:val="single"/>
                    </w:rPr>
                  </w:pPr>
                  <w:r>
                    <w:rPr>
                      <w:rFonts w:hint="eastAsia"/>
                      <w:color w:val="auto"/>
                      <w:szCs w:val="21"/>
                      <w:u w:val="singl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4" w:type="dxa"/>
                  <w:vMerge w:val="continue"/>
                  <w:noWrap w:val="0"/>
                  <w:vAlign w:val="center"/>
                </w:tcPr>
                <w:p>
                  <w:pPr>
                    <w:pStyle w:val="13"/>
                    <w:tabs>
                      <w:tab w:val="left" w:pos="7920"/>
                    </w:tabs>
                    <w:jc w:val="center"/>
                    <w:rPr>
                      <w:rFonts w:ascii="Times New Roman" w:hAnsi="Times New Roman" w:cs="Times New Roman"/>
                      <w:color w:val="auto"/>
                      <w:u w:val="single"/>
                    </w:rPr>
                  </w:pPr>
                </w:p>
              </w:tc>
              <w:tc>
                <w:tcPr>
                  <w:tcW w:w="1109"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bCs/>
                      <w:color w:val="auto"/>
                      <w:u w:val="single"/>
                      <w:shd w:val="clear" w:color="auto" w:fill="FFFFFF"/>
                    </w:rPr>
                    <w:t>NOx</w:t>
                  </w:r>
                </w:p>
              </w:tc>
              <w:tc>
                <w:tcPr>
                  <w:tcW w:w="1154" w:type="dxa"/>
                  <w:noWrap w:val="0"/>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14.8</w:t>
                  </w:r>
                </w:p>
              </w:tc>
              <w:tc>
                <w:tcPr>
                  <w:tcW w:w="1124" w:type="dxa"/>
                  <w:noWrap w:val="0"/>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5.92</w:t>
                  </w:r>
                </w:p>
              </w:tc>
              <w:tc>
                <w:tcPr>
                  <w:tcW w:w="1125" w:type="dxa"/>
                  <w:noWrap w:val="0"/>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115</w:t>
                  </w:r>
                </w:p>
              </w:tc>
              <w:tc>
                <w:tcPr>
                  <w:tcW w:w="1168" w:type="dxa"/>
                  <w:noWrap w:val="0"/>
                  <w:vAlign w:val="center"/>
                </w:tcPr>
                <w:p>
                  <w:pPr>
                    <w:widowControl/>
                    <w:adjustRightInd w:val="0"/>
                    <w:snapToGrid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15.0</w:t>
                  </w:r>
                </w:p>
              </w:tc>
              <w:tc>
                <w:tcPr>
                  <w:tcW w:w="1050" w:type="dxa"/>
                  <w:noWrap w:val="0"/>
                  <w:vAlign w:val="center"/>
                </w:tcPr>
                <w:p>
                  <w:pPr>
                    <w:widowControl/>
                    <w:adjustRightInd w:val="0"/>
                    <w:snapToGrid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6.0</w:t>
                  </w:r>
                </w:p>
              </w:tc>
              <w:tc>
                <w:tcPr>
                  <w:tcW w:w="1084" w:type="dxa"/>
                  <w:noWrap w:val="0"/>
                  <w:vAlign w:val="center"/>
                </w:tcPr>
                <w:p>
                  <w:pPr>
                    <w:jc w:val="center"/>
                    <w:rPr>
                      <w:color w:val="auto"/>
                      <w:szCs w:val="21"/>
                      <w:u w:val="single"/>
                    </w:rPr>
                  </w:pPr>
                  <w:r>
                    <w:rPr>
                      <w:rFonts w:hint="eastAsia"/>
                      <w:color w:val="auto"/>
                      <w:szCs w:val="21"/>
                      <w:u w:val="singl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4"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无组织</w:t>
                  </w:r>
                </w:p>
              </w:tc>
              <w:tc>
                <w:tcPr>
                  <w:tcW w:w="1109"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TSP</w:t>
                  </w:r>
                </w:p>
              </w:tc>
              <w:tc>
                <w:tcPr>
                  <w:tcW w:w="1154" w:type="dxa"/>
                  <w:noWrap w:val="0"/>
                  <w:vAlign w:val="center"/>
                </w:tcPr>
                <w:p>
                  <w:pPr>
                    <w:jc w:val="center"/>
                    <w:rPr>
                      <w:rFonts w:hint="default"/>
                      <w:color w:val="auto"/>
                      <w:szCs w:val="21"/>
                      <w:u w:val="single"/>
                      <w:lang w:val="en-US" w:bidi="ar"/>
                    </w:rPr>
                  </w:pPr>
                  <w:r>
                    <w:rPr>
                      <w:rFonts w:hint="eastAsia" w:cs="Times New Roman"/>
                      <w:color w:val="auto"/>
                      <w:u w:val="single"/>
                      <w:lang w:val="en-US" w:eastAsia="zh-CN"/>
                    </w:rPr>
                    <w:t>38.8</w:t>
                  </w:r>
                </w:p>
              </w:tc>
              <w:tc>
                <w:tcPr>
                  <w:tcW w:w="1124" w:type="dxa"/>
                  <w:noWrap w:val="0"/>
                  <w:vAlign w:val="center"/>
                </w:tcPr>
                <w:p>
                  <w:pPr>
                    <w:jc w:val="center"/>
                    <w:rPr>
                      <w:rFonts w:hint="default"/>
                      <w:color w:val="auto"/>
                      <w:szCs w:val="21"/>
                      <w:u w:val="single"/>
                      <w:lang w:val="en-US"/>
                    </w:rPr>
                  </w:pPr>
                  <w:r>
                    <w:rPr>
                      <w:rFonts w:hint="eastAsia" w:cs="Times New Roman"/>
                      <w:color w:val="auto"/>
                      <w:u w:val="single"/>
                      <w:lang w:val="en-US" w:eastAsia="zh-CN"/>
                    </w:rPr>
                    <w:t>4.31</w:t>
                  </w:r>
                </w:p>
              </w:tc>
              <w:tc>
                <w:tcPr>
                  <w:tcW w:w="1125" w:type="dxa"/>
                  <w:noWrap w:val="0"/>
                  <w:vAlign w:val="center"/>
                </w:tcPr>
                <w:p>
                  <w:pPr>
                    <w:pStyle w:val="13"/>
                    <w:tabs>
                      <w:tab w:val="left" w:pos="7920"/>
                    </w:tabs>
                    <w:jc w:val="center"/>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48</w:t>
                  </w:r>
                </w:p>
              </w:tc>
              <w:tc>
                <w:tcPr>
                  <w:tcW w:w="1168" w:type="dxa"/>
                  <w:noWrap w:val="0"/>
                  <w:vAlign w:val="center"/>
                </w:tcPr>
                <w:p>
                  <w:pPr>
                    <w:widowControl/>
                    <w:jc w:val="center"/>
                    <w:textAlignment w:val="center"/>
                    <w:rPr>
                      <w:color w:val="auto"/>
                      <w:szCs w:val="21"/>
                      <w:u w:val="single"/>
                      <w:lang w:bidi="ar"/>
                    </w:rPr>
                  </w:pPr>
                  <w:r>
                    <w:rPr>
                      <w:color w:val="auto"/>
                      <w:szCs w:val="21"/>
                      <w:u w:val="single"/>
                      <w:lang w:bidi="ar"/>
                    </w:rPr>
                    <w:t>/</w:t>
                  </w:r>
                </w:p>
              </w:tc>
              <w:tc>
                <w:tcPr>
                  <w:tcW w:w="1050" w:type="dxa"/>
                  <w:noWrap w:val="0"/>
                  <w:vAlign w:val="center"/>
                </w:tcPr>
                <w:p>
                  <w:pPr>
                    <w:jc w:val="center"/>
                    <w:rPr>
                      <w:color w:val="auto"/>
                      <w:szCs w:val="21"/>
                      <w:u w:val="single"/>
                    </w:rPr>
                  </w:pPr>
                  <w:r>
                    <w:rPr>
                      <w:color w:val="auto"/>
                      <w:szCs w:val="21"/>
                      <w:u w:val="single"/>
                    </w:rPr>
                    <w:t>/</w:t>
                  </w:r>
                </w:p>
              </w:tc>
              <w:tc>
                <w:tcPr>
                  <w:tcW w:w="1084" w:type="dxa"/>
                  <w:noWrap w:val="0"/>
                  <w:vAlign w:val="center"/>
                </w:tcPr>
                <w:p>
                  <w:pPr>
                    <w:pStyle w:val="13"/>
                    <w:tabs>
                      <w:tab w:val="left" w:pos="7920"/>
                    </w:tabs>
                    <w:jc w:val="center"/>
                    <w:rPr>
                      <w:rFonts w:ascii="Times New Roman" w:hAnsi="Times New Roman" w:cs="Times New Roman"/>
                      <w:color w:val="auto"/>
                      <w:u w:val="single"/>
                    </w:rPr>
                  </w:pPr>
                  <w:r>
                    <w:rPr>
                      <w:rFonts w:ascii="Times New Roman" w:hAnsi="Times New Roman" w:cs="Times New Roman"/>
                      <w:color w:val="auto"/>
                      <w:u w:val="single"/>
                    </w:rPr>
                    <w:t>/</w:t>
                  </w:r>
                </w:p>
              </w:tc>
            </w:tr>
          </w:tbl>
          <w:p>
            <w:pPr>
              <w:pStyle w:val="2"/>
              <w:rPr>
                <w:rFonts w:ascii="Times New Roman" w:hAnsi="Times New Roman" w:cs="Times New Roman"/>
                <w:b/>
                <w:color w:val="auto"/>
                <w:szCs w:val="21"/>
              </w:rPr>
            </w:pPr>
          </w:p>
          <w:p>
            <w:pPr>
              <w:pStyle w:val="2"/>
              <w:rPr>
                <w:rFonts w:ascii="Times New Roman" w:hAnsi="Times New Roman" w:cs="Times New Roman"/>
                <w:b/>
                <w:color w:val="auto"/>
                <w:szCs w:val="21"/>
              </w:rPr>
            </w:pPr>
          </w:p>
          <w:p>
            <w:pPr>
              <w:spacing w:line="360" w:lineRule="auto"/>
              <w:ind w:firstLine="480" w:firstLineChars="200"/>
              <w:rPr>
                <w:color w:val="auto"/>
                <w:spacing w:val="4"/>
                <w:sz w:val="24"/>
              </w:rPr>
            </w:pPr>
            <w:r>
              <w:rPr>
                <w:color w:val="auto"/>
                <w:sz w:val="24"/>
              </w:rPr>
              <w:t>由上表可知，正常工况下本项目有组织排放的大气污染物</w:t>
            </w:r>
            <w:r>
              <w:rPr>
                <w:bCs/>
                <w:color w:val="auto"/>
                <w:sz w:val="24"/>
                <w:shd w:val="clear" w:color="auto" w:fill="FFFFFF"/>
              </w:rPr>
              <w:t>SO</w:t>
            </w:r>
            <w:r>
              <w:rPr>
                <w:bCs/>
                <w:color w:val="auto"/>
                <w:sz w:val="24"/>
                <w:shd w:val="clear" w:color="auto" w:fill="FFFFFF"/>
                <w:vertAlign w:val="subscript"/>
              </w:rPr>
              <w:t>2</w:t>
            </w:r>
            <w:r>
              <w:rPr>
                <w:color w:val="auto"/>
                <w:sz w:val="24"/>
              </w:rPr>
              <w:t>、TSP、</w:t>
            </w:r>
            <w:r>
              <w:rPr>
                <w:bCs/>
                <w:color w:val="auto"/>
                <w:sz w:val="24"/>
                <w:shd w:val="clear" w:color="auto" w:fill="FFFFFF"/>
              </w:rPr>
              <w:t>NOx</w:t>
            </w:r>
            <w:r>
              <w:rPr>
                <w:color w:val="auto"/>
                <w:sz w:val="24"/>
              </w:rPr>
              <w:t>在下风向</w:t>
            </w:r>
            <w:r>
              <w:rPr>
                <w:rFonts w:hint="eastAsia"/>
                <w:color w:val="auto"/>
                <w:sz w:val="24"/>
                <w:lang w:val="en-US" w:eastAsia="zh-CN"/>
              </w:rPr>
              <w:t>115</w:t>
            </w:r>
            <w:r>
              <w:rPr>
                <w:color w:val="auto"/>
                <w:sz w:val="24"/>
              </w:rPr>
              <w:t>m处出现最大预测质量浓度，</w:t>
            </w:r>
            <w:r>
              <w:rPr>
                <w:color w:val="auto"/>
                <w:sz w:val="24"/>
                <w:u w:val="single"/>
              </w:rPr>
              <w:t>分别为</w:t>
            </w:r>
            <w:r>
              <w:rPr>
                <w:rFonts w:hint="eastAsia"/>
                <w:color w:val="auto"/>
                <w:sz w:val="24"/>
                <w:u w:val="single"/>
                <w:lang w:val="en-US" w:eastAsia="zh-CN"/>
              </w:rPr>
              <w:t>9.0</w:t>
            </w:r>
            <w:r>
              <w:rPr>
                <w:color w:val="auto"/>
                <w:sz w:val="24"/>
                <w:u w:val="single"/>
              </w:rPr>
              <w:t>μg/m</w:t>
            </w:r>
            <w:r>
              <w:rPr>
                <w:color w:val="auto"/>
                <w:sz w:val="24"/>
                <w:u w:val="single"/>
                <w:vertAlign w:val="superscript"/>
              </w:rPr>
              <w:t>3</w:t>
            </w:r>
            <w:r>
              <w:rPr>
                <w:color w:val="auto"/>
                <w:sz w:val="24"/>
                <w:u w:val="single"/>
              </w:rPr>
              <w:t>、</w:t>
            </w:r>
            <w:r>
              <w:rPr>
                <w:rFonts w:hint="eastAsia"/>
                <w:color w:val="auto"/>
                <w:sz w:val="24"/>
                <w:u w:val="single"/>
                <w:lang w:val="en-US" w:eastAsia="zh-CN"/>
              </w:rPr>
              <w:t>1.38</w:t>
            </w:r>
            <w:r>
              <w:rPr>
                <w:color w:val="auto"/>
                <w:sz w:val="24"/>
                <w:u w:val="single"/>
              </w:rPr>
              <w:t>μg/m</w:t>
            </w:r>
            <w:r>
              <w:rPr>
                <w:color w:val="auto"/>
                <w:sz w:val="24"/>
                <w:u w:val="single"/>
                <w:vertAlign w:val="superscript"/>
              </w:rPr>
              <w:t>3</w:t>
            </w:r>
            <w:r>
              <w:rPr>
                <w:color w:val="auto"/>
                <w:sz w:val="24"/>
                <w:u w:val="single"/>
              </w:rPr>
              <w:t>、</w:t>
            </w:r>
            <w:r>
              <w:rPr>
                <w:rFonts w:hint="eastAsia"/>
                <w:color w:val="auto"/>
                <w:sz w:val="24"/>
                <w:u w:val="single"/>
                <w:lang w:val="en-US" w:eastAsia="zh-CN"/>
              </w:rPr>
              <w:t>14.8</w:t>
            </w:r>
            <w:r>
              <w:rPr>
                <w:color w:val="auto"/>
                <w:sz w:val="24"/>
                <w:u w:val="single"/>
              </w:rPr>
              <w:t>μg/m</w:t>
            </w:r>
            <w:r>
              <w:rPr>
                <w:color w:val="auto"/>
                <w:sz w:val="24"/>
                <w:u w:val="single"/>
                <w:vertAlign w:val="superscript"/>
              </w:rPr>
              <w:t>3</w:t>
            </w:r>
            <w:r>
              <w:rPr>
                <w:color w:val="auto"/>
                <w:sz w:val="24"/>
                <w:u w:val="single"/>
              </w:rPr>
              <w:t>，占标率分别为</w:t>
            </w:r>
            <w:r>
              <w:rPr>
                <w:rFonts w:hint="eastAsia"/>
                <w:color w:val="auto"/>
                <w:sz w:val="24"/>
                <w:u w:val="single"/>
                <w:lang w:val="en-US" w:eastAsia="zh-CN"/>
              </w:rPr>
              <w:t>1.8</w:t>
            </w:r>
            <w:r>
              <w:rPr>
                <w:color w:val="auto"/>
                <w:sz w:val="24"/>
                <w:u w:val="single"/>
              </w:rPr>
              <w:t>%、</w:t>
            </w:r>
            <w:r>
              <w:rPr>
                <w:rFonts w:hint="eastAsia"/>
                <w:color w:val="auto"/>
                <w:sz w:val="24"/>
                <w:u w:val="single"/>
                <w:lang w:val="en-US" w:eastAsia="zh-CN"/>
              </w:rPr>
              <w:t>0.15</w:t>
            </w:r>
            <w:r>
              <w:rPr>
                <w:color w:val="auto"/>
                <w:sz w:val="24"/>
                <w:u w:val="single"/>
              </w:rPr>
              <w:t>%、</w:t>
            </w:r>
            <w:r>
              <w:rPr>
                <w:rFonts w:hint="eastAsia"/>
                <w:color w:val="auto"/>
                <w:sz w:val="24"/>
                <w:u w:val="single"/>
                <w:lang w:val="en-US" w:eastAsia="zh-CN"/>
              </w:rPr>
              <w:t>5.92</w:t>
            </w:r>
            <w:r>
              <w:rPr>
                <w:color w:val="auto"/>
                <w:sz w:val="24"/>
                <w:u w:val="single"/>
              </w:rPr>
              <w:t>%；</w:t>
            </w:r>
            <w:r>
              <w:rPr>
                <w:color w:val="auto"/>
                <w:sz w:val="24"/>
              </w:rPr>
              <w:t>正常工况无组织排放的颗粒物在下风向</w:t>
            </w:r>
            <w:r>
              <w:rPr>
                <w:rFonts w:hint="eastAsia"/>
                <w:color w:val="auto"/>
                <w:sz w:val="24"/>
                <w:lang w:val="en-US" w:eastAsia="zh-CN"/>
              </w:rPr>
              <w:t>48</w:t>
            </w:r>
            <w:r>
              <w:rPr>
                <w:color w:val="auto"/>
                <w:sz w:val="24"/>
              </w:rPr>
              <w:t>m处出现最大预测质量浓度为</w:t>
            </w:r>
            <w:r>
              <w:rPr>
                <w:rFonts w:hint="eastAsia"/>
                <w:color w:val="auto"/>
                <w:sz w:val="24"/>
                <w:u w:val="single"/>
                <w:lang w:val="en-US" w:eastAsia="zh-CN"/>
              </w:rPr>
              <w:t>38.8</w:t>
            </w:r>
            <w:r>
              <w:rPr>
                <w:color w:val="auto"/>
                <w:sz w:val="24"/>
              </w:rPr>
              <w:t>μg/m</w:t>
            </w:r>
            <w:r>
              <w:rPr>
                <w:color w:val="auto"/>
                <w:sz w:val="24"/>
                <w:vertAlign w:val="superscript"/>
              </w:rPr>
              <w:t>3</w:t>
            </w:r>
            <w:r>
              <w:rPr>
                <w:color w:val="auto"/>
                <w:sz w:val="24"/>
              </w:rPr>
              <w:t>，占标率为</w:t>
            </w:r>
            <w:r>
              <w:rPr>
                <w:rFonts w:hint="eastAsia"/>
                <w:color w:val="auto"/>
                <w:sz w:val="24"/>
                <w:u w:val="single"/>
                <w:lang w:val="en-US" w:eastAsia="zh-CN"/>
              </w:rPr>
              <w:t>4.31</w:t>
            </w:r>
            <w:r>
              <w:rPr>
                <w:color w:val="auto"/>
                <w:sz w:val="24"/>
              </w:rPr>
              <w:t>%</w:t>
            </w:r>
            <w:r>
              <w:rPr>
                <w:color w:val="auto"/>
                <w:spacing w:val="4"/>
                <w:sz w:val="24"/>
              </w:rPr>
              <w:t>，各污染物最大落地浓度均低于相应质量标准要求，预测浓度值均未超标，对周边环境空气影响较小。非正常工况下（项目废气处理设施处理效率为0的情形下）有组织排放</w:t>
            </w:r>
            <w:r>
              <w:rPr>
                <w:color w:val="auto"/>
                <w:sz w:val="24"/>
              </w:rPr>
              <w:t>颗粒物最大预测质量浓度为</w:t>
            </w:r>
            <w:r>
              <w:rPr>
                <w:rFonts w:hint="eastAsia"/>
                <w:color w:val="auto"/>
                <w:sz w:val="24"/>
                <w:lang w:val="en-US" w:eastAsia="zh-CN"/>
              </w:rPr>
              <w:t>271</w:t>
            </w:r>
            <w:r>
              <w:rPr>
                <w:color w:val="auto"/>
                <w:sz w:val="24"/>
              </w:rPr>
              <w:t>μg/m</w:t>
            </w:r>
            <w:r>
              <w:rPr>
                <w:color w:val="auto"/>
                <w:sz w:val="24"/>
                <w:vertAlign w:val="superscript"/>
              </w:rPr>
              <w:t>3</w:t>
            </w:r>
            <w:r>
              <w:rPr>
                <w:color w:val="auto"/>
                <w:sz w:val="24"/>
              </w:rPr>
              <w:t>，占标率</w:t>
            </w:r>
            <w:r>
              <w:rPr>
                <w:color w:val="auto"/>
                <w:spacing w:val="4"/>
                <w:sz w:val="24"/>
              </w:rPr>
              <w:t>为</w:t>
            </w:r>
            <w:r>
              <w:rPr>
                <w:rFonts w:hint="eastAsia"/>
                <w:color w:val="auto"/>
                <w:spacing w:val="4"/>
                <w:sz w:val="24"/>
                <w:lang w:val="en-US" w:eastAsia="zh-CN"/>
              </w:rPr>
              <w:t>30.11</w:t>
            </w:r>
            <w:r>
              <w:rPr>
                <w:color w:val="auto"/>
                <w:spacing w:val="4"/>
                <w:sz w:val="24"/>
              </w:rPr>
              <w:t>%，</w:t>
            </w:r>
            <w:r>
              <w:rPr>
                <w:color w:val="auto"/>
                <w:sz w:val="24"/>
              </w:rPr>
              <w:t>最大预测质量浓度</w:t>
            </w:r>
            <w:r>
              <w:rPr>
                <w:color w:val="auto"/>
                <w:spacing w:val="4"/>
                <w:sz w:val="24"/>
              </w:rPr>
              <w:t>出现距离为下风向</w:t>
            </w:r>
            <w:r>
              <w:rPr>
                <w:rFonts w:hint="eastAsia"/>
                <w:color w:val="auto"/>
                <w:spacing w:val="4"/>
                <w:sz w:val="24"/>
                <w:lang w:val="en-US" w:eastAsia="zh-CN"/>
              </w:rPr>
              <w:t>115</w:t>
            </w:r>
            <w:r>
              <w:rPr>
                <w:color w:val="auto"/>
                <w:spacing w:val="4"/>
                <w:sz w:val="24"/>
              </w:rPr>
              <w:t>m处。非正常工况有组织排放颗粒物虽未超出</w:t>
            </w:r>
            <w:r>
              <w:rPr>
                <w:color w:val="auto"/>
                <w:sz w:val="24"/>
              </w:rPr>
              <w:t>《工业炉窑大气污染物排放标准》(GB9078-1996)表2中“干燥炉、窑”二级标准</w:t>
            </w:r>
            <w:r>
              <w:rPr>
                <w:color w:val="auto"/>
                <w:spacing w:val="4"/>
                <w:sz w:val="24"/>
              </w:rPr>
              <w:t>，但占标率显著增大，会对周围环境空气产生不利影响。因此，企业应切实加强管理，杜绝污染事故。</w:t>
            </w:r>
          </w:p>
          <w:p>
            <w:pPr>
              <w:spacing w:line="360" w:lineRule="auto"/>
              <w:ind w:firstLine="480" w:firstLineChars="200"/>
              <w:rPr>
                <w:color w:val="auto"/>
                <w:sz w:val="24"/>
              </w:rPr>
            </w:pPr>
            <w:r>
              <w:rPr>
                <w:color w:val="auto"/>
                <w:sz w:val="24"/>
              </w:rPr>
              <w:t>预测结果表明，正常工况下，预测三种污染物中最大地面空气质量浓度占标率为</w:t>
            </w:r>
            <w:r>
              <w:rPr>
                <w:rFonts w:hint="eastAsia"/>
                <w:color w:val="auto"/>
                <w:sz w:val="24"/>
                <w:u w:val="single"/>
                <w:lang w:val="en-US" w:eastAsia="zh-CN"/>
              </w:rPr>
              <w:t>5.92</w:t>
            </w:r>
            <w:r>
              <w:rPr>
                <w:color w:val="auto"/>
                <w:sz w:val="24"/>
                <w:u w:val="single"/>
              </w:rPr>
              <w:t>%，</w:t>
            </w:r>
            <w:r>
              <w:rPr>
                <w:color w:val="auto"/>
                <w:sz w:val="24"/>
              </w:rPr>
              <w:t>本项目大气环境影响评价工作等级为二级，评价范围设为边长5km的矩形。</w:t>
            </w:r>
          </w:p>
          <w:p>
            <w:pPr>
              <w:pStyle w:val="34"/>
              <w:spacing w:line="360" w:lineRule="auto"/>
              <w:rPr>
                <w:rFonts w:hint="eastAsia" w:ascii="Times New Roman" w:hAnsi="Times New Roman" w:eastAsia="宋体" w:cs="Times New Roman"/>
                <w:color w:val="auto"/>
                <w:szCs w:val="24"/>
                <w:lang w:eastAsia="zh-CN"/>
              </w:rPr>
            </w:pPr>
            <w:r>
              <w:rPr>
                <w:color w:val="auto"/>
                <w:sz w:val="24"/>
              </w:rPr>
              <w:t>本项目大气评价等级为二级，根据《环境影响评价技术导则大气环境》（HJ2.2-2018）8.1.2“二级评价项目不进行进一步预测与评价，只对污染物排放量进行核算”，因此本报告不再进行进一步预测与评价</w:t>
            </w:r>
            <w:r>
              <w:rPr>
                <w:rFonts w:hint="eastAsia"/>
                <w:color w:val="auto"/>
                <w:sz w:val="24"/>
                <w:lang w:eastAsia="zh-CN"/>
              </w:rPr>
              <w:t>。</w:t>
            </w:r>
          </w:p>
          <w:p>
            <w:pPr>
              <w:pStyle w:val="34"/>
              <w:spacing w:line="360" w:lineRule="auto"/>
              <w:rPr>
                <w:rFonts w:hint="eastAsia" w:ascii="Times New Roman" w:hAnsi="Times New Roman" w:cs="Times New Roman"/>
                <w:color w:val="auto"/>
                <w:szCs w:val="24"/>
              </w:rPr>
            </w:pPr>
            <w:r>
              <w:rPr>
                <w:rFonts w:hint="eastAsia" w:ascii="Times New Roman" w:hAnsi="Times New Roman" w:cs="Times New Roman"/>
                <w:color w:val="auto"/>
                <w:kern w:val="0"/>
                <w:szCs w:val="24"/>
              </w:rPr>
              <w:t>建设项目大气环境影响评价自查表见</w:t>
            </w:r>
            <w:r>
              <w:rPr>
                <w:rFonts w:ascii="Times New Roman" w:hAnsi="Times New Roman" w:cs="Times New Roman"/>
                <w:color w:val="auto"/>
                <w:kern w:val="0"/>
                <w:szCs w:val="24"/>
              </w:rPr>
              <w:t>附</w:t>
            </w:r>
            <w:r>
              <w:rPr>
                <w:rFonts w:hint="eastAsia" w:ascii="Times New Roman" w:hAnsi="Times New Roman" w:cs="Times New Roman"/>
                <w:color w:val="auto"/>
                <w:kern w:val="0"/>
                <w:szCs w:val="24"/>
              </w:rPr>
              <w:t>表1。</w:t>
            </w:r>
          </w:p>
          <w:p>
            <w:pPr>
              <w:pStyle w:val="34"/>
              <w:spacing w:line="360" w:lineRule="auto"/>
              <w:rPr>
                <w:rFonts w:hint="eastAsia" w:ascii="Times New Roman" w:hAnsi="Times New Roman" w:cs="Times New Roman"/>
                <w:b/>
                <w:bCs/>
                <w:color w:val="auto"/>
                <w:szCs w:val="24"/>
              </w:rPr>
            </w:pPr>
            <w:r>
              <w:rPr>
                <w:rFonts w:hint="eastAsia" w:ascii="Times New Roman" w:hAnsi="Times New Roman" w:cs="Times New Roman"/>
                <w:b/>
                <w:bCs/>
                <w:color w:val="auto"/>
                <w:szCs w:val="24"/>
                <w:lang w:val="en-US" w:eastAsia="zh-CN"/>
              </w:rPr>
              <w:t>3、</w:t>
            </w:r>
            <w:r>
              <w:rPr>
                <w:rFonts w:hint="eastAsia" w:ascii="Times New Roman" w:hAnsi="Times New Roman" w:cs="Times New Roman"/>
                <w:b/>
                <w:bCs/>
                <w:color w:val="auto"/>
                <w:szCs w:val="24"/>
              </w:rPr>
              <w:t>大气防护距离</w:t>
            </w:r>
          </w:p>
          <w:p>
            <w:pPr>
              <w:pStyle w:val="33"/>
              <w:tabs>
                <w:tab w:val="left" w:pos="3720"/>
              </w:tabs>
              <w:rPr>
                <w:rFonts w:ascii="Times New Roman" w:hAnsi="Times New Roman" w:cs="Times New Roman"/>
                <w:color w:val="auto"/>
                <w:kern w:val="0"/>
                <w:szCs w:val="24"/>
                <w:u w:val="single"/>
              </w:rPr>
            </w:pPr>
            <w:r>
              <w:rPr>
                <w:rFonts w:hint="eastAsia" w:ascii="Times New Roman" w:hAnsi="Times New Roman" w:cs="Times New Roman"/>
                <w:color w:val="auto"/>
                <w:kern w:val="0"/>
                <w:szCs w:val="24"/>
                <w:u w:val="none"/>
              </w:rPr>
              <w:t>本项目环境影响评价等级为二级，根据《环境影响评价技术导则 大气环境》（HJ 2.2-2018）中8.7.5规定要求“</w:t>
            </w:r>
            <w:r>
              <w:rPr>
                <w:rFonts w:hint="eastAsia" w:ascii="Times New Roman" w:hAnsi="Times New Roman" w:cs="Times New Roman"/>
                <w:color w:val="auto"/>
                <w:kern w:val="0"/>
                <w:szCs w:val="24"/>
                <w:u w:val="single"/>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表7-</w:t>
            </w:r>
            <w:r>
              <w:rPr>
                <w:rFonts w:hint="eastAsia" w:hAnsi="Times New Roman" w:cs="Times New Roman"/>
                <w:color w:val="auto"/>
                <w:kern w:val="0"/>
                <w:szCs w:val="24"/>
                <w:u w:val="single"/>
                <w:lang w:val="en-US" w:eastAsia="zh-CN"/>
              </w:rPr>
              <w:t>11</w:t>
            </w:r>
            <w:r>
              <w:rPr>
                <w:rFonts w:hint="eastAsia" w:ascii="Times New Roman" w:hAnsi="Times New Roman" w:cs="Times New Roman"/>
                <w:color w:val="auto"/>
                <w:kern w:val="0"/>
                <w:szCs w:val="24"/>
                <w:u w:val="single"/>
              </w:rPr>
              <w:t>计算结果可知，项目无组织排放的污染物浓度均达到环境质量浓度限值，故无需设置大气环境防护距离</w:t>
            </w:r>
            <w:r>
              <w:rPr>
                <w:rFonts w:ascii="Times New Roman" w:hAnsi="Times New Roman" w:cs="Times New Roman"/>
                <w:color w:val="auto"/>
                <w:kern w:val="0"/>
                <w:szCs w:val="24"/>
                <w:u w:val="single"/>
              </w:rPr>
              <w:t>。</w:t>
            </w:r>
          </w:p>
          <w:p>
            <w:pPr>
              <w:spacing w:line="360" w:lineRule="auto"/>
              <w:ind w:firstLine="482" w:firstLineChars="200"/>
              <w:rPr>
                <w:rFonts w:hint="eastAsia"/>
                <w:b/>
                <w:bCs w:val="0"/>
                <w:color w:val="auto"/>
                <w:sz w:val="24"/>
              </w:rPr>
            </w:pPr>
            <w:r>
              <w:rPr>
                <w:rFonts w:hint="eastAsia"/>
                <w:b/>
                <w:bCs w:val="0"/>
                <w:color w:val="auto"/>
                <w:sz w:val="24"/>
                <w:lang w:val="en-US" w:eastAsia="zh-CN"/>
              </w:rPr>
              <w:t>4、</w:t>
            </w:r>
            <w:r>
              <w:rPr>
                <w:rFonts w:hint="eastAsia"/>
                <w:b/>
                <w:bCs w:val="0"/>
                <w:color w:val="auto"/>
                <w:sz w:val="24"/>
              </w:rPr>
              <w:t>卫生防护距离</w:t>
            </w:r>
          </w:p>
          <w:p>
            <w:pPr>
              <w:pStyle w:val="67"/>
              <w:spacing w:line="520" w:lineRule="exact"/>
              <w:ind w:firstLine="480"/>
              <w:rPr>
                <w:color w:val="auto"/>
                <w:u w:val="single"/>
              </w:rPr>
            </w:pPr>
            <w:r>
              <w:rPr>
                <w:color w:val="auto"/>
                <w:u w:val="single"/>
              </w:rPr>
              <w:t>根据《制定地方大气污染物排放标准的技术方法》（GB/T3840-91）中推荐的方法，通过无组织排放的情况，可计算出该项目所需的卫生防护距离，其卫生防护距离计算公式如下：</w:t>
            </w:r>
          </w:p>
          <w:p>
            <w:pPr>
              <w:spacing w:line="520" w:lineRule="exact"/>
              <w:jc w:val="center"/>
              <w:rPr>
                <w:rFonts w:eastAsia="Arial Unicode MS"/>
                <w:color w:val="auto"/>
                <w:kern w:val="0"/>
                <w:sz w:val="24"/>
                <w:u w:val="single"/>
              </w:rPr>
            </w:pPr>
            <w:r>
              <w:rPr>
                <w:color w:val="auto"/>
                <w:u w:val="single"/>
              </w:rPr>
              <w:drawing>
                <wp:anchor distT="0" distB="0" distL="114300" distR="114300" simplePos="0" relativeHeight="251658240" behindDoc="0" locked="0" layoutInCell="1" allowOverlap="1">
                  <wp:simplePos x="0" y="0"/>
                  <wp:positionH relativeFrom="column">
                    <wp:posOffset>1593850</wp:posOffset>
                  </wp:positionH>
                  <wp:positionV relativeFrom="paragraph">
                    <wp:posOffset>212725</wp:posOffset>
                  </wp:positionV>
                  <wp:extent cx="2343150" cy="638175"/>
                  <wp:effectExtent l="0" t="0" r="0" b="9525"/>
                  <wp:wrapNone/>
                  <wp:docPr id="1" name="图片 2" descr="AH9AHH_M~N5R4XF)]{Z9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AH9AHH_M~N5R4XF)]{Z9HSS"/>
                          <pic:cNvPicPr>
                            <a:picLocks noChangeAspect="1"/>
                          </pic:cNvPicPr>
                        </pic:nvPicPr>
                        <pic:blipFill>
                          <a:blip r:embed="rId22"/>
                          <a:stretch>
                            <a:fillRect/>
                          </a:stretch>
                        </pic:blipFill>
                        <pic:spPr>
                          <a:xfrm>
                            <a:off x="0" y="0"/>
                            <a:ext cx="2343150" cy="638175"/>
                          </a:xfrm>
                          <a:prstGeom prst="rect">
                            <a:avLst/>
                          </a:prstGeom>
                          <a:noFill/>
                          <a:ln>
                            <a:noFill/>
                          </a:ln>
                        </pic:spPr>
                      </pic:pic>
                    </a:graphicData>
                  </a:graphic>
                </wp:anchor>
              </w:drawing>
            </w:r>
          </w:p>
          <w:p>
            <w:pPr>
              <w:adjustRightInd w:val="0"/>
              <w:spacing w:line="520" w:lineRule="exact"/>
              <w:rPr>
                <w:rFonts w:hint="eastAsia"/>
                <w:color w:val="auto"/>
                <w:sz w:val="24"/>
                <w:u w:val="single"/>
              </w:rPr>
            </w:pPr>
          </w:p>
          <w:p>
            <w:pPr>
              <w:adjustRightInd w:val="0"/>
              <w:spacing w:line="520" w:lineRule="exact"/>
              <w:rPr>
                <w:rFonts w:hint="eastAsia"/>
                <w:color w:val="auto"/>
                <w:sz w:val="24"/>
                <w:u w:val="single"/>
              </w:rPr>
            </w:pPr>
          </w:p>
          <w:p>
            <w:pPr>
              <w:adjustRightInd w:val="0"/>
              <w:spacing w:line="520" w:lineRule="exact"/>
              <w:rPr>
                <w:color w:val="auto"/>
                <w:sz w:val="24"/>
                <w:u w:val="single"/>
              </w:rPr>
            </w:pPr>
            <w:r>
              <w:rPr>
                <w:color w:val="auto"/>
                <w:sz w:val="24"/>
                <w:u w:val="single"/>
              </w:rPr>
              <w:t>式中：Q</w:t>
            </w:r>
            <w:r>
              <w:rPr>
                <w:color w:val="auto"/>
                <w:sz w:val="24"/>
                <w:u w:val="single"/>
                <w:vertAlign w:val="subscript"/>
              </w:rPr>
              <w:t>c</w:t>
            </w:r>
            <w:r>
              <w:rPr>
                <w:color w:val="auto"/>
                <w:sz w:val="24"/>
                <w:u w:val="single"/>
              </w:rPr>
              <w:t>——有害气体无组织排放量达到的控制水平（kg/h）；</w:t>
            </w:r>
          </w:p>
          <w:p>
            <w:pPr>
              <w:adjustRightInd w:val="0"/>
              <w:spacing w:line="520" w:lineRule="exact"/>
              <w:ind w:firstLine="698" w:firstLineChars="291"/>
              <w:rPr>
                <w:color w:val="auto"/>
                <w:sz w:val="24"/>
                <w:u w:val="single"/>
              </w:rPr>
            </w:pPr>
            <w:r>
              <w:rPr>
                <w:color w:val="auto"/>
                <w:sz w:val="24"/>
                <w:u w:val="single"/>
              </w:rPr>
              <w:t>C</w:t>
            </w:r>
            <w:r>
              <w:rPr>
                <w:color w:val="auto"/>
                <w:sz w:val="24"/>
                <w:u w:val="single"/>
                <w:vertAlign w:val="subscript"/>
              </w:rPr>
              <w:t>m</w:t>
            </w:r>
            <w:r>
              <w:rPr>
                <w:color w:val="auto"/>
                <w:sz w:val="24"/>
                <w:u w:val="single"/>
              </w:rPr>
              <w:t>——标准浓度限值（mg/Nm</w:t>
            </w:r>
            <w:r>
              <w:rPr>
                <w:color w:val="auto"/>
                <w:sz w:val="24"/>
                <w:u w:val="single"/>
                <w:vertAlign w:val="superscript"/>
              </w:rPr>
              <w:t>3</w:t>
            </w:r>
            <w:r>
              <w:rPr>
                <w:color w:val="auto"/>
                <w:sz w:val="24"/>
                <w:u w:val="single"/>
              </w:rPr>
              <w:t>）；</w:t>
            </w:r>
          </w:p>
          <w:p>
            <w:pPr>
              <w:adjustRightInd w:val="0"/>
              <w:spacing w:line="520" w:lineRule="exact"/>
              <w:ind w:firstLine="698" w:firstLineChars="291"/>
              <w:rPr>
                <w:color w:val="auto"/>
                <w:sz w:val="24"/>
                <w:u w:val="single"/>
              </w:rPr>
            </w:pPr>
            <w:r>
              <w:rPr>
                <w:color w:val="auto"/>
                <w:sz w:val="24"/>
                <w:u w:val="single"/>
              </w:rPr>
              <w:t>L——所需卫生防护距离（m）；</w:t>
            </w:r>
          </w:p>
          <w:p>
            <w:pPr>
              <w:adjustRightInd w:val="0"/>
              <w:spacing w:line="520" w:lineRule="exact"/>
              <w:ind w:left="1" w:firstLine="698" w:firstLineChars="291"/>
              <w:rPr>
                <w:color w:val="auto"/>
                <w:sz w:val="24"/>
                <w:u w:val="single"/>
              </w:rPr>
            </w:pPr>
            <w:r>
              <w:rPr>
                <w:color w:val="auto"/>
                <w:sz w:val="24"/>
                <w:u w:val="single"/>
              </w:rPr>
              <w:t>r——有害气体无组织排放源所在单位的等效半径（m），根据生产单元占地面积S(m</w:t>
            </w:r>
            <w:r>
              <w:rPr>
                <w:color w:val="auto"/>
                <w:sz w:val="24"/>
                <w:u w:val="single"/>
                <w:vertAlign w:val="superscript"/>
              </w:rPr>
              <w:t>2</w:t>
            </w:r>
            <w:r>
              <w:rPr>
                <w:color w:val="auto"/>
                <w:sz w:val="24"/>
                <w:u w:val="single"/>
              </w:rPr>
              <w:t>)计算</w:t>
            </w:r>
            <w:r>
              <w:rPr>
                <w:rFonts w:hint="eastAsia"/>
                <w:color w:val="auto"/>
                <w:sz w:val="24"/>
                <w:u w:val="single"/>
              </w:rPr>
              <w:t>，</w:t>
            </w:r>
            <w:r>
              <w:rPr>
                <w:color w:val="auto"/>
                <w:sz w:val="24"/>
                <w:u w:val="single"/>
              </w:rPr>
              <w:t>r＝(S/π)</w:t>
            </w:r>
            <w:r>
              <w:rPr>
                <w:color w:val="auto"/>
                <w:sz w:val="24"/>
                <w:u w:val="single"/>
                <w:vertAlign w:val="superscript"/>
              </w:rPr>
              <w:t>0.5</w:t>
            </w:r>
            <w:r>
              <w:rPr>
                <w:color w:val="auto"/>
                <w:sz w:val="24"/>
                <w:u w:val="single"/>
              </w:rPr>
              <w:t>；</w:t>
            </w:r>
          </w:p>
          <w:p>
            <w:pPr>
              <w:adjustRightInd w:val="0"/>
              <w:spacing w:line="520" w:lineRule="exact"/>
              <w:ind w:left="1" w:firstLine="698" w:firstLineChars="291"/>
              <w:rPr>
                <w:rFonts w:hint="default" w:ascii="Times New Roman" w:hAnsi="Times New Roman" w:eastAsia="宋体" w:cs="Times New Roman"/>
                <w:b/>
                <w:bCs/>
                <w:color w:val="auto"/>
                <w:sz w:val="21"/>
                <w:szCs w:val="20"/>
                <w:u w:val="single"/>
                <w:lang w:val="zh-CN"/>
              </w:rPr>
            </w:pPr>
            <w:r>
              <w:rPr>
                <w:color w:val="auto"/>
                <w:sz w:val="24"/>
                <w:u w:val="single"/>
              </w:rPr>
              <w:t>A、B、C、D——卫生防护距离计算系数（无因次），根据</w:t>
            </w:r>
            <w:r>
              <w:rPr>
                <w:rFonts w:hint="eastAsia"/>
                <w:color w:val="auto"/>
                <w:sz w:val="24"/>
                <w:u w:val="single"/>
              </w:rPr>
              <w:t>项目所在地</w:t>
            </w:r>
            <w:r>
              <w:rPr>
                <w:color w:val="auto"/>
                <w:sz w:val="24"/>
                <w:u w:val="single"/>
              </w:rPr>
              <w:t>平均风速及大气污染源构成类别从</w:t>
            </w:r>
            <w:r>
              <w:rPr>
                <w:rFonts w:hint="eastAsia"/>
                <w:color w:val="auto"/>
                <w:sz w:val="24"/>
                <w:u w:val="single"/>
              </w:rPr>
              <w:t>表7-</w:t>
            </w:r>
            <w:r>
              <w:rPr>
                <w:rFonts w:hint="eastAsia"/>
                <w:color w:val="auto"/>
                <w:sz w:val="24"/>
                <w:u w:val="single"/>
                <w:lang w:val="en-US" w:eastAsia="zh-CN"/>
              </w:rPr>
              <w:t>12</w:t>
            </w:r>
            <w:r>
              <w:rPr>
                <w:color w:val="auto"/>
                <w:sz w:val="24"/>
                <w:u w:val="single"/>
              </w:rPr>
              <w:t>中选取。</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宋体" w:cs="Times New Roman"/>
                <w:b/>
                <w:bCs/>
                <w:color w:val="auto"/>
                <w:sz w:val="21"/>
                <w:szCs w:val="20"/>
                <w:u w:val="single"/>
                <w:lang w:val="zh-CN"/>
              </w:rPr>
            </w:pPr>
            <w:r>
              <w:rPr>
                <w:rFonts w:hint="default" w:ascii="Times New Roman" w:hAnsi="Times New Roman" w:eastAsia="宋体" w:cs="Times New Roman"/>
                <w:b/>
                <w:bCs/>
                <w:color w:val="auto"/>
                <w:sz w:val="21"/>
                <w:szCs w:val="20"/>
                <w:u w:val="single"/>
                <w:lang w:val="zh-CN"/>
              </w:rPr>
              <w:t>表7-</w:t>
            </w:r>
            <w:r>
              <w:rPr>
                <w:rFonts w:hint="eastAsia" w:cs="Times New Roman"/>
                <w:b/>
                <w:bCs/>
                <w:color w:val="auto"/>
                <w:sz w:val="21"/>
                <w:szCs w:val="20"/>
                <w:u w:val="single"/>
                <w:lang w:val="en-US" w:eastAsia="zh-CN"/>
              </w:rPr>
              <w:t>12</w:t>
            </w:r>
            <w:r>
              <w:rPr>
                <w:rFonts w:hint="default" w:ascii="Times New Roman" w:hAnsi="Times New Roman" w:eastAsia="宋体" w:cs="Times New Roman"/>
                <w:b/>
                <w:bCs/>
                <w:color w:val="auto"/>
                <w:sz w:val="21"/>
                <w:szCs w:val="20"/>
                <w:u w:val="single"/>
                <w:lang w:val="zh-CN"/>
              </w:rPr>
              <w:t xml:space="preserve"> 卫生防护距离计算系数</w:t>
            </w:r>
          </w:p>
          <w:tbl>
            <w:tblPr>
              <w:tblStyle w:val="22"/>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88"/>
              <w:gridCol w:w="730"/>
              <w:gridCol w:w="728"/>
              <w:gridCol w:w="728"/>
              <w:gridCol w:w="728"/>
              <w:gridCol w:w="728"/>
              <w:gridCol w:w="728"/>
              <w:gridCol w:w="728"/>
              <w:gridCol w:w="728"/>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restart"/>
                  <w:noWrap w:val="0"/>
                  <w:vAlign w:val="center"/>
                </w:tcPr>
                <w:p>
                  <w:pPr>
                    <w:snapToGrid w:val="0"/>
                    <w:jc w:val="center"/>
                    <w:rPr>
                      <w:rStyle w:val="68"/>
                      <w:color w:val="auto"/>
                      <w:sz w:val="21"/>
                      <w:szCs w:val="21"/>
                      <w:u w:val="single"/>
                    </w:rPr>
                  </w:pPr>
                  <w:r>
                    <w:rPr>
                      <w:rStyle w:val="68"/>
                      <w:rFonts w:hAnsi="宋体"/>
                      <w:color w:val="auto"/>
                      <w:sz w:val="21"/>
                      <w:szCs w:val="21"/>
                      <w:u w:val="single"/>
                    </w:rPr>
                    <w:t>计</w:t>
                  </w:r>
                </w:p>
                <w:p>
                  <w:pPr>
                    <w:snapToGrid w:val="0"/>
                    <w:jc w:val="center"/>
                    <w:rPr>
                      <w:color w:val="auto"/>
                      <w:szCs w:val="21"/>
                      <w:u w:val="single"/>
                    </w:rPr>
                  </w:pPr>
                  <w:r>
                    <w:rPr>
                      <w:rStyle w:val="68"/>
                      <w:rFonts w:hAnsi="宋体"/>
                      <w:color w:val="auto"/>
                      <w:sz w:val="21"/>
                      <w:szCs w:val="21"/>
                      <w:u w:val="single"/>
                    </w:rPr>
                    <w:t>算</w:t>
                  </w:r>
                </w:p>
                <w:p>
                  <w:pPr>
                    <w:snapToGrid w:val="0"/>
                    <w:jc w:val="center"/>
                    <w:rPr>
                      <w:rStyle w:val="68"/>
                      <w:color w:val="auto"/>
                      <w:sz w:val="21"/>
                      <w:szCs w:val="21"/>
                      <w:u w:val="single"/>
                    </w:rPr>
                  </w:pPr>
                  <w:r>
                    <w:rPr>
                      <w:rStyle w:val="68"/>
                      <w:rFonts w:hAnsi="宋体"/>
                      <w:color w:val="auto"/>
                      <w:sz w:val="21"/>
                      <w:szCs w:val="21"/>
                      <w:u w:val="single"/>
                    </w:rPr>
                    <w:t>系</w:t>
                  </w:r>
                </w:p>
                <w:p>
                  <w:pPr>
                    <w:snapToGrid w:val="0"/>
                    <w:jc w:val="center"/>
                    <w:rPr>
                      <w:color w:val="auto"/>
                      <w:szCs w:val="21"/>
                      <w:u w:val="single"/>
                    </w:rPr>
                  </w:pPr>
                  <w:r>
                    <w:rPr>
                      <w:rStyle w:val="68"/>
                      <w:rFonts w:hAnsi="宋体"/>
                      <w:color w:val="auto"/>
                      <w:sz w:val="21"/>
                      <w:szCs w:val="21"/>
                      <w:u w:val="single"/>
                    </w:rPr>
                    <w:t>数</w:t>
                  </w:r>
                </w:p>
              </w:tc>
              <w:tc>
                <w:tcPr>
                  <w:tcW w:w="1388" w:type="dxa"/>
                  <w:vMerge w:val="restart"/>
                  <w:noWrap w:val="0"/>
                  <w:vAlign w:val="center"/>
                </w:tcPr>
                <w:p>
                  <w:pPr>
                    <w:snapToGrid w:val="0"/>
                    <w:jc w:val="center"/>
                    <w:rPr>
                      <w:rStyle w:val="68"/>
                      <w:color w:val="auto"/>
                      <w:sz w:val="21"/>
                      <w:szCs w:val="21"/>
                      <w:u w:val="single"/>
                    </w:rPr>
                  </w:pPr>
                  <w:r>
                    <w:rPr>
                      <w:rStyle w:val="68"/>
                      <w:rFonts w:hAnsi="宋体"/>
                      <w:color w:val="auto"/>
                      <w:sz w:val="21"/>
                      <w:szCs w:val="21"/>
                      <w:u w:val="single"/>
                    </w:rPr>
                    <w:t>企业</w:t>
                  </w:r>
                </w:p>
                <w:p>
                  <w:pPr>
                    <w:snapToGrid w:val="0"/>
                    <w:jc w:val="center"/>
                    <w:rPr>
                      <w:rStyle w:val="68"/>
                      <w:color w:val="auto"/>
                      <w:sz w:val="21"/>
                      <w:szCs w:val="21"/>
                      <w:u w:val="single"/>
                    </w:rPr>
                  </w:pPr>
                  <w:r>
                    <w:rPr>
                      <w:rStyle w:val="68"/>
                      <w:rFonts w:hAnsi="宋体"/>
                      <w:color w:val="auto"/>
                      <w:sz w:val="21"/>
                      <w:szCs w:val="21"/>
                      <w:u w:val="single"/>
                    </w:rPr>
                    <w:t>所在地区</w:t>
                  </w:r>
                </w:p>
                <w:p>
                  <w:pPr>
                    <w:snapToGrid w:val="0"/>
                    <w:jc w:val="center"/>
                    <w:rPr>
                      <w:rStyle w:val="68"/>
                      <w:color w:val="auto"/>
                      <w:sz w:val="21"/>
                      <w:szCs w:val="21"/>
                      <w:u w:val="single"/>
                    </w:rPr>
                  </w:pPr>
                  <w:r>
                    <w:rPr>
                      <w:rStyle w:val="68"/>
                      <w:rFonts w:hAnsi="宋体"/>
                      <w:color w:val="auto"/>
                      <w:sz w:val="21"/>
                      <w:szCs w:val="21"/>
                      <w:u w:val="single"/>
                    </w:rPr>
                    <w:t>近五年平</w:t>
                  </w:r>
                </w:p>
                <w:p>
                  <w:pPr>
                    <w:snapToGrid w:val="0"/>
                    <w:jc w:val="center"/>
                    <w:rPr>
                      <w:color w:val="auto"/>
                      <w:szCs w:val="21"/>
                      <w:u w:val="single"/>
                    </w:rPr>
                  </w:pPr>
                  <w:r>
                    <w:rPr>
                      <w:rStyle w:val="68"/>
                      <w:rFonts w:hAnsi="宋体"/>
                      <w:color w:val="auto"/>
                      <w:sz w:val="21"/>
                      <w:szCs w:val="21"/>
                      <w:u w:val="single"/>
                    </w:rPr>
                    <w:t>均风速</w:t>
                  </w:r>
                  <w:r>
                    <w:rPr>
                      <w:rStyle w:val="68"/>
                      <w:color w:val="auto"/>
                      <w:sz w:val="21"/>
                      <w:szCs w:val="21"/>
                      <w:u w:val="single"/>
                    </w:rPr>
                    <w:t>m/s</w:t>
                  </w:r>
                </w:p>
              </w:tc>
              <w:tc>
                <w:tcPr>
                  <w:tcW w:w="6557" w:type="dxa"/>
                  <w:gridSpan w:val="9"/>
                  <w:noWrap w:val="0"/>
                  <w:vAlign w:val="center"/>
                </w:tcPr>
                <w:p>
                  <w:pPr>
                    <w:snapToGrid w:val="0"/>
                    <w:jc w:val="center"/>
                    <w:rPr>
                      <w:color w:val="auto"/>
                      <w:szCs w:val="21"/>
                      <w:u w:val="single"/>
                    </w:rPr>
                  </w:pPr>
                  <w:r>
                    <w:rPr>
                      <w:rStyle w:val="68"/>
                      <w:rFonts w:hAnsi="宋体"/>
                      <w:color w:val="auto"/>
                      <w:sz w:val="21"/>
                      <w:szCs w:val="21"/>
                      <w:u w:val="single"/>
                    </w:rPr>
                    <w:t>卫生防护距离</w:t>
                  </w:r>
                  <w:r>
                    <w:rPr>
                      <w:rStyle w:val="68"/>
                      <w:color w:val="auto"/>
                      <w:sz w:val="21"/>
                      <w:szCs w:val="21"/>
                      <w:u w:val="single"/>
                    </w:rPr>
                    <w:t>L</w:t>
                  </w:r>
                  <w:r>
                    <w:rPr>
                      <w:rStyle w:val="68"/>
                      <w:rFonts w:hAnsi="宋体"/>
                      <w:color w:val="auto"/>
                      <w:sz w:val="21"/>
                      <w:szCs w:val="21"/>
                      <w:u w:val="single"/>
                    </w:rPr>
                    <w:t>，</w:t>
                  </w:r>
                  <w:r>
                    <w:rPr>
                      <w:rStyle w:val="68"/>
                      <w:color w:val="auto"/>
                      <w:sz w:val="21"/>
                      <w:szCs w:val="21"/>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continue"/>
                  <w:noWrap w:val="0"/>
                  <w:vAlign w:val="center"/>
                </w:tcPr>
                <w:p>
                  <w:pPr>
                    <w:snapToGrid w:val="0"/>
                    <w:jc w:val="center"/>
                    <w:rPr>
                      <w:color w:val="auto"/>
                      <w:szCs w:val="21"/>
                      <w:u w:val="single"/>
                    </w:rPr>
                  </w:pPr>
                </w:p>
              </w:tc>
              <w:tc>
                <w:tcPr>
                  <w:tcW w:w="1388" w:type="dxa"/>
                  <w:vMerge w:val="continue"/>
                  <w:noWrap w:val="0"/>
                  <w:vAlign w:val="center"/>
                </w:tcPr>
                <w:p>
                  <w:pPr>
                    <w:snapToGrid w:val="0"/>
                    <w:jc w:val="center"/>
                    <w:rPr>
                      <w:color w:val="auto"/>
                      <w:szCs w:val="21"/>
                      <w:u w:val="single"/>
                    </w:rPr>
                  </w:pPr>
                </w:p>
              </w:tc>
              <w:tc>
                <w:tcPr>
                  <w:tcW w:w="2186" w:type="dxa"/>
                  <w:gridSpan w:val="3"/>
                  <w:noWrap w:val="0"/>
                  <w:vAlign w:val="center"/>
                </w:tcPr>
                <w:p>
                  <w:pPr>
                    <w:snapToGrid w:val="0"/>
                    <w:jc w:val="center"/>
                    <w:rPr>
                      <w:color w:val="auto"/>
                      <w:szCs w:val="21"/>
                      <w:u w:val="single"/>
                    </w:rPr>
                  </w:pPr>
                  <w:r>
                    <w:rPr>
                      <w:rStyle w:val="68"/>
                      <w:color w:val="auto"/>
                      <w:sz w:val="21"/>
                      <w:szCs w:val="21"/>
                      <w:u w:val="single"/>
                    </w:rPr>
                    <w:t>L≤1000</w:t>
                  </w:r>
                </w:p>
              </w:tc>
              <w:tc>
                <w:tcPr>
                  <w:tcW w:w="2184" w:type="dxa"/>
                  <w:gridSpan w:val="3"/>
                  <w:noWrap w:val="0"/>
                  <w:vAlign w:val="center"/>
                </w:tcPr>
                <w:p>
                  <w:pPr>
                    <w:snapToGrid w:val="0"/>
                    <w:jc w:val="center"/>
                    <w:rPr>
                      <w:color w:val="auto"/>
                      <w:szCs w:val="21"/>
                      <w:u w:val="single"/>
                    </w:rPr>
                  </w:pPr>
                  <w:r>
                    <w:rPr>
                      <w:rStyle w:val="68"/>
                      <w:color w:val="auto"/>
                      <w:sz w:val="21"/>
                      <w:szCs w:val="21"/>
                      <w:u w:val="single"/>
                    </w:rPr>
                    <w:t>1000</w:t>
                  </w:r>
                  <w:r>
                    <w:rPr>
                      <w:rStyle w:val="68"/>
                      <w:rFonts w:hAnsi="宋体"/>
                      <w:color w:val="auto"/>
                      <w:sz w:val="21"/>
                      <w:szCs w:val="21"/>
                      <w:u w:val="single"/>
                    </w:rPr>
                    <w:t>＜</w:t>
                  </w:r>
                  <w:r>
                    <w:rPr>
                      <w:rStyle w:val="68"/>
                      <w:color w:val="auto"/>
                      <w:sz w:val="21"/>
                      <w:szCs w:val="21"/>
                      <w:u w:val="single"/>
                    </w:rPr>
                    <w:t>L≤2000</w:t>
                  </w:r>
                </w:p>
              </w:tc>
              <w:tc>
                <w:tcPr>
                  <w:tcW w:w="2187" w:type="dxa"/>
                  <w:gridSpan w:val="3"/>
                  <w:noWrap w:val="0"/>
                  <w:vAlign w:val="center"/>
                </w:tcPr>
                <w:p>
                  <w:pPr>
                    <w:snapToGrid w:val="0"/>
                    <w:jc w:val="center"/>
                    <w:rPr>
                      <w:color w:val="auto"/>
                      <w:szCs w:val="21"/>
                      <w:u w:val="single"/>
                    </w:rPr>
                  </w:pPr>
                  <w:r>
                    <w:rPr>
                      <w:rStyle w:val="68"/>
                      <w:color w:val="auto"/>
                      <w:sz w:val="21"/>
                      <w:szCs w:val="21"/>
                      <w:u w:val="single"/>
                    </w:rPr>
                    <w:t>L</w:t>
                  </w:r>
                  <w:r>
                    <w:rPr>
                      <w:rStyle w:val="68"/>
                      <w:rFonts w:hAnsi="宋体"/>
                      <w:color w:val="auto"/>
                      <w:sz w:val="21"/>
                      <w:szCs w:val="21"/>
                      <w:u w:val="single"/>
                    </w:rPr>
                    <w:t>＞</w:t>
                  </w:r>
                  <w:r>
                    <w:rPr>
                      <w:rStyle w:val="68"/>
                      <w:color w:val="auto"/>
                      <w:sz w:val="21"/>
                      <w:szCs w:val="21"/>
                      <w:u w:val="singl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continue"/>
                  <w:noWrap w:val="0"/>
                  <w:vAlign w:val="center"/>
                </w:tcPr>
                <w:p>
                  <w:pPr>
                    <w:snapToGrid w:val="0"/>
                    <w:jc w:val="center"/>
                    <w:rPr>
                      <w:color w:val="auto"/>
                      <w:szCs w:val="21"/>
                      <w:u w:val="single"/>
                    </w:rPr>
                  </w:pPr>
                </w:p>
              </w:tc>
              <w:tc>
                <w:tcPr>
                  <w:tcW w:w="1388" w:type="dxa"/>
                  <w:vMerge w:val="continue"/>
                  <w:noWrap w:val="0"/>
                  <w:vAlign w:val="center"/>
                </w:tcPr>
                <w:p>
                  <w:pPr>
                    <w:snapToGrid w:val="0"/>
                    <w:jc w:val="center"/>
                    <w:rPr>
                      <w:color w:val="auto"/>
                      <w:szCs w:val="21"/>
                      <w:u w:val="single"/>
                    </w:rPr>
                  </w:pPr>
                </w:p>
              </w:tc>
              <w:tc>
                <w:tcPr>
                  <w:tcW w:w="6557" w:type="dxa"/>
                  <w:gridSpan w:val="9"/>
                  <w:noWrap w:val="0"/>
                  <w:vAlign w:val="center"/>
                </w:tcPr>
                <w:p>
                  <w:pPr>
                    <w:snapToGrid w:val="0"/>
                    <w:jc w:val="center"/>
                    <w:rPr>
                      <w:color w:val="auto"/>
                      <w:szCs w:val="21"/>
                      <w:u w:val="single"/>
                    </w:rPr>
                  </w:pPr>
                  <w:r>
                    <w:rPr>
                      <w:rStyle w:val="68"/>
                      <w:rFonts w:hAnsi="宋体"/>
                      <w:color w:val="auto"/>
                      <w:sz w:val="21"/>
                      <w:szCs w:val="21"/>
                      <w:u w:val="single"/>
                      <w:lang w:eastAsia="zh-CN"/>
                    </w:rPr>
                    <w:t>企业大气污染源构成类别</w:t>
                  </w:r>
                  <w:r>
                    <w:rPr>
                      <w:rFonts w:hAnsi="宋体"/>
                      <w:color w:val="auto"/>
                      <w:szCs w:val="21"/>
                      <w:u w:val="single"/>
                      <w:vertAlign w:val="superscript"/>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continue"/>
                  <w:noWrap w:val="0"/>
                  <w:vAlign w:val="center"/>
                </w:tcPr>
                <w:p>
                  <w:pPr>
                    <w:snapToGrid w:val="0"/>
                    <w:jc w:val="center"/>
                    <w:rPr>
                      <w:color w:val="auto"/>
                      <w:szCs w:val="21"/>
                      <w:u w:val="single"/>
                    </w:rPr>
                  </w:pPr>
                </w:p>
              </w:tc>
              <w:tc>
                <w:tcPr>
                  <w:tcW w:w="1388" w:type="dxa"/>
                  <w:vMerge w:val="continue"/>
                  <w:noWrap w:val="0"/>
                  <w:vAlign w:val="center"/>
                </w:tcPr>
                <w:p>
                  <w:pPr>
                    <w:snapToGrid w:val="0"/>
                    <w:jc w:val="center"/>
                    <w:rPr>
                      <w:color w:val="auto"/>
                      <w:szCs w:val="21"/>
                      <w:u w:val="single"/>
                    </w:rPr>
                  </w:pPr>
                </w:p>
              </w:tc>
              <w:tc>
                <w:tcPr>
                  <w:tcW w:w="730" w:type="dxa"/>
                  <w:noWrap w:val="0"/>
                  <w:vAlign w:val="center"/>
                </w:tcPr>
                <w:p>
                  <w:pPr>
                    <w:snapToGrid w:val="0"/>
                    <w:jc w:val="center"/>
                    <w:rPr>
                      <w:color w:val="auto"/>
                      <w:szCs w:val="21"/>
                      <w:u w:val="single"/>
                    </w:rPr>
                  </w:pPr>
                  <w:r>
                    <w:rPr>
                      <w:rStyle w:val="68"/>
                      <w:rFonts w:hAnsi="宋体"/>
                      <w:color w:val="auto"/>
                      <w:sz w:val="21"/>
                      <w:szCs w:val="21"/>
                      <w:u w:val="single"/>
                    </w:rPr>
                    <w:t>Ⅰ</w:t>
                  </w:r>
                </w:p>
              </w:tc>
              <w:tc>
                <w:tcPr>
                  <w:tcW w:w="728" w:type="dxa"/>
                  <w:noWrap w:val="0"/>
                  <w:vAlign w:val="center"/>
                </w:tcPr>
                <w:p>
                  <w:pPr>
                    <w:snapToGrid w:val="0"/>
                    <w:jc w:val="center"/>
                    <w:rPr>
                      <w:color w:val="auto"/>
                      <w:szCs w:val="21"/>
                      <w:u w:val="single"/>
                    </w:rPr>
                  </w:pPr>
                  <w:r>
                    <w:rPr>
                      <w:rStyle w:val="68"/>
                      <w:rFonts w:hAnsi="宋体"/>
                      <w:color w:val="auto"/>
                      <w:sz w:val="21"/>
                      <w:szCs w:val="21"/>
                      <w:u w:val="single"/>
                    </w:rPr>
                    <w:t>Ⅱ</w:t>
                  </w:r>
                </w:p>
              </w:tc>
              <w:tc>
                <w:tcPr>
                  <w:tcW w:w="728" w:type="dxa"/>
                  <w:noWrap w:val="0"/>
                  <w:vAlign w:val="center"/>
                </w:tcPr>
                <w:p>
                  <w:pPr>
                    <w:snapToGrid w:val="0"/>
                    <w:jc w:val="center"/>
                    <w:rPr>
                      <w:color w:val="auto"/>
                      <w:szCs w:val="21"/>
                      <w:u w:val="single"/>
                    </w:rPr>
                  </w:pPr>
                  <w:r>
                    <w:rPr>
                      <w:rStyle w:val="68"/>
                      <w:rFonts w:hAnsi="宋体"/>
                      <w:color w:val="auto"/>
                      <w:sz w:val="21"/>
                      <w:szCs w:val="21"/>
                      <w:u w:val="single"/>
                    </w:rPr>
                    <w:t>Ⅲ</w:t>
                  </w:r>
                </w:p>
              </w:tc>
              <w:tc>
                <w:tcPr>
                  <w:tcW w:w="728" w:type="dxa"/>
                  <w:noWrap w:val="0"/>
                  <w:vAlign w:val="center"/>
                </w:tcPr>
                <w:p>
                  <w:pPr>
                    <w:snapToGrid w:val="0"/>
                    <w:jc w:val="center"/>
                    <w:rPr>
                      <w:color w:val="auto"/>
                      <w:szCs w:val="21"/>
                      <w:u w:val="single"/>
                    </w:rPr>
                  </w:pPr>
                  <w:r>
                    <w:rPr>
                      <w:rStyle w:val="68"/>
                      <w:rFonts w:hAnsi="宋体"/>
                      <w:color w:val="auto"/>
                      <w:sz w:val="21"/>
                      <w:szCs w:val="21"/>
                      <w:u w:val="single"/>
                    </w:rPr>
                    <w:t>Ⅰ</w:t>
                  </w:r>
                </w:p>
              </w:tc>
              <w:tc>
                <w:tcPr>
                  <w:tcW w:w="728" w:type="dxa"/>
                  <w:noWrap w:val="0"/>
                  <w:vAlign w:val="center"/>
                </w:tcPr>
                <w:p>
                  <w:pPr>
                    <w:snapToGrid w:val="0"/>
                    <w:jc w:val="center"/>
                    <w:rPr>
                      <w:color w:val="auto"/>
                      <w:szCs w:val="21"/>
                      <w:u w:val="single"/>
                    </w:rPr>
                  </w:pPr>
                  <w:r>
                    <w:rPr>
                      <w:rStyle w:val="68"/>
                      <w:rFonts w:hAnsi="宋体"/>
                      <w:color w:val="auto"/>
                      <w:sz w:val="21"/>
                      <w:szCs w:val="21"/>
                      <w:u w:val="single"/>
                    </w:rPr>
                    <w:t>Ⅱ</w:t>
                  </w:r>
                </w:p>
              </w:tc>
              <w:tc>
                <w:tcPr>
                  <w:tcW w:w="728" w:type="dxa"/>
                  <w:noWrap w:val="0"/>
                  <w:vAlign w:val="center"/>
                </w:tcPr>
                <w:p>
                  <w:pPr>
                    <w:snapToGrid w:val="0"/>
                    <w:jc w:val="center"/>
                    <w:rPr>
                      <w:color w:val="auto"/>
                      <w:szCs w:val="21"/>
                      <w:u w:val="single"/>
                    </w:rPr>
                  </w:pPr>
                  <w:r>
                    <w:rPr>
                      <w:rStyle w:val="68"/>
                      <w:rFonts w:hAnsi="宋体"/>
                      <w:color w:val="auto"/>
                      <w:sz w:val="21"/>
                      <w:szCs w:val="21"/>
                      <w:u w:val="single"/>
                    </w:rPr>
                    <w:t>Ⅲ</w:t>
                  </w:r>
                </w:p>
              </w:tc>
              <w:tc>
                <w:tcPr>
                  <w:tcW w:w="728" w:type="dxa"/>
                  <w:noWrap w:val="0"/>
                  <w:vAlign w:val="center"/>
                </w:tcPr>
                <w:p>
                  <w:pPr>
                    <w:snapToGrid w:val="0"/>
                    <w:jc w:val="center"/>
                    <w:rPr>
                      <w:color w:val="auto"/>
                      <w:szCs w:val="21"/>
                      <w:u w:val="single"/>
                    </w:rPr>
                  </w:pPr>
                  <w:r>
                    <w:rPr>
                      <w:rStyle w:val="68"/>
                      <w:rFonts w:hAnsi="宋体"/>
                      <w:color w:val="auto"/>
                      <w:sz w:val="21"/>
                      <w:szCs w:val="21"/>
                      <w:u w:val="single"/>
                    </w:rPr>
                    <w:t>Ⅰ</w:t>
                  </w:r>
                </w:p>
              </w:tc>
              <w:tc>
                <w:tcPr>
                  <w:tcW w:w="728" w:type="dxa"/>
                  <w:noWrap w:val="0"/>
                  <w:vAlign w:val="center"/>
                </w:tcPr>
                <w:p>
                  <w:pPr>
                    <w:snapToGrid w:val="0"/>
                    <w:jc w:val="center"/>
                    <w:rPr>
                      <w:color w:val="auto"/>
                      <w:szCs w:val="21"/>
                      <w:u w:val="single"/>
                    </w:rPr>
                  </w:pPr>
                  <w:r>
                    <w:rPr>
                      <w:rStyle w:val="68"/>
                      <w:rFonts w:hAnsi="宋体"/>
                      <w:color w:val="auto"/>
                      <w:sz w:val="21"/>
                      <w:szCs w:val="21"/>
                      <w:u w:val="single"/>
                    </w:rPr>
                    <w:t>Ⅱ</w:t>
                  </w:r>
                </w:p>
              </w:tc>
              <w:tc>
                <w:tcPr>
                  <w:tcW w:w="731" w:type="dxa"/>
                  <w:noWrap w:val="0"/>
                  <w:vAlign w:val="center"/>
                </w:tcPr>
                <w:p>
                  <w:pPr>
                    <w:snapToGrid w:val="0"/>
                    <w:jc w:val="center"/>
                    <w:rPr>
                      <w:color w:val="auto"/>
                      <w:szCs w:val="21"/>
                      <w:u w:val="single"/>
                    </w:rPr>
                  </w:pPr>
                  <w:r>
                    <w:rPr>
                      <w:rStyle w:val="68"/>
                      <w:rFonts w:hAnsi="宋体"/>
                      <w:color w:val="auto"/>
                      <w:sz w:val="21"/>
                      <w:szCs w:val="21"/>
                      <w:u w:val="singl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714" w:type="dxa"/>
                  <w:vMerge w:val="restart"/>
                  <w:noWrap w:val="0"/>
                  <w:vAlign w:val="center"/>
                </w:tcPr>
                <w:p>
                  <w:pPr>
                    <w:snapToGrid w:val="0"/>
                    <w:jc w:val="center"/>
                    <w:rPr>
                      <w:color w:val="auto"/>
                      <w:szCs w:val="21"/>
                      <w:u w:val="single"/>
                    </w:rPr>
                  </w:pPr>
                  <w:r>
                    <w:rPr>
                      <w:color w:val="auto"/>
                      <w:szCs w:val="21"/>
                      <w:u w:val="single"/>
                    </w:rPr>
                    <w:t>A</w:t>
                  </w:r>
                </w:p>
              </w:tc>
              <w:tc>
                <w:tcPr>
                  <w:tcW w:w="1388" w:type="dxa"/>
                  <w:noWrap w:val="0"/>
                  <w:vAlign w:val="center"/>
                </w:tcPr>
                <w:p>
                  <w:pPr>
                    <w:snapToGrid w:val="0"/>
                    <w:jc w:val="center"/>
                    <w:rPr>
                      <w:color w:val="auto"/>
                      <w:szCs w:val="21"/>
                      <w:u w:val="single"/>
                    </w:rPr>
                  </w:pPr>
                  <w:r>
                    <w:rPr>
                      <w:rStyle w:val="68"/>
                      <w:color w:val="auto"/>
                      <w:sz w:val="21"/>
                      <w:szCs w:val="21"/>
                      <w:u w:val="single"/>
                    </w:rPr>
                    <w:t>&lt;2</w:t>
                  </w:r>
                </w:p>
              </w:tc>
              <w:tc>
                <w:tcPr>
                  <w:tcW w:w="730" w:type="dxa"/>
                  <w:noWrap w:val="0"/>
                  <w:vAlign w:val="center"/>
                </w:tcPr>
                <w:p>
                  <w:pPr>
                    <w:snapToGrid w:val="0"/>
                    <w:jc w:val="center"/>
                    <w:rPr>
                      <w:color w:val="auto"/>
                      <w:szCs w:val="21"/>
                      <w:u w:val="single"/>
                    </w:rPr>
                  </w:pPr>
                  <w:r>
                    <w:rPr>
                      <w:color w:val="auto"/>
                      <w:szCs w:val="21"/>
                      <w:u w:val="single"/>
                    </w:rPr>
                    <w:t>400</w:t>
                  </w:r>
                </w:p>
              </w:tc>
              <w:tc>
                <w:tcPr>
                  <w:tcW w:w="728" w:type="dxa"/>
                  <w:noWrap w:val="0"/>
                  <w:vAlign w:val="center"/>
                </w:tcPr>
                <w:p>
                  <w:pPr>
                    <w:snapToGrid w:val="0"/>
                    <w:jc w:val="center"/>
                    <w:rPr>
                      <w:color w:val="auto"/>
                      <w:szCs w:val="21"/>
                      <w:u w:val="single"/>
                    </w:rPr>
                  </w:pPr>
                  <w:r>
                    <w:rPr>
                      <w:color w:val="auto"/>
                      <w:szCs w:val="21"/>
                      <w:u w:val="single"/>
                    </w:rPr>
                    <w:t>400</w:t>
                  </w:r>
                </w:p>
              </w:tc>
              <w:tc>
                <w:tcPr>
                  <w:tcW w:w="728" w:type="dxa"/>
                  <w:noWrap w:val="0"/>
                  <w:vAlign w:val="center"/>
                </w:tcPr>
                <w:p>
                  <w:pPr>
                    <w:snapToGrid w:val="0"/>
                    <w:jc w:val="center"/>
                    <w:rPr>
                      <w:color w:val="auto"/>
                      <w:szCs w:val="21"/>
                      <w:u w:val="single"/>
                    </w:rPr>
                  </w:pPr>
                  <w:r>
                    <w:rPr>
                      <w:color w:val="auto"/>
                      <w:szCs w:val="21"/>
                      <w:u w:val="single"/>
                    </w:rPr>
                    <w:t>400</w:t>
                  </w:r>
                </w:p>
              </w:tc>
              <w:tc>
                <w:tcPr>
                  <w:tcW w:w="728" w:type="dxa"/>
                  <w:noWrap w:val="0"/>
                  <w:vAlign w:val="center"/>
                </w:tcPr>
                <w:p>
                  <w:pPr>
                    <w:snapToGrid w:val="0"/>
                    <w:jc w:val="center"/>
                    <w:rPr>
                      <w:color w:val="auto"/>
                      <w:szCs w:val="21"/>
                      <w:u w:val="single"/>
                    </w:rPr>
                  </w:pPr>
                  <w:r>
                    <w:rPr>
                      <w:color w:val="auto"/>
                      <w:szCs w:val="21"/>
                      <w:u w:val="single"/>
                    </w:rPr>
                    <w:t>400</w:t>
                  </w:r>
                </w:p>
              </w:tc>
              <w:tc>
                <w:tcPr>
                  <w:tcW w:w="728" w:type="dxa"/>
                  <w:noWrap w:val="0"/>
                  <w:vAlign w:val="center"/>
                </w:tcPr>
                <w:p>
                  <w:pPr>
                    <w:snapToGrid w:val="0"/>
                    <w:jc w:val="center"/>
                    <w:rPr>
                      <w:color w:val="auto"/>
                      <w:szCs w:val="21"/>
                      <w:u w:val="single"/>
                    </w:rPr>
                  </w:pPr>
                  <w:r>
                    <w:rPr>
                      <w:color w:val="auto"/>
                      <w:szCs w:val="21"/>
                      <w:u w:val="single"/>
                    </w:rPr>
                    <w:t>400</w:t>
                  </w:r>
                </w:p>
              </w:tc>
              <w:tc>
                <w:tcPr>
                  <w:tcW w:w="728" w:type="dxa"/>
                  <w:noWrap w:val="0"/>
                  <w:vAlign w:val="center"/>
                </w:tcPr>
                <w:p>
                  <w:pPr>
                    <w:snapToGrid w:val="0"/>
                    <w:jc w:val="center"/>
                    <w:rPr>
                      <w:color w:val="auto"/>
                      <w:szCs w:val="21"/>
                      <w:u w:val="single"/>
                    </w:rPr>
                  </w:pPr>
                  <w:r>
                    <w:rPr>
                      <w:color w:val="auto"/>
                      <w:szCs w:val="21"/>
                      <w:u w:val="single"/>
                    </w:rPr>
                    <w:t>400</w:t>
                  </w:r>
                </w:p>
              </w:tc>
              <w:tc>
                <w:tcPr>
                  <w:tcW w:w="728" w:type="dxa"/>
                  <w:noWrap w:val="0"/>
                  <w:vAlign w:val="center"/>
                </w:tcPr>
                <w:p>
                  <w:pPr>
                    <w:snapToGrid w:val="0"/>
                    <w:jc w:val="center"/>
                    <w:rPr>
                      <w:color w:val="auto"/>
                      <w:szCs w:val="21"/>
                      <w:u w:val="single"/>
                    </w:rPr>
                  </w:pPr>
                  <w:r>
                    <w:rPr>
                      <w:color w:val="auto"/>
                      <w:szCs w:val="21"/>
                      <w:u w:val="single"/>
                    </w:rPr>
                    <w:t>80</w:t>
                  </w:r>
                </w:p>
              </w:tc>
              <w:tc>
                <w:tcPr>
                  <w:tcW w:w="728" w:type="dxa"/>
                  <w:noWrap w:val="0"/>
                  <w:vAlign w:val="center"/>
                </w:tcPr>
                <w:p>
                  <w:pPr>
                    <w:snapToGrid w:val="0"/>
                    <w:jc w:val="center"/>
                    <w:rPr>
                      <w:color w:val="auto"/>
                      <w:szCs w:val="21"/>
                      <w:u w:val="single"/>
                    </w:rPr>
                  </w:pPr>
                  <w:r>
                    <w:rPr>
                      <w:color w:val="auto"/>
                      <w:szCs w:val="21"/>
                      <w:u w:val="single"/>
                    </w:rPr>
                    <w:t>80</w:t>
                  </w:r>
                </w:p>
              </w:tc>
              <w:tc>
                <w:tcPr>
                  <w:tcW w:w="731" w:type="dxa"/>
                  <w:noWrap w:val="0"/>
                  <w:vAlign w:val="center"/>
                </w:tcPr>
                <w:p>
                  <w:pPr>
                    <w:snapToGrid w:val="0"/>
                    <w:jc w:val="center"/>
                    <w:rPr>
                      <w:color w:val="auto"/>
                      <w:szCs w:val="21"/>
                      <w:u w:val="single"/>
                    </w:rPr>
                  </w:pPr>
                  <w:r>
                    <w:rPr>
                      <w:color w:val="auto"/>
                      <w:szCs w:val="21"/>
                      <w:u w:val="singl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continue"/>
                  <w:noWrap w:val="0"/>
                  <w:vAlign w:val="center"/>
                </w:tcPr>
                <w:p>
                  <w:pPr>
                    <w:snapToGrid w:val="0"/>
                    <w:jc w:val="center"/>
                    <w:rPr>
                      <w:color w:val="auto"/>
                      <w:szCs w:val="21"/>
                      <w:u w:val="single"/>
                    </w:rPr>
                  </w:pPr>
                </w:p>
              </w:tc>
              <w:tc>
                <w:tcPr>
                  <w:tcW w:w="1388" w:type="dxa"/>
                  <w:noWrap w:val="0"/>
                  <w:vAlign w:val="center"/>
                </w:tcPr>
                <w:p>
                  <w:pPr>
                    <w:snapToGrid w:val="0"/>
                    <w:jc w:val="center"/>
                    <w:rPr>
                      <w:color w:val="auto"/>
                      <w:szCs w:val="21"/>
                      <w:u w:val="single"/>
                    </w:rPr>
                  </w:pPr>
                  <w:r>
                    <w:rPr>
                      <w:rStyle w:val="68"/>
                      <w:color w:val="auto"/>
                      <w:sz w:val="21"/>
                      <w:szCs w:val="21"/>
                      <w:u w:val="single"/>
                    </w:rPr>
                    <w:t>2~4</w:t>
                  </w:r>
                </w:p>
              </w:tc>
              <w:tc>
                <w:tcPr>
                  <w:tcW w:w="730" w:type="dxa"/>
                  <w:noWrap w:val="0"/>
                  <w:vAlign w:val="center"/>
                </w:tcPr>
                <w:p>
                  <w:pPr>
                    <w:snapToGrid w:val="0"/>
                    <w:jc w:val="center"/>
                    <w:rPr>
                      <w:color w:val="auto"/>
                      <w:szCs w:val="21"/>
                      <w:u w:val="single"/>
                    </w:rPr>
                  </w:pPr>
                  <w:r>
                    <w:rPr>
                      <w:color w:val="auto"/>
                      <w:szCs w:val="21"/>
                      <w:u w:val="single"/>
                    </w:rPr>
                    <w:t>700</w:t>
                  </w:r>
                </w:p>
              </w:tc>
              <w:tc>
                <w:tcPr>
                  <w:tcW w:w="728" w:type="dxa"/>
                  <w:noWrap w:val="0"/>
                  <w:vAlign w:val="center"/>
                </w:tcPr>
                <w:p>
                  <w:pPr>
                    <w:snapToGrid w:val="0"/>
                    <w:jc w:val="center"/>
                    <w:rPr>
                      <w:color w:val="auto"/>
                      <w:szCs w:val="21"/>
                      <w:u w:val="single"/>
                    </w:rPr>
                  </w:pPr>
                  <w:r>
                    <w:rPr>
                      <w:color w:val="auto"/>
                      <w:szCs w:val="21"/>
                      <w:u w:val="single"/>
                    </w:rPr>
                    <w:t>470</w:t>
                  </w:r>
                </w:p>
              </w:tc>
              <w:tc>
                <w:tcPr>
                  <w:tcW w:w="728" w:type="dxa"/>
                  <w:noWrap w:val="0"/>
                  <w:vAlign w:val="center"/>
                </w:tcPr>
                <w:p>
                  <w:pPr>
                    <w:snapToGrid w:val="0"/>
                    <w:jc w:val="center"/>
                    <w:rPr>
                      <w:color w:val="auto"/>
                      <w:szCs w:val="21"/>
                      <w:u w:val="single"/>
                    </w:rPr>
                  </w:pPr>
                  <w:r>
                    <w:rPr>
                      <w:color w:val="auto"/>
                      <w:szCs w:val="21"/>
                      <w:u w:val="single"/>
                    </w:rPr>
                    <w:t>350</w:t>
                  </w:r>
                </w:p>
              </w:tc>
              <w:tc>
                <w:tcPr>
                  <w:tcW w:w="728" w:type="dxa"/>
                  <w:noWrap w:val="0"/>
                  <w:vAlign w:val="center"/>
                </w:tcPr>
                <w:p>
                  <w:pPr>
                    <w:snapToGrid w:val="0"/>
                    <w:jc w:val="center"/>
                    <w:rPr>
                      <w:color w:val="auto"/>
                      <w:szCs w:val="21"/>
                      <w:u w:val="single"/>
                    </w:rPr>
                  </w:pPr>
                  <w:r>
                    <w:rPr>
                      <w:color w:val="auto"/>
                      <w:szCs w:val="21"/>
                      <w:u w:val="single"/>
                    </w:rPr>
                    <w:t>700</w:t>
                  </w:r>
                </w:p>
              </w:tc>
              <w:tc>
                <w:tcPr>
                  <w:tcW w:w="728" w:type="dxa"/>
                  <w:noWrap w:val="0"/>
                  <w:vAlign w:val="center"/>
                </w:tcPr>
                <w:p>
                  <w:pPr>
                    <w:snapToGrid w:val="0"/>
                    <w:jc w:val="center"/>
                    <w:rPr>
                      <w:color w:val="auto"/>
                      <w:szCs w:val="21"/>
                      <w:u w:val="single"/>
                    </w:rPr>
                  </w:pPr>
                  <w:r>
                    <w:rPr>
                      <w:color w:val="auto"/>
                      <w:szCs w:val="21"/>
                      <w:u w:val="single"/>
                    </w:rPr>
                    <w:t>470</w:t>
                  </w:r>
                </w:p>
              </w:tc>
              <w:tc>
                <w:tcPr>
                  <w:tcW w:w="728" w:type="dxa"/>
                  <w:noWrap w:val="0"/>
                  <w:vAlign w:val="center"/>
                </w:tcPr>
                <w:p>
                  <w:pPr>
                    <w:snapToGrid w:val="0"/>
                    <w:jc w:val="center"/>
                    <w:rPr>
                      <w:color w:val="auto"/>
                      <w:szCs w:val="21"/>
                      <w:u w:val="single"/>
                    </w:rPr>
                  </w:pPr>
                  <w:r>
                    <w:rPr>
                      <w:color w:val="auto"/>
                      <w:szCs w:val="21"/>
                      <w:u w:val="single"/>
                    </w:rPr>
                    <w:t>350</w:t>
                  </w:r>
                </w:p>
              </w:tc>
              <w:tc>
                <w:tcPr>
                  <w:tcW w:w="728" w:type="dxa"/>
                  <w:noWrap w:val="0"/>
                  <w:vAlign w:val="center"/>
                </w:tcPr>
                <w:p>
                  <w:pPr>
                    <w:snapToGrid w:val="0"/>
                    <w:jc w:val="center"/>
                    <w:rPr>
                      <w:color w:val="auto"/>
                      <w:szCs w:val="21"/>
                      <w:u w:val="single"/>
                    </w:rPr>
                  </w:pPr>
                  <w:r>
                    <w:rPr>
                      <w:color w:val="auto"/>
                      <w:szCs w:val="21"/>
                      <w:u w:val="single"/>
                    </w:rPr>
                    <w:t>380</w:t>
                  </w:r>
                </w:p>
              </w:tc>
              <w:tc>
                <w:tcPr>
                  <w:tcW w:w="728" w:type="dxa"/>
                  <w:noWrap w:val="0"/>
                  <w:vAlign w:val="center"/>
                </w:tcPr>
                <w:p>
                  <w:pPr>
                    <w:snapToGrid w:val="0"/>
                    <w:jc w:val="center"/>
                    <w:rPr>
                      <w:color w:val="auto"/>
                      <w:szCs w:val="21"/>
                      <w:u w:val="single"/>
                    </w:rPr>
                  </w:pPr>
                  <w:r>
                    <w:rPr>
                      <w:color w:val="auto"/>
                      <w:szCs w:val="21"/>
                      <w:u w:val="single"/>
                    </w:rPr>
                    <w:t>250</w:t>
                  </w:r>
                </w:p>
              </w:tc>
              <w:tc>
                <w:tcPr>
                  <w:tcW w:w="731" w:type="dxa"/>
                  <w:noWrap w:val="0"/>
                  <w:vAlign w:val="center"/>
                </w:tcPr>
                <w:p>
                  <w:pPr>
                    <w:snapToGrid w:val="0"/>
                    <w:jc w:val="center"/>
                    <w:rPr>
                      <w:color w:val="auto"/>
                      <w:szCs w:val="21"/>
                      <w:u w:val="single"/>
                    </w:rPr>
                  </w:pPr>
                  <w:r>
                    <w:rPr>
                      <w:color w:val="auto"/>
                      <w:szCs w:val="21"/>
                      <w:u w:val="single"/>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continue"/>
                  <w:noWrap w:val="0"/>
                  <w:vAlign w:val="center"/>
                </w:tcPr>
                <w:p>
                  <w:pPr>
                    <w:snapToGrid w:val="0"/>
                    <w:jc w:val="center"/>
                    <w:rPr>
                      <w:color w:val="auto"/>
                      <w:szCs w:val="21"/>
                      <w:u w:val="single"/>
                    </w:rPr>
                  </w:pPr>
                </w:p>
              </w:tc>
              <w:tc>
                <w:tcPr>
                  <w:tcW w:w="1388" w:type="dxa"/>
                  <w:noWrap w:val="0"/>
                  <w:vAlign w:val="center"/>
                </w:tcPr>
                <w:p>
                  <w:pPr>
                    <w:snapToGrid w:val="0"/>
                    <w:jc w:val="center"/>
                    <w:rPr>
                      <w:color w:val="auto"/>
                      <w:szCs w:val="21"/>
                      <w:u w:val="single"/>
                    </w:rPr>
                  </w:pPr>
                  <w:r>
                    <w:rPr>
                      <w:rStyle w:val="68"/>
                      <w:color w:val="auto"/>
                      <w:sz w:val="21"/>
                      <w:szCs w:val="21"/>
                      <w:u w:val="single"/>
                    </w:rPr>
                    <w:t>&gt;4</w:t>
                  </w:r>
                </w:p>
              </w:tc>
              <w:tc>
                <w:tcPr>
                  <w:tcW w:w="730" w:type="dxa"/>
                  <w:noWrap w:val="0"/>
                  <w:vAlign w:val="center"/>
                </w:tcPr>
                <w:p>
                  <w:pPr>
                    <w:snapToGrid w:val="0"/>
                    <w:jc w:val="center"/>
                    <w:rPr>
                      <w:color w:val="auto"/>
                      <w:szCs w:val="21"/>
                      <w:u w:val="single"/>
                    </w:rPr>
                  </w:pPr>
                  <w:r>
                    <w:rPr>
                      <w:color w:val="auto"/>
                      <w:szCs w:val="21"/>
                      <w:u w:val="single"/>
                    </w:rPr>
                    <w:t>530</w:t>
                  </w:r>
                </w:p>
              </w:tc>
              <w:tc>
                <w:tcPr>
                  <w:tcW w:w="728" w:type="dxa"/>
                  <w:noWrap w:val="0"/>
                  <w:vAlign w:val="center"/>
                </w:tcPr>
                <w:p>
                  <w:pPr>
                    <w:snapToGrid w:val="0"/>
                    <w:jc w:val="center"/>
                    <w:rPr>
                      <w:color w:val="auto"/>
                      <w:szCs w:val="21"/>
                      <w:u w:val="single"/>
                    </w:rPr>
                  </w:pPr>
                  <w:r>
                    <w:rPr>
                      <w:color w:val="auto"/>
                      <w:szCs w:val="21"/>
                      <w:u w:val="single"/>
                    </w:rPr>
                    <w:t>350</w:t>
                  </w:r>
                </w:p>
              </w:tc>
              <w:tc>
                <w:tcPr>
                  <w:tcW w:w="728" w:type="dxa"/>
                  <w:noWrap w:val="0"/>
                  <w:vAlign w:val="center"/>
                </w:tcPr>
                <w:p>
                  <w:pPr>
                    <w:snapToGrid w:val="0"/>
                    <w:jc w:val="center"/>
                    <w:rPr>
                      <w:color w:val="auto"/>
                      <w:szCs w:val="21"/>
                      <w:u w:val="single"/>
                    </w:rPr>
                  </w:pPr>
                  <w:r>
                    <w:rPr>
                      <w:color w:val="auto"/>
                      <w:szCs w:val="21"/>
                      <w:u w:val="single"/>
                    </w:rPr>
                    <w:t>260</w:t>
                  </w:r>
                </w:p>
              </w:tc>
              <w:tc>
                <w:tcPr>
                  <w:tcW w:w="728" w:type="dxa"/>
                  <w:noWrap w:val="0"/>
                  <w:vAlign w:val="center"/>
                </w:tcPr>
                <w:p>
                  <w:pPr>
                    <w:snapToGrid w:val="0"/>
                    <w:jc w:val="center"/>
                    <w:rPr>
                      <w:color w:val="auto"/>
                      <w:szCs w:val="21"/>
                      <w:u w:val="single"/>
                    </w:rPr>
                  </w:pPr>
                  <w:r>
                    <w:rPr>
                      <w:color w:val="auto"/>
                      <w:szCs w:val="21"/>
                      <w:u w:val="single"/>
                    </w:rPr>
                    <w:t>530</w:t>
                  </w:r>
                </w:p>
              </w:tc>
              <w:tc>
                <w:tcPr>
                  <w:tcW w:w="728" w:type="dxa"/>
                  <w:noWrap w:val="0"/>
                  <w:vAlign w:val="center"/>
                </w:tcPr>
                <w:p>
                  <w:pPr>
                    <w:snapToGrid w:val="0"/>
                    <w:jc w:val="center"/>
                    <w:rPr>
                      <w:color w:val="auto"/>
                      <w:szCs w:val="21"/>
                      <w:u w:val="single"/>
                    </w:rPr>
                  </w:pPr>
                  <w:r>
                    <w:rPr>
                      <w:color w:val="auto"/>
                      <w:szCs w:val="21"/>
                      <w:u w:val="single"/>
                    </w:rPr>
                    <w:t>350</w:t>
                  </w:r>
                </w:p>
              </w:tc>
              <w:tc>
                <w:tcPr>
                  <w:tcW w:w="728" w:type="dxa"/>
                  <w:noWrap w:val="0"/>
                  <w:vAlign w:val="center"/>
                </w:tcPr>
                <w:p>
                  <w:pPr>
                    <w:snapToGrid w:val="0"/>
                    <w:jc w:val="center"/>
                    <w:rPr>
                      <w:color w:val="auto"/>
                      <w:szCs w:val="21"/>
                      <w:u w:val="single"/>
                    </w:rPr>
                  </w:pPr>
                  <w:r>
                    <w:rPr>
                      <w:color w:val="auto"/>
                      <w:szCs w:val="21"/>
                      <w:u w:val="single"/>
                    </w:rPr>
                    <w:t>260</w:t>
                  </w:r>
                </w:p>
              </w:tc>
              <w:tc>
                <w:tcPr>
                  <w:tcW w:w="728" w:type="dxa"/>
                  <w:noWrap w:val="0"/>
                  <w:vAlign w:val="center"/>
                </w:tcPr>
                <w:p>
                  <w:pPr>
                    <w:snapToGrid w:val="0"/>
                    <w:jc w:val="center"/>
                    <w:rPr>
                      <w:color w:val="auto"/>
                      <w:szCs w:val="21"/>
                      <w:u w:val="single"/>
                    </w:rPr>
                  </w:pPr>
                  <w:r>
                    <w:rPr>
                      <w:color w:val="auto"/>
                      <w:szCs w:val="21"/>
                      <w:u w:val="single"/>
                    </w:rPr>
                    <w:t>290</w:t>
                  </w:r>
                </w:p>
              </w:tc>
              <w:tc>
                <w:tcPr>
                  <w:tcW w:w="728" w:type="dxa"/>
                  <w:noWrap w:val="0"/>
                  <w:vAlign w:val="center"/>
                </w:tcPr>
                <w:p>
                  <w:pPr>
                    <w:snapToGrid w:val="0"/>
                    <w:jc w:val="center"/>
                    <w:rPr>
                      <w:color w:val="auto"/>
                      <w:szCs w:val="21"/>
                      <w:u w:val="single"/>
                    </w:rPr>
                  </w:pPr>
                  <w:r>
                    <w:rPr>
                      <w:color w:val="auto"/>
                      <w:szCs w:val="21"/>
                      <w:u w:val="single"/>
                    </w:rPr>
                    <w:t>190</w:t>
                  </w:r>
                </w:p>
              </w:tc>
              <w:tc>
                <w:tcPr>
                  <w:tcW w:w="731" w:type="dxa"/>
                  <w:noWrap w:val="0"/>
                  <w:vAlign w:val="center"/>
                </w:tcPr>
                <w:p>
                  <w:pPr>
                    <w:snapToGrid w:val="0"/>
                    <w:jc w:val="center"/>
                    <w:rPr>
                      <w:color w:val="auto"/>
                      <w:szCs w:val="21"/>
                      <w:u w:val="single"/>
                    </w:rPr>
                  </w:pPr>
                  <w:r>
                    <w:rPr>
                      <w:color w:val="auto"/>
                      <w:szCs w:val="21"/>
                      <w:u w:val="singl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restart"/>
                  <w:noWrap w:val="0"/>
                  <w:vAlign w:val="center"/>
                </w:tcPr>
                <w:p>
                  <w:pPr>
                    <w:snapToGrid w:val="0"/>
                    <w:jc w:val="center"/>
                    <w:rPr>
                      <w:color w:val="auto"/>
                      <w:szCs w:val="21"/>
                      <w:u w:val="single"/>
                    </w:rPr>
                  </w:pPr>
                  <w:r>
                    <w:rPr>
                      <w:color w:val="auto"/>
                      <w:szCs w:val="21"/>
                      <w:u w:val="single"/>
                    </w:rPr>
                    <w:t>B</w:t>
                  </w:r>
                </w:p>
              </w:tc>
              <w:tc>
                <w:tcPr>
                  <w:tcW w:w="1388" w:type="dxa"/>
                  <w:noWrap w:val="0"/>
                  <w:vAlign w:val="center"/>
                </w:tcPr>
                <w:p>
                  <w:pPr>
                    <w:snapToGrid w:val="0"/>
                    <w:jc w:val="center"/>
                    <w:rPr>
                      <w:color w:val="auto"/>
                      <w:szCs w:val="21"/>
                      <w:u w:val="single"/>
                    </w:rPr>
                  </w:pPr>
                  <w:r>
                    <w:rPr>
                      <w:rStyle w:val="68"/>
                      <w:color w:val="auto"/>
                      <w:sz w:val="21"/>
                      <w:szCs w:val="21"/>
                      <w:u w:val="single"/>
                    </w:rPr>
                    <w:t>&lt;2</w:t>
                  </w:r>
                </w:p>
              </w:tc>
              <w:tc>
                <w:tcPr>
                  <w:tcW w:w="2186" w:type="dxa"/>
                  <w:gridSpan w:val="3"/>
                  <w:noWrap w:val="0"/>
                  <w:vAlign w:val="center"/>
                </w:tcPr>
                <w:p>
                  <w:pPr>
                    <w:snapToGrid w:val="0"/>
                    <w:jc w:val="center"/>
                    <w:rPr>
                      <w:color w:val="auto"/>
                      <w:szCs w:val="21"/>
                      <w:u w:val="single"/>
                    </w:rPr>
                  </w:pPr>
                  <w:r>
                    <w:rPr>
                      <w:color w:val="auto"/>
                      <w:szCs w:val="21"/>
                      <w:u w:val="single"/>
                    </w:rPr>
                    <w:t>0.01</w:t>
                  </w:r>
                </w:p>
              </w:tc>
              <w:tc>
                <w:tcPr>
                  <w:tcW w:w="2184" w:type="dxa"/>
                  <w:gridSpan w:val="3"/>
                  <w:noWrap w:val="0"/>
                  <w:vAlign w:val="center"/>
                </w:tcPr>
                <w:p>
                  <w:pPr>
                    <w:snapToGrid w:val="0"/>
                    <w:jc w:val="center"/>
                    <w:rPr>
                      <w:color w:val="auto"/>
                      <w:szCs w:val="21"/>
                      <w:u w:val="single"/>
                    </w:rPr>
                  </w:pPr>
                  <w:r>
                    <w:rPr>
                      <w:color w:val="auto"/>
                      <w:szCs w:val="21"/>
                      <w:u w:val="single"/>
                    </w:rPr>
                    <w:t>0.015</w:t>
                  </w:r>
                </w:p>
              </w:tc>
              <w:tc>
                <w:tcPr>
                  <w:tcW w:w="2187" w:type="dxa"/>
                  <w:gridSpan w:val="3"/>
                  <w:noWrap w:val="0"/>
                  <w:vAlign w:val="center"/>
                </w:tcPr>
                <w:p>
                  <w:pPr>
                    <w:snapToGrid w:val="0"/>
                    <w:jc w:val="center"/>
                    <w:rPr>
                      <w:color w:val="auto"/>
                      <w:szCs w:val="21"/>
                      <w:u w:val="single"/>
                    </w:rPr>
                  </w:pPr>
                  <w:r>
                    <w:rPr>
                      <w:color w:val="auto"/>
                      <w:szCs w:val="21"/>
                      <w:u w:val="single"/>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continue"/>
                  <w:noWrap w:val="0"/>
                  <w:vAlign w:val="center"/>
                </w:tcPr>
                <w:p>
                  <w:pPr>
                    <w:snapToGrid w:val="0"/>
                    <w:jc w:val="center"/>
                    <w:rPr>
                      <w:color w:val="auto"/>
                      <w:szCs w:val="21"/>
                      <w:u w:val="single"/>
                    </w:rPr>
                  </w:pPr>
                </w:p>
              </w:tc>
              <w:tc>
                <w:tcPr>
                  <w:tcW w:w="1388" w:type="dxa"/>
                  <w:noWrap w:val="0"/>
                  <w:vAlign w:val="center"/>
                </w:tcPr>
                <w:p>
                  <w:pPr>
                    <w:snapToGrid w:val="0"/>
                    <w:jc w:val="center"/>
                    <w:rPr>
                      <w:color w:val="auto"/>
                      <w:szCs w:val="21"/>
                      <w:u w:val="single"/>
                    </w:rPr>
                  </w:pPr>
                  <w:r>
                    <w:rPr>
                      <w:rStyle w:val="68"/>
                      <w:color w:val="auto"/>
                      <w:sz w:val="21"/>
                      <w:szCs w:val="21"/>
                      <w:u w:val="single"/>
                    </w:rPr>
                    <w:t>&gt;2</w:t>
                  </w:r>
                </w:p>
              </w:tc>
              <w:tc>
                <w:tcPr>
                  <w:tcW w:w="2186" w:type="dxa"/>
                  <w:gridSpan w:val="3"/>
                  <w:noWrap w:val="0"/>
                  <w:vAlign w:val="center"/>
                </w:tcPr>
                <w:p>
                  <w:pPr>
                    <w:snapToGrid w:val="0"/>
                    <w:jc w:val="center"/>
                    <w:rPr>
                      <w:color w:val="auto"/>
                      <w:szCs w:val="21"/>
                      <w:u w:val="single"/>
                    </w:rPr>
                  </w:pPr>
                  <w:r>
                    <w:rPr>
                      <w:color w:val="auto"/>
                      <w:szCs w:val="21"/>
                      <w:u w:val="single"/>
                    </w:rPr>
                    <w:t>0.021</w:t>
                  </w:r>
                </w:p>
              </w:tc>
              <w:tc>
                <w:tcPr>
                  <w:tcW w:w="2184" w:type="dxa"/>
                  <w:gridSpan w:val="3"/>
                  <w:noWrap w:val="0"/>
                  <w:vAlign w:val="center"/>
                </w:tcPr>
                <w:p>
                  <w:pPr>
                    <w:snapToGrid w:val="0"/>
                    <w:jc w:val="center"/>
                    <w:rPr>
                      <w:color w:val="auto"/>
                      <w:szCs w:val="21"/>
                      <w:u w:val="single"/>
                    </w:rPr>
                  </w:pPr>
                  <w:r>
                    <w:rPr>
                      <w:color w:val="auto"/>
                      <w:szCs w:val="21"/>
                      <w:u w:val="single"/>
                    </w:rPr>
                    <w:t>0.036</w:t>
                  </w:r>
                </w:p>
              </w:tc>
              <w:tc>
                <w:tcPr>
                  <w:tcW w:w="2187" w:type="dxa"/>
                  <w:gridSpan w:val="3"/>
                  <w:noWrap w:val="0"/>
                  <w:vAlign w:val="center"/>
                </w:tcPr>
                <w:p>
                  <w:pPr>
                    <w:snapToGrid w:val="0"/>
                    <w:jc w:val="center"/>
                    <w:rPr>
                      <w:color w:val="auto"/>
                      <w:szCs w:val="21"/>
                      <w:u w:val="single"/>
                    </w:rPr>
                  </w:pPr>
                  <w:r>
                    <w:rPr>
                      <w:color w:val="auto"/>
                      <w:szCs w:val="21"/>
                      <w:u w:val="single"/>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714" w:type="dxa"/>
                  <w:vMerge w:val="restart"/>
                  <w:noWrap w:val="0"/>
                  <w:vAlign w:val="center"/>
                </w:tcPr>
                <w:p>
                  <w:pPr>
                    <w:snapToGrid w:val="0"/>
                    <w:jc w:val="center"/>
                    <w:rPr>
                      <w:color w:val="auto"/>
                      <w:szCs w:val="21"/>
                      <w:u w:val="single"/>
                    </w:rPr>
                  </w:pPr>
                  <w:r>
                    <w:rPr>
                      <w:color w:val="auto"/>
                      <w:szCs w:val="21"/>
                      <w:u w:val="single"/>
                    </w:rPr>
                    <w:t>C</w:t>
                  </w:r>
                </w:p>
              </w:tc>
              <w:tc>
                <w:tcPr>
                  <w:tcW w:w="1388" w:type="dxa"/>
                  <w:noWrap w:val="0"/>
                  <w:vAlign w:val="center"/>
                </w:tcPr>
                <w:p>
                  <w:pPr>
                    <w:snapToGrid w:val="0"/>
                    <w:jc w:val="center"/>
                    <w:rPr>
                      <w:color w:val="auto"/>
                      <w:szCs w:val="21"/>
                      <w:u w:val="single"/>
                    </w:rPr>
                  </w:pPr>
                  <w:r>
                    <w:rPr>
                      <w:rStyle w:val="68"/>
                      <w:color w:val="auto"/>
                      <w:sz w:val="21"/>
                      <w:szCs w:val="21"/>
                      <w:u w:val="single"/>
                    </w:rPr>
                    <w:t>&lt;2</w:t>
                  </w:r>
                </w:p>
              </w:tc>
              <w:tc>
                <w:tcPr>
                  <w:tcW w:w="2186" w:type="dxa"/>
                  <w:gridSpan w:val="3"/>
                  <w:noWrap w:val="0"/>
                  <w:vAlign w:val="center"/>
                </w:tcPr>
                <w:p>
                  <w:pPr>
                    <w:snapToGrid w:val="0"/>
                    <w:jc w:val="center"/>
                    <w:rPr>
                      <w:color w:val="auto"/>
                      <w:szCs w:val="21"/>
                      <w:u w:val="single"/>
                    </w:rPr>
                  </w:pPr>
                  <w:r>
                    <w:rPr>
                      <w:color w:val="auto"/>
                      <w:szCs w:val="21"/>
                      <w:u w:val="single"/>
                    </w:rPr>
                    <w:t>1.85</w:t>
                  </w:r>
                </w:p>
              </w:tc>
              <w:tc>
                <w:tcPr>
                  <w:tcW w:w="2184" w:type="dxa"/>
                  <w:gridSpan w:val="3"/>
                  <w:noWrap w:val="0"/>
                  <w:vAlign w:val="center"/>
                </w:tcPr>
                <w:p>
                  <w:pPr>
                    <w:snapToGrid w:val="0"/>
                    <w:jc w:val="center"/>
                    <w:rPr>
                      <w:color w:val="auto"/>
                      <w:szCs w:val="21"/>
                      <w:u w:val="single"/>
                    </w:rPr>
                  </w:pPr>
                  <w:r>
                    <w:rPr>
                      <w:color w:val="auto"/>
                      <w:szCs w:val="21"/>
                      <w:u w:val="single"/>
                    </w:rPr>
                    <w:t>1.79</w:t>
                  </w:r>
                </w:p>
              </w:tc>
              <w:tc>
                <w:tcPr>
                  <w:tcW w:w="2187" w:type="dxa"/>
                  <w:gridSpan w:val="3"/>
                  <w:noWrap w:val="0"/>
                  <w:vAlign w:val="center"/>
                </w:tcPr>
                <w:p>
                  <w:pPr>
                    <w:snapToGrid w:val="0"/>
                    <w:jc w:val="center"/>
                    <w:rPr>
                      <w:color w:val="auto"/>
                      <w:szCs w:val="21"/>
                      <w:u w:val="single"/>
                    </w:rPr>
                  </w:pPr>
                  <w:r>
                    <w:rPr>
                      <w:color w:val="auto"/>
                      <w:szCs w:val="21"/>
                      <w:u w:val="single"/>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continue"/>
                  <w:noWrap w:val="0"/>
                  <w:vAlign w:val="center"/>
                </w:tcPr>
                <w:p>
                  <w:pPr>
                    <w:snapToGrid w:val="0"/>
                    <w:jc w:val="center"/>
                    <w:rPr>
                      <w:color w:val="auto"/>
                      <w:szCs w:val="21"/>
                      <w:u w:val="single"/>
                    </w:rPr>
                  </w:pPr>
                </w:p>
              </w:tc>
              <w:tc>
                <w:tcPr>
                  <w:tcW w:w="1388" w:type="dxa"/>
                  <w:noWrap w:val="0"/>
                  <w:vAlign w:val="center"/>
                </w:tcPr>
                <w:p>
                  <w:pPr>
                    <w:snapToGrid w:val="0"/>
                    <w:jc w:val="center"/>
                    <w:rPr>
                      <w:color w:val="auto"/>
                      <w:szCs w:val="21"/>
                      <w:u w:val="single"/>
                    </w:rPr>
                  </w:pPr>
                  <w:r>
                    <w:rPr>
                      <w:rStyle w:val="68"/>
                      <w:color w:val="auto"/>
                      <w:sz w:val="21"/>
                      <w:szCs w:val="21"/>
                      <w:u w:val="single"/>
                    </w:rPr>
                    <w:t>&gt;2</w:t>
                  </w:r>
                </w:p>
              </w:tc>
              <w:tc>
                <w:tcPr>
                  <w:tcW w:w="2186" w:type="dxa"/>
                  <w:gridSpan w:val="3"/>
                  <w:noWrap w:val="0"/>
                  <w:vAlign w:val="center"/>
                </w:tcPr>
                <w:p>
                  <w:pPr>
                    <w:snapToGrid w:val="0"/>
                    <w:jc w:val="center"/>
                    <w:rPr>
                      <w:color w:val="auto"/>
                      <w:szCs w:val="21"/>
                      <w:u w:val="single"/>
                    </w:rPr>
                  </w:pPr>
                  <w:r>
                    <w:rPr>
                      <w:color w:val="auto"/>
                      <w:szCs w:val="21"/>
                      <w:u w:val="single"/>
                    </w:rPr>
                    <w:t>1.85</w:t>
                  </w:r>
                </w:p>
              </w:tc>
              <w:tc>
                <w:tcPr>
                  <w:tcW w:w="2184" w:type="dxa"/>
                  <w:gridSpan w:val="3"/>
                  <w:noWrap w:val="0"/>
                  <w:vAlign w:val="center"/>
                </w:tcPr>
                <w:p>
                  <w:pPr>
                    <w:snapToGrid w:val="0"/>
                    <w:jc w:val="center"/>
                    <w:rPr>
                      <w:color w:val="auto"/>
                      <w:szCs w:val="21"/>
                      <w:u w:val="single"/>
                    </w:rPr>
                  </w:pPr>
                  <w:r>
                    <w:rPr>
                      <w:color w:val="auto"/>
                      <w:szCs w:val="21"/>
                      <w:u w:val="single"/>
                    </w:rPr>
                    <w:t>1.77</w:t>
                  </w:r>
                </w:p>
              </w:tc>
              <w:tc>
                <w:tcPr>
                  <w:tcW w:w="2187" w:type="dxa"/>
                  <w:gridSpan w:val="3"/>
                  <w:noWrap w:val="0"/>
                  <w:vAlign w:val="center"/>
                </w:tcPr>
                <w:p>
                  <w:pPr>
                    <w:snapToGrid w:val="0"/>
                    <w:jc w:val="center"/>
                    <w:rPr>
                      <w:color w:val="auto"/>
                      <w:szCs w:val="21"/>
                      <w:u w:val="single"/>
                    </w:rPr>
                  </w:pPr>
                  <w:r>
                    <w:rPr>
                      <w:color w:val="auto"/>
                      <w:szCs w:val="21"/>
                      <w:u w:val="single"/>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restart"/>
                  <w:noWrap w:val="0"/>
                  <w:vAlign w:val="center"/>
                </w:tcPr>
                <w:p>
                  <w:pPr>
                    <w:snapToGrid w:val="0"/>
                    <w:jc w:val="center"/>
                    <w:rPr>
                      <w:color w:val="auto"/>
                      <w:szCs w:val="21"/>
                      <w:u w:val="single"/>
                    </w:rPr>
                  </w:pPr>
                  <w:r>
                    <w:rPr>
                      <w:color w:val="auto"/>
                      <w:szCs w:val="21"/>
                      <w:u w:val="single"/>
                    </w:rPr>
                    <w:t>D</w:t>
                  </w:r>
                </w:p>
              </w:tc>
              <w:tc>
                <w:tcPr>
                  <w:tcW w:w="1388" w:type="dxa"/>
                  <w:noWrap w:val="0"/>
                  <w:vAlign w:val="center"/>
                </w:tcPr>
                <w:p>
                  <w:pPr>
                    <w:snapToGrid w:val="0"/>
                    <w:jc w:val="center"/>
                    <w:rPr>
                      <w:color w:val="auto"/>
                      <w:szCs w:val="21"/>
                      <w:u w:val="single"/>
                    </w:rPr>
                  </w:pPr>
                  <w:r>
                    <w:rPr>
                      <w:rStyle w:val="68"/>
                      <w:color w:val="auto"/>
                      <w:sz w:val="21"/>
                      <w:szCs w:val="21"/>
                      <w:u w:val="single"/>
                    </w:rPr>
                    <w:t>&lt;2</w:t>
                  </w:r>
                </w:p>
              </w:tc>
              <w:tc>
                <w:tcPr>
                  <w:tcW w:w="2186" w:type="dxa"/>
                  <w:gridSpan w:val="3"/>
                  <w:noWrap w:val="0"/>
                  <w:vAlign w:val="center"/>
                </w:tcPr>
                <w:p>
                  <w:pPr>
                    <w:snapToGrid w:val="0"/>
                    <w:jc w:val="center"/>
                    <w:rPr>
                      <w:color w:val="auto"/>
                      <w:szCs w:val="21"/>
                      <w:u w:val="single"/>
                    </w:rPr>
                  </w:pPr>
                  <w:r>
                    <w:rPr>
                      <w:color w:val="auto"/>
                      <w:szCs w:val="21"/>
                      <w:u w:val="single"/>
                    </w:rPr>
                    <w:t>0.78</w:t>
                  </w:r>
                </w:p>
              </w:tc>
              <w:tc>
                <w:tcPr>
                  <w:tcW w:w="2184" w:type="dxa"/>
                  <w:gridSpan w:val="3"/>
                  <w:noWrap w:val="0"/>
                  <w:vAlign w:val="center"/>
                </w:tcPr>
                <w:p>
                  <w:pPr>
                    <w:snapToGrid w:val="0"/>
                    <w:jc w:val="center"/>
                    <w:rPr>
                      <w:color w:val="auto"/>
                      <w:szCs w:val="21"/>
                      <w:u w:val="single"/>
                    </w:rPr>
                  </w:pPr>
                  <w:r>
                    <w:rPr>
                      <w:color w:val="auto"/>
                      <w:szCs w:val="21"/>
                      <w:u w:val="single"/>
                    </w:rPr>
                    <w:t>0.78</w:t>
                  </w:r>
                </w:p>
              </w:tc>
              <w:tc>
                <w:tcPr>
                  <w:tcW w:w="2187" w:type="dxa"/>
                  <w:gridSpan w:val="3"/>
                  <w:noWrap w:val="0"/>
                  <w:vAlign w:val="center"/>
                </w:tcPr>
                <w:p>
                  <w:pPr>
                    <w:snapToGrid w:val="0"/>
                    <w:jc w:val="center"/>
                    <w:rPr>
                      <w:color w:val="auto"/>
                      <w:szCs w:val="21"/>
                      <w:u w:val="single"/>
                    </w:rPr>
                  </w:pPr>
                  <w:r>
                    <w:rPr>
                      <w:color w:val="auto"/>
                      <w:szCs w:val="21"/>
                      <w:u w:val="single"/>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4" w:type="dxa"/>
                  <w:vMerge w:val="continue"/>
                  <w:noWrap w:val="0"/>
                  <w:vAlign w:val="center"/>
                </w:tcPr>
                <w:p>
                  <w:pPr>
                    <w:snapToGrid w:val="0"/>
                    <w:jc w:val="center"/>
                    <w:rPr>
                      <w:color w:val="auto"/>
                      <w:szCs w:val="21"/>
                      <w:u w:val="single"/>
                    </w:rPr>
                  </w:pPr>
                </w:p>
              </w:tc>
              <w:tc>
                <w:tcPr>
                  <w:tcW w:w="1388" w:type="dxa"/>
                  <w:noWrap w:val="0"/>
                  <w:vAlign w:val="center"/>
                </w:tcPr>
                <w:p>
                  <w:pPr>
                    <w:snapToGrid w:val="0"/>
                    <w:jc w:val="center"/>
                    <w:rPr>
                      <w:color w:val="auto"/>
                      <w:szCs w:val="21"/>
                      <w:u w:val="single"/>
                    </w:rPr>
                  </w:pPr>
                  <w:r>
                    <w:rPr>
                      <w:rStyle w:val="68"/>
                      <w:color w:val="auto"/>
                      <w:sz w:val="21"/>
                      <w:szCs w:val="21"/>
                      <w:u w:val="single"/>
                    </w:rPr>
                    <w:t>&gt;2</w:t>
                  </w:r>
                </w:p>
              </w:tc>
              <w:tc>
                <w:tcPr>
                  <w:tcW w:w="2186" w:type="dxa"/>
                  <w:gridSpan w:val="3"/>
                  <w:noWrap w:val="0"/>
                  <w:vAlign w:val="center"/>
                </w:tcPr>
                <w:p>
                  <w:pPr>
                    <w:snapToGrid w:val="0"/>
                    <w:jc w:val="center"/>
                    <w:rPr>
                      <w:color w:val="auto"/>
                      <w:szCs w:val="21"/>
                      <w:u w:val="single"/>
                    </w:rPr>
                  </w:pPr>
                  <w:r>
                    <w:rPr>
                      <w:color w:val="auto"/>
                      <w:szCs w:val="21"/>
                      <w:u w:val="single"/>
                    </w:rPr>
                    <w:t>0.84</w:t>
                  </w:r>
                </w:p>
              </w:tc>
              <w:tc>
                <w:tcPr>
                  <w:tcW w:w="2184" w:type="dxa"/>
                  <w:gridSpan w:val="3"/>
                  <w:noWrap w:val="0"/>
                  <w:vAlign w:val="center"/>
                </w:tcPr>
                <w:p>
                  <w:pPr>
                    <w:snapToGrid w:val="0"/>
                    <w:jc w:val="center"/>
                    <w:rPr>
                      <w:color w:val="auto"/>
                      <w:szCs w:val="21"/>
                      <w:u w:val="single"/>
                    </w:rPr>
                  </w:pPr>
                  <w:r>
                    <w:rPr>
                      <w:color w:val="auto"/>
                      <w:szCs w:val="21"/>
                      <w:u w:val="single"/>
                    </w:rPr>
                    <w:t>0.84</w:t>
                  </w:r>
                </w:p>
              </w:tc>
              <w:tc>
                <w:tcPr>
                  <w:tcW w:w="2187" w:type="dxa"/>
                  <w:gridSpan w:val="3"/>
                  <w:noWrap w:val="0"/>
                  <w:vAlign w:val="center"/>
                </w:tcPr>
                <w:p>
                  <w:pPr>
                    <w:snapToGrid w:val="0"/>
                    <w:jc w:val="center"/>
                    <w:rPr>
                      <w:color w:val="auto"/>
                      <w:szCs w:val="21"/>
                      <w:u w:val="single"/>
                    </w:rPr>
                  </w:pPr>
                  <w:r>
                    <w:rPr>
                      <w:color w:val="auto"/>
                      <w:szCs w:val="21"/>
                      <w:u w:val="single"/>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jc w:val="center"/>
              </w:trPr>
              <w:tc>
                <w:tcPr>
                  <w:tcW w:w="8659" w:type="dxa"/>
                  <w:gridSpan w:val="11"/>
                  <w:noWrap w:val="0"/>
                  <w:vAlign w:val="center"/>
                </w:tcPr>
                <w:p>
                  <w:pPr>
                    <w:spacing w:line="300" w:lineRule="exact"/>
                    <w:rPr>
                      <w:color w:val="auto"/>
                      <w:szCs w:val="21"/>
                      <w:u w:val="single"/>
                    </w:rPr>
                  </w:pPr>
                  <w:r>
                    <w:rPr>
                      <w:rFonts w:hAnsi="宋体"/>
                      <w:color w:val="auto"/>
                      <w:szCs w:val="21"/>
                      <w:u w:val="single"/>
                    </w:rPr>
                    <w:t>注：表中企业大气污染源构成分为三类：</w:t>
                  </w:r>
                </w:p>
                <w:p>
                  <w:pPr>
                    <w:spacing w:line="300" w:lineRule="exact"/>
                    <w:ind w:firstLine="420"/>
                    <w:rPr>
                      <w:color w:val="auto"/>
                      <w:szCs w:val="21"/>
                      <w:u w:val="single"/>
                    </w:rPr>
                  </w:pPr>
                  <w:r>
                    <w:rPr>
                      <w:rFonts w:hAnsi="宋体"/>
                      <w:color w:val="auto"/>
                      <w:szCs w:val="21"/>
                      <w:u w:val="single"/>
                    </w:rPr>
                    <w:t>Ⅰ类：与无组织排放源共存的排放同种有害气体的排气筒的排放量，大于标准规定的允许排放量的三分之一者。</w:t>
                  </w:r>
                </w:p>
                <w:p>
                  <w:pPr>
                    <w:spacing w:line="300" w:lineRule="exact"/>
                    <w:ind w:firstLine="420"/>
                    <w:rPr>
                      <w:color w:val="auto"/>
                      <w:szCs w:val="21"/>
                      <w:u w:val="single"/>
                    </w:rPr>
                  </w:pPr>
                  <w:r>
                    <w:rPr>
                      <w:rFonts w:hAnsi="宋体"/>
                      <w:color w:val="auto"/>
                      <w:szCs w:val="21"/>
                      <w:u w:val="single"/>
                    </w:rPr>
                    <w:t>Ⅱ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pPr>
                    <w:spacing w:line="300" w:lineRule="exact"/>
                    <w:ind w:firstLine="420"/>
                    <w:rPr>
                      <w:color w:val="auto"/>
                      <w:szCs w:val="21"/>
                      <w:u w:val="single"/>
                    </w:rPr>
                  </w:pPr>
                  <w:r>
                    <w:rPr>
                      <w:rFonts w:hAnsi="宋体"/>
                      <w:color w:val="auto"/>
                      <w:szCs w:val="21"/>
                      <w:u w:val="single"/>
                    </w:rPr>
                    <w:t>Ⅲ类：无排放同种有害物质的排气筒与无组织排放源共存，且无组织排放的有害物质的容许浓度是按慢性反应指标确定者。</w:t>
                  </w:r>
                </w:p>
              </w:tc>
            </w:tr>
          </w:tbl>
          <w:p>
            <w:pPr>
              <w:pStyle w:val="33"/>
              <w:tabs>
                <w:tab w:val="left" w:pos="3720"/>
              </w:tabs>
              <w:rPr>
                <w:rFonts w:ascii="Times New Roman" w:hAnsi="Times New Roman" w:cs="Times New Roman"/>
                <w:color w:val="auto"/>
                <w:kern w:val="0"/>
                <w:szCs w:val="24"/>
              </w:rPr>
            </w:pPr>
            <w:r>
              <w:rPr>
                <w:color w:val="auto"/>
                <w:sz w:val="24"/>
                <w:u w:val="single"/>
              </w:rPr>
              <w:t>由卫生防护距离公式计算出项目卫生防护距离结果</w:t>
            </w:r>
            <w:r>
              <w:rPr>
                <w:color w:val="auto"/>
                <w:sz w:val="24"/>
                <w:u w:val="single"/>
              </w:rPr>
              <w:t>为</w:t>
            </w:r>
            <w:r>
              <w:rPr>
                <w:rFonts w:hint="eastAsia"/>
                <w:color w:val="auto"/>
                <w:sz w:val="24"/>
                <w:u w:val="single"/>
                <w:lang w:val="en-US" w:eastAsia="zh-CN"/>
              </w:rPr>
              <w:t>6.444</w:t>
            </w:r>
            <w:r>
              <w:rPr>
                <w:rFonts w:hint="eastAsia"/>
                <w:color w:val="auto"/>
                <w:sz w:val="24"/>
                <w:u w:val="single"/>
              </w:rPr>
              <w:t>m</w:t>
            </w:r>
            <w:r>
              <w:rPr>
                <w:color w:val="auto"/>
                <w:sz w:val="24"/>
                <w:u w:val="single"/>
              </w:rPr>
              <w:t>，根据《制定地方大气污染物排放标准的技术方法》（GB/T3840-1991）中</w:t>
            </w:r>
            <w:r>
              <w:rPr>
                <w:rFonts w:hint="eastAsia"/>
                <w:color w:val="auto"/>
                <w:sz w:val="24"/>
                <w:u w:val="single"/>
              </w:rPr>
              <w:t>第七章“有害气体无组织排放控制与工业企业卫生防护距离标准的制定方法”第3条</w:t>
            </w:r>
            <w:r>
              <w:rPr>
                <w:color w:val="auto"/>
                <w:sz w:val="24"/>
                <w:u w:val="single"/>
              </w:rPr>
              <w:t>的规定</w:t>
            </w:r>
            <w:r>
              <w:rPr>
                <w:rStyle w:val="26"/>
                <w:rFonts w:hint="eastAsia"/>
                <w:color w:val="auto"/>
                <w:u w:val="single"/>
              </w:rPr>
              <w:t>：</w:t>
            </w:r>
            <w:r>
              <w:rPr>
                <w:rFonts w:hAnsi="宋体"/>
                <w:color w:val="auto"/>
                <w:sz w:val="24"/>
                <w:u w:val="single"/>
              </w:rPr>
              <w:t>卫生防护距离在</w:t>
            </w:r>
            <w:r>
              <w:rPr>
                <w:color w:val="auto"/>
                <w:sz w:val="24"/>
                <w:u w:val="single"/>
              </w:rPr>
              <w:t>100m</w:t>
            </w:r>
            <w:r>
              <w:rPr>
                <w:rFonts w:hAnsi="宋体"/>
                <w:color w:val="auto"/>
                <w:sz w:val="24"/>
                <w:u w:val="single"/>
              </w:rPr>
              <w:t>以内时，级差为</w:t>
            </w:r>
            <w:r>
              <w:rPr>
                <w:color w:val="auto"/>
                <w:sz w:val="24"/>
                <w:u w:val="single"/>
              </w:rPr>
              <w:t>50m</w:t>
            </w:r>
            <w:r>
              <w:rPr>
                <w:rFonts w:hAnsi="宋体"/>
                <w:color w:val="auto"/>
                <w:sz w:val="24"/>
                <w:u w:val="single"/>
              </w:rPr>
              <w:t>；超过</w:t>
            </w:r>
            <w:r>
              <w:rPr>
                <w:color w:val="auto"/>
                <w:sz w:val="24"/>
                <w:u w:val="single"/>
              </w:rPr>
              <w:t>100m</w:t>
            </w:r>
            <w:r>
              <w:rPr>
                <w:rFonts w:hAnsi="宋体"/>
                <w:color w:val="auto"/>
                <w:sz w:val="24"/>
                <w:u w:val="single"/>
              </w:rPr>
              <w:t>，但小于或等于</w:t>
            </w:r>
            <w:r>
              <w:rPr>
                <w:color w:val="auto"/>
                <w:sz w:val="24"/>
                <w:u w:val="single"/>
              </w:rPr>
              <w:t>1000m</w:t>
            </w:r>
            <w:r>
              <w:rPr>
                <w:rFonts w:hAnsi="宋体"/>
                <w:color w:val="auto"/>
                <w:sz w:val="24"/>
                <w:u w:val="single"/>
              </w:rPr>
              <w:t>时，级差为</w:t>
            </w:r>
            <w:r>
              <w:rPr>
                <w:color w:val="auto"/>
                <w:sz w:val="24"/>
                <w:u w:val="single"/>
              </w:rPr>
              <w:t>100m</w:t>
            </w:r>
            <w:r>
              <w:rPr>
                <w:rFonts w:hAnsi="宋体"/>
                <w:color w:val="auto"/>
                <w:sz w:val="24"/>
                <w:u w:val="single"/>
              </w:rPr>
              <w:t>；超过</w:t>
            </w:r>
            <w:r>
              <w:rPr>
                <w:color w:val="auto"/>
                <w:sz w:val="24"/>
                <w:u w:val="single"/>
              </w:rPr>
              <w:t>1000m</w:t>
            </w:r>
            <w:r>
              <w:rPr>
                <w:rFonts w:hAnsi="宋体"/>
                <w:color w:val="auto"/>
                <w:sz w:val="24"/>
                <w:u w:val="single"/>
              </w:rPr>
              <w:t>以上，级差为</w:t>
            </w:r>
            <w:r>
              <w:rPr>
                <w:color w:val="auto"/>
                <w:sz w:val="24"/>
                <w:u w:val="single"/>
              </w:rPr>
              <w:t>200m</w:t>
            </w:r>
            <w:r>
              <w:rPr>
                <w:rFonts w:hAnsi="宋体"/>
                <w:color w:val="auto"/>
                <w:sz w:val="24"/>
                <w:u w:val="single"/>
              </w:rPr>
              <w:t>。</w:t>
            </w:r>
            <w:r>
              <w:rPr>
                <w:color w:val="auto"/>
                <w:sz w:val="24"/>
                <w:u w:val="single"/>
              </w:rPr>
              <w:t>由此可知，</w:t>
            </w:r>
            <w:r>
              <w:rPr>
                <w:rFonts w:hint="eastAsia"/>
                <w:color w:val="auto"/>
                <w:sz w:val="24"/>
                <w:u w:val="single"/>
              </w:rPr>
              <w:t>确定</w:t>
            </w:r>
            <w:r>
              <w:rPr>
                <w:color w:val="auto"/>
                <w:sz w:val="24"/>
                <w:u w:val="single"/>
              </w:rPr>
              <w:t>本项目的卫生防护距离为</w:t>
            </w:r>
            <w:r>
              <w:rPr>
                <w:rFonts w:hint="eastAsia"/>
                <w:color w:val="auto"/>
                <w:sz w:val="24"/>
                <w:u w:val="single"/>
              </w:rPr>
              <w:t>距离厂界50</w:t>
            </w:r>
            <w:r>
              <w:rPr>
                <w:color w:val="auto"/>
                <w:sz w:val="24"/>
                <w:u w:val="single"/>
              </w:rPr>
              <w:t>m</w:t>
            </w:r>
            <w:r>
              <w:rPr>
                <w:rFonts w:hint="eastAsia"/>
                <w:color w:val="auto"/>
                <w:sz w:val="24"/>
                <w:u w:val="single"/>
              </w:rPr>
              <w:t>，</w:t>
            </w:r>
            <w:r>
              <w:rPr>
                <w:color w:val="auto"/>
                <w:sz w:val="24"/>
                <w:u w:val="single"/>
              </w:rPr>
              <w:t>根据项目</w:t>
            </w:r>
            <w:r>
              <w:rPr>
                <w:rFonts w:hint="eastAsia"/>
                <w:color w:val="auto"/>
                <w:sz w:val="24"/>
                <w:u w:val="single"/>
              </w:rPr>
              <w:t>现场踏勘可知，项目卫生防护距离内无民房等环境敏感点，无居民拆迁，本次评价提出后也不得新建</w:t>
            </w:r>
            <w:r>
              <w:rPr>
                <w:color w:val="auto"/>
                <w:sz w:val="24"/>
                <w:u w:val="single"/>
              </w:rPr>
              <w:t>居住区、学校和医院等敏感点</w:t>
            </w:r>
            <w:r>
              <w:rPr>
                <w:rFonts w:hint="eastAsia"/>
                <w:color w:val="auto"/>
                <w:sz w:val="24"/>
                <w:u w:val="single"/>
              </w:rPr>
              <w:t>。</w:t>
            </w:r>
          </w:p>
          <w:p>
            <w:pPr>
              <w:pStyle w:val="33"/>
              <w:tabs>
                <w:tab w:val="left" w:pos="3720"/>
              </w:tabs>
              <w:rPr>
                <w:rFonts w:hint="eastAsia" w:ascii="Times New Roman" w:hAnsi="Times New Roman" w:cs="Times New Roman"/>
                <w:b/>
                <w:bCs/>
                <w:color w:val="auto"/>
                <w:kern w:val="0"/>
                <w:szCs w:val="24"/>
              </w:rPr>
            </w:pPr>
            <w:r>
              <w:rPr>
                <w:rFonts w:hint="eastAsia" w:hAnsi="Times New Roman" w:cs="Times New Roman"/>
                <w:b/>
                <w:bCs/>
                <w:color w:val="auto"/>
                <w:kern w:val="0"/>
                <w:szCs w:val="24"/>
                <w:lang w:val="en-US" w:eastAsia="zh-CN"/>
              </w:rPr>
              <w:t>5、</w:t>
            </w:r>
            <w:r>
              <w:rPr>
                <w:rFonts w:ascii="Times New Roman" w:hAnsi="Times New Roman" w:cs="Times New Roman"/>
                <w:b/>
                <w:bCs/>
                <w:color w:val="auto"/>
                <w:kern w:val="0"/>
                <w:szCs w:val="24"/>
              </w:rPr>
              <w:t>大气污染物排放量核算</w:t>
            </w:r>
          </w:p>
          <w:p>
            <w:pPr>
              <w:pStyle w:val="33"/>
              <w:tabs>
                <w:tab w:val="left" w:pos="3720"/>
              </w:tabs>
              <w:rPr>
                <w:rFonts w:ascii="Times New Roman" w:hAnsi="Times New Roman" w:cs="Times New Roman"/>
                <w:b/>
                <w:bCs/>
                <w:color w:val="auto"/>
                <w:kern w:val="0"/>
                <w:sz w:val="21"/>
                <w:szCs w:val="21"/>
              </w:rPr>
            </w:pPr>
            <w:r>
              <w:rPr>
                <w:rFonts w:ascii="Times New Roman" w:hAnsi="Times New Roman" w:cs="Times New Roman"/>
                <w:color w:val="auto"/>
                <w:kern w:val="0"/>
                <w:szCs w:val="24"/>
              </w:rPr>
              <w:t>根据《环境影响评价技术导则</w:t>
            </w:r>
            <w:r>
              <w:rPr>
                <w:rFonts w:hint="eastAsia" w:ascii="Times New Roman" w:hAnsi="Times New Roman" w:cs="Times New Roman"/>
                <w:color w:val="auto"/>
                <w:kern w:val="0"/>
                <w:szCs w:val="24"/>
              </w:rPr>
              <w:t xml:space="preserve"> </w:t>
            </w:r>
            <w:r>
              <w:rPr>
                <w:rFonts w:ascii="Times New Roman" w:hAnsi="Times New Roman" w:cs="Times New Roman"/>
                <w:color w:val="auto"/>
                <w:kern w:val="0"/>
                <w:szCs w:val="24"/>
              </w:rPr>
              <w:t>大气环境》（HJ 2.2-2018）对项目大气污染物进行核算，如下表</w:t>
            </w:r>
            <w:r>
              <w:rPr>
                <w:rFonts w:hint="eastAsia" w:ascii="Times New Roman" w:hAnsi="Times New Roman" w:cs="Times New Roman"/>
                <w:color w:val="auto"/>
                <w:kern w:val="0"/>
                <w:szCs w:val="24"/>
              </w:rPr>
              <w:t>7-</w:t>
            </w:r>
            <w:r>
              <w:rPr>
                <w:rFonts w:hint="eastAsia" w:hAnsi="Times New Roman" w:cs="Times New Roman"/>
                <w:color w:val="auto"/>
                <w:kern w:val="0"/>
                <w:szCs w:val="24"/>
                <w:lang w:val="en-US" w:eastAsia="zh-CN"/>
              </w:rPr>
              <w:t>13</w:t>
            </w:r>
            <w:r>
              <w:rPr>
                <w:rFonts w:ascii="Times New Roman" w:hAnsi="Times New Roman" w:cs="Times New Roman"/>
                <w:color w:val="auto"/>
                <w:kern w:val="0"/>
                <w:szCs w:val="24"/>
              </w:rPr>
              <w:t>：</w:t>
            </w:r>
          </w:p>
          <w:p>
            <w:pPr>
              <w:pStyle w:val="33"/>
              <w:tabs>
                <w:tab w:val="left" w:pos="3720"/>
              </w:tabs>
              <w:jc w:val="center"/>
              <w:rPr>
                <w:rFonts w:ascii="Times New Roman" w:hAnsi="Times New Roman" w:cs="Times New Roman"/>
                <w:color w:val="auto"/>
                <w:kern w:val="0"/>
                <w:szCs w:val="24"/>
              </w:rPr>
            </w:pPr>
            <w:r>
              <w:rPr>
                <w:rFonts w:ascii="Times New Roman" w:hAnsi="Times New Roman" w:cs="Times New Roman"/>
                <w:b/>
                <w:bCs/>
                <w:color w:val="auto"/>
                <w:kern w:val="0"/>
                <w:sz w:val="21"/>
                <w:szCs w:val="21"/>
              </w:rPr>
              <w:t>表</w:t>
            </w:r>
            <w:r>
              <w:rPr>
                <w:rFonts w:hint="eastAsia" w:ascii="Times New Roman" w:hAnsi="Times New Roman" w:cs="Times New Roman"/>
                <w:b/>
                <w:bCs/>
                <w:color w:val="auto"/>
                <w:kern w:val="0"/>
                <w:sz w:val="21"/>
                <w:szCs w:val="21"/>
              </w:rPr>
              <w:t>7-</w:t>
            </w:r>
            <w:r>
              <w:rPr>
                <w:rFonts w:hint="eastAsia" w:hAnsi="Times New Roman" w:cs="Times New Roman"/>
                <w:b/>
                <w:bCs/>
                <w:color w:val="auto"/>
                <w:kern w:val="0"/>
                <w:sz w:val="21"/>
                <w:szCs w:val="21"/>
                <w:lang w:val="en-US" w:eastAsia="zh-CN"/>
              </w:rPr>
              <w:t>13</w:t>
            </w:r>
            <w:r>
              <w:rPr>
                <w:rFonts w:hint="eastAsia" w:ascii="Times New Roman" w:hAnsi="Times New Roman" w:cs="Times New Roman"/>
                <w:b/>
                <w:bCs/>
                <w:color w:val="auto"/>
                <w:kern w:val="0"/>
                <w:sz w:val="21"/>
                <w:szCs w:val="21"/>
              </w:rPr>
              <w:t xml:space="preserve"> </w:t>
            </w:r>
            <w:r>
              <w:rPr>
                <w:rFonts w:ascii="Times New Roman" w:hAnsi="Times New Roman" w:cs="Times New Roman"/>
                <w:b/>
                <w:bCs/>
                <w:color w:val="auto"/>
                <w:kern w:val="0"/>
                <w:sz w:val="21"/>
                <w:szCs w:val="21"/>
              </w:rPr>
              <w:t>大气污染物排放量核算表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50"/>
              <w:gridCol w:w="916"/>
              <w:gridCol w:w="927"/>
              <w:gridCol w:w="1134"/>
              <w:gridCol w:w="2410"/>
              <w:gridCol w:w="1134"/>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55" w:type="dxa"/>
                  <w:vMerge w:val="restart"/>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序号</w:t>
                  </w:r>
                </w:p>
              </w:tc>
              <w:tc>
                <w:tcPr>
                  <w:tcW w:w="850" w:type="dxa"/>
                  <w:vMerge w:val="restart"/>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排放口编号</w:t>
                  </w:r>
                </w:p>
              </w:tc>
              <w:tc>
                <w:tcPr>
                  <w:tcW w:w="916" w:type="dxa"/>
                  <w:vMerge w:val="restart"/>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产物环节</w:t>
                  </w:r>
                </w:p>
              </w:tc>
              <w:tc>
                <w:tcPr>
                  <w:tcW w:w="927" w:type="dxa"/>
                  <w:vMerge w:val="restart"/>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污染物</w:t>
                  </w:r>
                </w:p>
              </w:tc>
              <w:tc>
                <w:tcPr>
                  <w:tcW w:w="1134" w:type="dxa"/>
                  <w:vMerge w:val="restart"/>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主要污染防治措施</w:t>
                  </w:r>
                </w:p>
              </w:tc>
              <w:tc>
                <w:tcPr>
                  <w:tcW w:w="3544" w:type="dxa"/>
                  <w:gridSpan w:val="2"/>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国家或地方污染物排放标准</w:t>
                  </w:r>
                </w:p>
              </w:tc>
              <w:tc>
                <w:tcPr>
                  <w:tcW w:w="732" w:type="dxa"/>
                  <w:vMerge w:val="restart"/>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55"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850"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916"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927"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1134"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2410" w:type="dxa"/>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标准名称</w:t>
                  </w:r>
                </w:p>
              </w:tc>
              <w:tc>
                <w:tcPr>
                  <w:tcW w:w="1134" w:type="dxa"/>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浓度限值(mg/m</w:t>
                  </w:r>
                  <w:r>
                    <w:rPr>
                      <w:rFonts w:hint="eastAsia" w:ascii="Times New Roman" w:hAnsi="Times New Roman" w:cs="Times New Roman"/>
                      <w:color w:val="auto"/>
                      <w:sz w:val="21"/>
                      <w:szCs w:val="21"/>
                      <w:vertAlign w:val="superscript"/>
                    </w:rPr>
                    <w:t>3</w:t>
                  </w:r>
                  <w:r>
                    <w:rPr>
                      <w:rFonts w:hint="eastAsia" w:ascii="Times New Roman" w:hAnsi="Times New Roman" w:cs="Times New Roman"/>
                      <w:color w:val="auto"/>
                      <w:sz w:val="21"/>
                      <w:szCs w:val="21"/>
                    </w:rPr>
                    <w:t>)</w:t>
                  </w:r>
                </w:p>
              </w:tc>
              <w:tc>
                <w:tcPr>
                  <w:tcW w:w="732"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restart"/>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850" w:type="dxa"/>
                  <w:vMerge w:val="restart"/>
                  <w:noWrap w:val="0"/>
                  <w:vAlign w:val="center"/>
                </w:tcPr>
                <w:p>
                  <w:pPr>
                    <w:pStyle w:val="34"/>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排放口</w:t>
                  </w:r>
                </w:p>
              </w:tc>
              <w:tc>
                <w:tcPr>
                  <w:tcW w:w="916" w:type="dxa"/>
                  <w:vMerge w:val="restart"/>
                  <w:noWrap w:val="0"/>
                  <w:vAlign w:val="center"/>
                </w:tcPr>
                <w:p>
                  <w:pPr>
                    <w:pStyle w:val="34"/>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粉碎、炭化、烘干</w:t>
                  </w:r>
                </w:p>
              </w:tc>
              <w:tc>
                <w:tcPr>
                  <w:tcW w:w="927" w:type="dxa"/>
                  <w:noWrap w:val="0"/>
                  <w:vAlign w:val="center"/>
                </w:tcPr>
                <w:p>
                  <w:pPr>
                    <w:pStyle w:val="34"/>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颗粒物</w:t>
                  </w:r>
                </w:p>
              </w:tc>
              <w:tc>
                <w:tcPr>
                  <w:tcW w:w="1134" w:type="dxa"/>
                  <w:vMerge w:val="restart"/>
                  <w:noWrap w:val="0"/>
                  <w:vAlign w:val="center"/>
                </w:tcPr>
                <w:p>
                  <w:pPr>
                    <w:pStyle w:val="34"/>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color w:val="auto"/>
                      <w:sz w:val="19"/>
                      <w:szCs w:val="20"/>
                    </w:rPr>
                    <w:t>水</w:t>
                  </w:r>
                  <w:r>
                    <w:rPr>
                      <w:rFonts w:hint="eastAsia"/>
                      <w:color w:val="auto"/>
                      <w:sz w:val="19"/>
                      <w:szCs w:val="20"/>
                      <w:lang w:eastAsia="zh-CN"/>
                    </w:rPr>
                    <w:t>雾</w:t>
                  </w:r>
                  <w:r>
                    <w:rPr>
                      <w:rFonts w:hint="eastAsia" w:ascii="Times New Roman" w:hAnsi="Times New Roman" w:cs="Times New Roman"/>
                      <w:color w:val="auto"/>
                      <w:sz w:val="21"/>
                      <w:szCs w:val="21"/>
                      <w:lang w:eastAsia="zh-CN"/>
                    </w:rPr>
                    <w:t>除尘器</w:t>
                  </w:r>
                  <w:r>
                    <w:rPr>
                      <w:rFonts w:hint="eastAsia" w:ascii="Times New Roman" w:hAnsi="Times New Roman" w:cs="Times New Roman"/>
                      <w:color w:val="auto"/>
                      <w:sz w:val="21"/>
                      <w:szCs w:val="21"/>
                      <w:lang w:val="en-US" w:eastAsia="zh-CN"/>
                    </w:rPr>
                    <w:t>+静电除尘器+15排气筒</w:t>
                  </w:r>
                </w:p>
              </w:tc>
              <w:tc>
                <w:tcPr>
                  <w:tcW w:w="2410" w:type="dxa"/>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《工业炉窑大气污染物排放标准》(GB9078-1996)</w:t>
                  </w:r>
                </w:p>
              </w:tc>
              <w:tc>
                <w:tcPr>
                  <w:tcW w:w="1134" w:type="dxa"/>
                  <w:noWrap w:val="0"/>
                  <w:vAlign w:val="center"/>
                </w:tcPr>
                <w:p>
                  <w:pPr>
                    <w:pStyle w:val="34"/>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732" w:type="dxa"/>
                  <w:noWrap w:val="0"/>
                  <w:vAlign w:val="center"/>
                </w:tcPr>
                <w:p>
                  <w:pPr>
                    <w:pStyle w:val="34"/>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850"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lang w:val="en-US" w:eastAsia="zh-CN"/>
                    </w:rPr>
                  </w:pPr>
                </w:p>
              </w:tc>
              <w:tc>
                <w:tcPr>
                  <w:tcW w:w="916"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927" w:type="dxa"/>
                  <w:noWrap w:val="0"/>
                  <w:vAlign w:val="center"/>
                </w:tcPr>
                <w:p>
                  <w:pPr>
                    <w:pStyle w:val="34"/>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二氧化硫</w:t>
                  </w:r>
                </w:p>
              </w:tc>
              <w:tc>
                <w:tcPr>
                  <w:tcW w:w="1134"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2410" w:type="dxa"/>
                  <w:vMerge w:val="restart"/>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《大气污染物综合排放标准》(GB16297-1996)</w:t>
                  </w:r>
                </w:p>
              </w:tc>
              <w:tc>
                <w:tcPr>
                  <w:tcW w:w="1134" w:type="dxa"/>
                  <w:noWrap w:val="0"/>
                  <w:vAlign w:val="center"/>
                </w:tcPr>
                <w:p>
                  <w:pPr>
                    <w:pStyle w:val="34"/>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550</w:t>
                  </w:r>
                </w:p>
              </w:tc>
              <w:tc>
                <w:tcPr>
                  <w:tcW w:w="732" w:type="dxa"/>
                  <w:noWrap w:val="0"/>
                  <w:vAlign w:val="center"/>
                </w:tcPr>
                <w:p>
                  <w:pPr>
                    <w:pStyle w:val="34"/>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850"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lang w:val="en-US" w:eastAsia="zh-CN"/>
                    </w:rPr>
                  </w:pPr>
                </w:p>
              </w:tc>
              <w:tc>
                <w:tcPr>
                  <w:tcW w:w="916"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927" w:type="dxa"/>
                  <w:noWrap w:val="0"/>
                  <w:vAlign w:val="center"/>
                </w:tcPr>
                <w:p>
                  <w:pPr>
                    <w:pStyle w:val="34"/>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氮氧化物</w:t>
                  </w:r>
                </w:p>
              </w:tc>
              <w:tc>
                <w:tcPr>
                  <w:tcW w:w="1134"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2410" w:type="dxa"/>
                  <w:vMerge w:val="continue"/>
                  <w:noWrap w:val="0"/>
                  <w:vAlign w:val="center"/>
                </w:tcPr>
                <w:p>
                  <w:pPr>
                    <w:pStyle w:val="34"/>
                    <w:spacing w:line="240" w:lineRule="auto"/>
                    <w:ind w:firstLine="0" w:firstLineChars="0"/>
                    <w:jc w:val="center"/>
                    <w:rPr>
                      <w:rFonts w:hint="eastAsia" w:ascii="Times New Roman" w:hAnsi="Times New Roman" w:cs="Times New Roman"/>
                      <w:color w:val="auto"/>
                      <w:sz w:val="21"/>
                      <w:szCs w:val="21"/>
                    </w:rPr>
                  </w:pPr>
                </w:p>
              </w:tc>
              <w:tc>
                <w:tcPr>
                  <w:tcW w:w="1134" w:type="dxa"/>
                  <w:noWrap w:val="0"/>
                  <w:vAlign w:val="center"/>
                </w:tcPr>
                <w:p>
                  <w:pPr>
                    <w:pStyle w:val="34"/>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240</w:t>
                  </w:r>
                </w:p>
              </w:tc>
              <w:tc>
                <w:tcPr>
                  <w:tcW w:w="732" w:type="dxa"/>
                  <w:noWrap w:val="0"/>
                  <w:vAlign w:val="center"/>
                </w:tcPr>
                <w:p>
                  <w:pPr>
                    <w:pStyle w:val="34"/>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2.04</w:t>
                  </w:r>
                </w:p>
              </w:tc>
            </w:tr>
          </w:tbl>
          <w:p>
            <w:pPr>
              <w:pStyle w:val="33"/>
              <w:tabs>
                <w:tab w:val="left" w:pos="3720"/>
              </w:tabs>
              <w:ind w:left="0" w:leftChars="0" w:firstLine="0" w:firstLineChars="0"/>
              <w:rPr>
                <w:rFonts w:ascii="Times New Roman" w:hAnsi="Times New Roman" w:cs="Times New Roman"/>
                <w:color w:val="auto"/>
                <w:kern w:val="0"/>
                <w:szCs w:val="24"/>
              </w:rPr>
            </w:pPr>
          </w:p>
          <w:p>
            <w:pPr>
              <w:pStyle w:val="33"/>
              <w:tabs>
                <w:tab w:val="left" w:pos="3720"/>
              </w:tabs>
              <w:ind w:firstLine="0" w:firstLineChars="0"/>
              <w:rPr>
                <w:rFonts w:ascii="Times New Roman" w:hAnsi="Times New Roman" w:cs="Times New Roman"/>
                <w:b/>
                <w:color w:val="auto"/>
                <w:kern w:val="0"/>
                <w:szCs w:val="24"/>
              </w:rPr>
            </w:pPr>
            <w:r>
              <w:rPr>
                <w:rFonts w:hint="eastAsia" w:ascii="Times New Roman" w:hAnsi="Times New Roman" w:cs="Times New Roman"/>
                <w:b/>
                <w:color w:val="auto"/>
                <w:kern w:val="0"/>
                <w:szCs w:val="24"/>
              </w:rPr>
              <w:t>2</w:t>
            </w:r>
            <w:r>
              <w:rPr>
                <w:rFonts w:hint="eastAsia" w:hAnsi="Times New Roman" w:cs="Times New Roman"/>
                <w:b/>
                <w:color w:val="auto"/>
                <w:kern w:val="0"/>
                <w:szCs w:val="24"/>
                <w:lang w:eastAsia="zh-CN"/>
              </w:rPr>
              <w:t>、</w:t>
            </w:r>
            <w:r>
              <w:rPr>
                <w:rFonts w:hint="eastAsia" w:ascii="Times New Roman" w:hAnsi="Times New Roman" w:cs="Times New Roman"/>
                <w:b/>
                <w:color w:val="auto"/>
                <w:kern w:val="0"/>
                <w:szCs w:val="24"/>
              </w:rPr>
              <w:t>营运期</w:t>
            </w:r>
            <w:r>
              <w:rPr>
                <w:rFonts w:ascii="Times New Roman" w:hAnsi="Times New Roman" w:cs="Times New Roman"/>
                <w:b/>
                <w:color w:val="auto"/>
                <w:kern w:val="0"/>
                <w:szCs w:val="24"/>
              </w:rPr>
              <w:t>水环境影响</w:t>
            </w:r>
            <w:r>
              <w:rPr>
                <w:rFonts w:hint="eastAsia" w:ascii="Times New Roman" w:hAnsi="Times New Roman" w:cs="Times New Roman"/>
                <w:b/>
                <w:color w:val="auto"/>
                <w:kern w:val="0"/>
                <w:szCs w:val="24"/>
              </w:rPr>
              <w:t>分析</w:t>
            </w:r>
            <w:r>
              <w:rPr>
                <w:rFonts w:ascii="Times New Roman" w:hAnsi="Times New Roman" w:cs="Times New Roman"/>
                <w:b/>
                <w:color w:val="auto"/>
                <w:kern w:val="0"/>
                <w:szCs w:val="24"/>
              </w:rPr>
              <w:tab/>
            </w:r>
          </w:p>
          <w:p>
            <w:pPr>
              <w:spacing w:line="360" w:lineRule="auto"/>
              <w:ind w:firstLine="482" w:firstLineChars="200"/>
              <w:jc w:val="left"/>
              <w:rPr>
                <w:rFonts w:ascii="Times New Roman" w:hAnsi="Times New Roman" w:cs="Times New Roman"/>
                <w:b/>
                <w:bCs/>
                <w:color w:val="auto"/>
                <w:sz w:val="24"/>
                <w:szCs w:val="24"/>
              </w:rPr>
            </w:pPr>
            <w:bookmarkStart w:id="17" w:name="OLE_LINK63"/>
            <w:r>
              <w:rPr>
                <w:rFonts w:hint="eastAsia" w:cs="Times New Roman"/>
                <w:b/>
                <w:bCs/>
                <w:color w:val="auto"/>
                <w:sz w:val="24"/>
                <w:szCs w:val="24"/>
                <w:lang w:val="en-US" w:eastAsia="zh-CN"/>
              </w:rPr>
              <w:t>2.1</w:t>
            </w:r>
            <w:r>
              <w:rPr>
                <w:rFonts w:ascii="Times New Roman" w:hAnsi="Times New Roman" w:cs="Times New Roman"/>
                <w:b/>
                <w:bCs/>
                <w:color w:val="auto"/>
                <w:sz w:val="24"/>
                <w:szCs w:val="24"/>
              </w:rPr>
              <w:t>地表水评价等级确定</w:t>
            </w:r>
          </w:p>
          <w:p>
            <w:pPr>
              <w:spacing w:line="360" w:lineRule="auto"/>
              <w:ind w:firstLine="424" w:firstLineChars="176"/>
              <w:jc w:val="left"/>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依据《环境影响评价技术导则-地表水环境》(HJ2.3-2018)中5.2节工作等级的确定方法，结合项目工程分析结果，然后按评价工作分级判据进行分级。</w:t>
            </w:r>
          </w:p>
          <w:p>
            <w:pPr>
              <w:pStyle w:val="33"/>
              <w:rPr>
                <w:rFonts w:ascii="Times New Roman" w:hAnsi="Times New Roman" w:cs="Times New Roman"/>
                <w:color w:val="auto"/>
                <w:szCs w:val="24"/>
              </w:rPr>
            </w:pPr>
            <w:r>
              <w:rPr>
                <w:rFonts w:ascii="Times New Roman" w:hAnsi="Times New Roman" w:cs="Times New Roman"/>
                <w:color w:val="auto"/>
                <w:szCs w:val="24"/>
              </w:rPr>
              <w:t>评价等级按下表的分级判据进行划分：</w:t>
            </w:r>
          </w:p>
          <w:p>
            <w:pPr>
              <w:jc w:val="center"/>
              <w:rPr>
                <w:rFonts w:ascii="Times New Roman" w:hAnsi="Times New Roman" w:cs="Times New Roman"/>
                <w:b/>
                <w:bCs/>
                <w:color w:val="auto"/>
                <w:szCs w:val="21"/>
              </w:rPr>
            </w:pPr>
            <w:r>
              <w:rPr>
                <w:rFonts w:ascii="Times New Roman" w:hAnsi="Times New Roman" w:cs="Times New Roman"/>
                <w:b/>
                <w:bCs/>
                <w:color w:val="auto"/>
                <w:szCs w:val="21"/>
              </w:rPr>
              <w:t>表7-</w:t>
            </w:r>
            <w:r>
              <w:rPr>
                <w:rFonts w:hint="eastAsia" w:cs="Times New Roman"/>
                <w:b/>
                <w:bCs/>
                <w:color w:val="auto"/>
                <w:szCs w:val="21"/>
                <w:lang w:val="en-US" w:eastAsia="zh-CN"/>
              </w:rPr>
              <w:t>14</w:t>
            </w:r>
            <w:r>
              <w:rPr>
                <w:rFonts w:ascii="Times New Roman" w:hAnsi="Times New Roman" w:cs="Times New Roman"/>
                <w:b/>
                <w:bCs/>
                <w:color w:val="auto"/>
                <w:szCs w:val="21"/>
              </w:rPr>
              <w:t xml:space="preserve"> 评价等级判别表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2364"/>
              <w:gridCol w:w="3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394" w:type="dxa"/>
                  <w:vMerge w:val="restart"/>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评价工作等级</w:t>
                  </w:r>
                </w:p>
              </w:tc>
              <w:tc>
                <w:tcPr>
                  <w:tcW w:w="6145" w:type="dxa"/>
                  <w:gridSpan w:val="2"/>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394" w:type="dxa"/>
                  <w:vMerge w:val="continue"/>
                  <w:noWrap w:val="0"/>
                  <w:vAlign w:val="center"/>
                </w:tcPr>
                <w:p>
                  <w:pPr>
                    <w:jc w:val="center"/>
                    <w:rPr>
                      <w:rFonts w:ascii="Times New Roman" w:hAnsi="Times New Roman" w:cs="Times New Roman"/>
                      <w:color w:val="auto"/>
                      <w:szCs w:val="21"/>
                    </w:rPr>
                  </w:pPr>
                </w:p>
              </w:tc>
              <w:tc>
                <w:tcPr>
                  <w:tcW w:w="2364"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排放方式</w:t>
                  </w:r>
                </w:p>
              </w:tc>
              <w:tc>
                <w:tcPr>
                  <w:tcW w:w="3781"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废水排放量Q/（m</w:t>
                  </w:r>
                  <w:r>
                    <w:rPr>
                      <w:rFonts w:ascii="Times New Roman" w:hAnsi="Times New Roman" w:cs="Times New Roman"/>
                      <w:color w:val="auto"/>
                      <w:szCs w:val="21"/>
                      <w:vertAlign w:val="superscript"/>
                    </w:rPr>
                    <w:t>3</w:t>
                  </w:r>
                  <w:r>
                    <w:rPr>
                      <w:rFonts w:ascii="Times New Roman" w:hAnsi="Times New Roman" w:cs="Times New Roman"/>
                      <w:color w:val="auto"/>
                      <w:szCs w:val="21"/>
                    </w:rPr>
                    <w:t>/d）;</w:t>
                  </w:r>
                </w:p>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394"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一级</w:t>
                  </w:r>
                </w:p>
              </w:tc>
              <w:tc>
                <w:tcPr>
                  <w:tcW w:w="2364"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直接排放</w:t>
                  </w:r>
                </w:p>
              </w:tc>
              <w:tc>
                <w:tcPr>
                  <w:tcW w:w="3781"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394"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二级</w:t>
                  </w:r>
                </w:p>
              </w:tc>
              <w:tc>
                <w:tcPr>
                  <w:tcW w:w="2364"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直接排放</w:t>
                  </w:r>
                </w:p>
              </w:tc>
              <w:tc>
                <w:tcPr>
                  <w:tcW w:w="3781"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94"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三级A</w:t>
                  </w:r>
                </w:p>
              </w:tc>
              <w:tc>
                <w:tcPr>
                  <w:tcW w:w="2364"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直接排放</w:t>
                  </w:r>
                </w:p>
              </w:tc>
              <w:tc>
                <w:tcPr>
                  <w:tcW w:w="3781"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Q&lt;200或W&lt;6000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394" w:type="dxa"/>
                  <w:noWrap w:val="0"/>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三级B</w:t>
                  </w:r>
                </w:p>
              </w:tc>
              <w:tc>
                <w:tcPr>
                  <w:tcW w:w="2364" w:type="dxa"/>
                  <w:noWrap w:val="0"/>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间接排放</w:t>
                  </w:r>
                </w:p>
              </w:tc>
              <w:tc>
                <w:tcPr>
                  <w:tcW w:w="3781" w:type="dxa"/>
                  <w:noWrap w:val="0"/>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w:t>
                  </w:r>
                </w:p>
              </w:tc>
            </w:tr>
          </w:tbl>
          <w:p>
            <w:pPr>
              <w:pStyle w:val="33"/>
              <w:rPr>
                <w:rFonts w:ascii="Times New Roman" w:hAnsi="Times New Roman" w:cs="Times New Roman"/>
                <w:color w:val="auto"/>
                <w:szCs w:val="24"/>
              </w:rPr>
            </w:pPr>
            <w:r>
              <w:rPr>
                <w:rFonts w:ascii="Times New Roman" w:hAnsi="Times New Roman" w:cs="Times New Roman"/>
                <w:color w:val="auto"/>
                <w:kern w:val="0"/>
                <w:szCs w:val="24"/>
              </w:rPr>
              <w:t>本项目废水主要为</w:t>
            </w:r>
            <w:r>
              <w:rPr>
                <w:rFonts w:hint="eastAsia"/>
                <w:color w:val="auto"/>
                <w:lang w:val="en-US" w:eastAsia="zh-CN"/>
              </w:rPr>
              <w:t>水雾</w:t>
            </w:r>
            <w:r>
              <w:rPr>
                <w:color w:val="auto"/>
                <w:sz w:val="24"/>
                <w:szCs w:val="32"/>
              </w:rPr>
              <w:t>除尘废水</w:t>
            </w:r>
            <w:r>
              <w:rPr>
                <w:rFonts w:hint="eastAsia"/>
                <w:color w:val="auto"/>
                <w:sz w:val="24"/>
                <w:szCs w:val="32"/>
                <w:lang w:eastAsia="zh-CN"/>
              </w:rPr>
              <w:t>、产品冷却水</w:t>
            </w:r>
            <w:r>
              <w:rPr>
                <w:rFonts w:hint="eastAsia" w:ascii="Times New Roman" w:hAnsi="Times New Roman" w:cs="Times New Roman"/>
                <w:color w:val="auto"/>
                <w:kern w:val="0"/>
                <w:szCs w:val="24"/>
              </w:rPr>
              <w:t>等</w:t>
            </w:r>
            <w:r>
              <w:rPr>
                <w:rFonts w:ascii="Times New Roman" w:hAnsi="Times New Roman" w:cs="Times New Roman"/>
                <w:color w:val="auto"/>
                <w:kern w:val="0"/>
                <w:szCs w:val="24"/>
              </w:rPr>
              <w:t>。</w:t>
            </w:r>
            <w:r>
              <w:rPr>
                <w:rFonts w:hint="eastAsia"/>
                <w:color w:val="auto"/>
                <w:lang w:val="en-US" w:eastAsia="zh-CN"/>
              </w:rPr>
              <w:t>水雾</w:t>
            </w:r>
            <w:r>
              <w:rPr>
                <w:rFonts w:hint="eastAsia"/>
                <w:color w:val="auto"/>
                <w:sz w:val="24"/>
                <w:lang w:eastAsia="zh-CN"/>
              </w:rPr>
              <w:t>除尘废水与产品冷却废水均循环使用，定期补充水量，不外排。</w:t>
            </w:r>
            <w:r>
              <w:rPr>
                <w:rFonts w:ascii="Times New Roman" w:hAnsi="Times New Roman" w:cs="Times New Roman"/>
                <w:color w:val="auto"/>
                <w:szCs w:val="24"/>
              </w:rPr>
              <w:t>因此本项目水污染评价等级为三级B。</w:t>
            </w:r>
          </w:p>
          <w:p>
            <w:pPr>
              <w:pStyle w:val="33"/>
              <w:rPr>
                <w:rFonts w:hint="eastAsia" w:ascii="Times New Roman" w:hAnsi="Times New Roman" w:cs="Times New Roman"/>
                <w:color w:val="auto"/>
                <w:kern w:val="0"/>
                <w:szCs w:val="24"/>
              </w:rPr>
            </w:pPr>
            <w:r>
              <w:rPr>
                <w:rFonts w:hint="eastAsia" w:ascii="Times New Roman" w:hAnsi="Times New Roman" w:cs="Times New Roman"/>
                <w:color w:val="auto"/>
                <w:kern w:val="0"/>
                <w:szCs w:val="24"/>
              </w:rPr>
              <w:t>依据《环境影响评价技术导则-地表水环境》(HJ2.3-2018)，三级B评价项目可不开展区域污染源调查。</w:t>
            </w:r>
          </w:p>
          <w:p>
            <w:pPr>
              <w:spacing w:line="360" w:lineRule="auto"/>
              <w:ind w:firstLine="482" w:firstLineChars="200"/>
              <w:jc w:val="left"/>
              <w:rPr>
                <w:rFonts w:hint="eastAsia" w:cs="Times New Roman"/>
                <w:b/>
                <w:bCs/>
                <w:color w:val="auto"/>
                <w:sz w:val="24"/>
                <w:szCs w:val="24"/>
                <w:lang w:val="en-US" w:eastAsia="zh-CN"/>
              </w:rPr>
            </w:pPr>
            <w:r>
              <w:rPr>
                <w:rFonts w:hint="eastAsia" w:cs="Times New Roman"/>
                <w:b/>
                <w:bCs/>
                <w:color w:val="auto"/>
                <w:sz w:val="24"/>
                <w:szCs w:val="24"/>
                <w:lang w:val="en-US" w:eastAsia="zh-CN"/>
              </w:rPr>
              <w:t>2.2水污染物产生量及处置措施分析</w:t>
            </w:r>
          </w:p>
          <w:p>
            <w:pPr>
              <w:pStyle w:val="32"/>
              <w:ind w:firstLine="480"/>
              <w:rPr>
                <w:rFonts w:hint="eastAsia" w:ascii="Times New Roman"/>
                <w:color w:val="auto"/>
              </w:rPr>
            </w:pPr>
            <w:r>
              <w:rPr>
                <w:color w:val="auto"/>
                <w:sz w:val="24"/>
              </w:rPr>
              <w:t>本</w:t>
            </w:r>
            <w:r>
              <w:rPr>
                <w:color w:val="auto"/>
                <w:sz w:val="24"/>
                <w:szCs w:val="32"/>
              </w:rPr>
              <w:t>项目废水主要为</w:t>
            </w:r>
            <w:r>
              <w:rPr>
                <w:rFonts w:hint="eastAsia"/>
                <w:color w:val="auto"/>
                <w:lang w:val="en-US" w:eastAsia="zh-CN"/>
              </w:rPr>
              <w:t>水雾</w:t>
            </w:r>
            <w:r>
              <w:rPr>
                <w:color w:val="auto"/>
                <w:sz w:val="24"/>
                <w:szCs w:val="32"/>
              </w:rPr>
              <w:t>除尘废水</w:t>
            </w:r>
            <w:r>
              <w:rPr>
                <w:rFonts w:hint="eastAsia"/>
                <w:color w:val="auto"/>
                <w:sz w:val="24"/>
                <w:szCs w:val="32"/>
                <w:lang w:eastAsia="zh-CN"/>
              </w:rPr>
              <w:t>、产品冷却水</w:t>
            </w:r>
            <w:r>
              <w:rPr>
                <w:color w:val="auto"/>
                <w:sz w:val="24"/>
              </w:rPr>
              <w:t>。</w:t>
            </w:r>
          </w:p>
          <w:p>
            <w:pPr>
              <w:pStyle w:val="32"/>
              <w:keepNext w:val="0"/>
              <w:keepLines w:val="0"/>
              <w:pageBreakBefore w:val="0"/>
              <w:widowControl w:val="0"/>
              <w:kinsoku/>
              <w:wordWrap/>
              <w:overflowPunct/>
              <w:topLinePunct w:val="0"/>
              <w:bidi w:val="0"/>
              <w:ind w:firstLine="480" w:firstLineChars="200"/>
              <w:textAlignment w:val="auto"/>
              <w:rPr>
                <w:rFonts w:hint="eastAsia" w:ascii="Times New Roman"/>
                <w:color w:val="auto"/>
              </w:rPr>
            </w:pPr>
            <w:r>
              <w:rPr>
                <w:rFonts w:hint="eastAsia" w:ascii="Times New Roman"/>
                <w:color w:val="auto"/>
              </w:rPr>
              <w:t>（</w:t>
            </w:r>
            <w:r>
              <w:rPr>
                <w:rFonts w:hint="eastAsia"/>
                <w:color w:val="auto"/>
                <w:lang w:val="en-US" w:eastAsia="zh-CN"/>
              </w:rPr>
              <w:t>1</w:t>
            </w:r>
            <w:r>
              <w:rPr>
                <w:rFonts w:hint="eastAsia" w:ascii="Times New Roman"/>
                <w:color w:val="auto"/>
              </w:rPr>
              <w:t>）</w:t>
            </w:r>
            <w:r>
              <w:rPr>
                <w:rFonts w:hint="eastAsia"/>
                <w:color w:val="auto"/>
                <w:lang w:val="en-US" w:eastAsia="zh-CN"/>
              </w:rPr>
              <w:t>水雾</w:t>
            </w:r>
            <w:r>
              <w:rPr>
                <w:rFonts w:hint="eastAsia"/>
                <w:color w:val="auto"/>
                <w:sz w:val="24"/>
                <w:lang w:eastAsia="zh-CN"/>
              </w:rPr>
              <w:t>除尘废</w:t>
            </w:r>
            <w:r>
              <w:rPr>
                <w:rFonts w:hint="eastAsia" w:ascii="Times New Roman"/>
                <w:color w:val="auto"/>
              </w:rPr>
              <w:t>水</w:t>
            </w:r>
          </w:p>
          <w:p>
            <w:pPr>
              <w:keepNext w:val="0"/>
              <w:keepLines w:val="0"/>
              <w:pageBreakBefore w:val="0"/>
              <w:widowControl w:val="0"/>
              <w:kinsoku/>
              <w:wordWrap/>
              <w:overflowPunct/>
              <w:topLinePunct w:val="0"/>
              <w:bidi w:val="0"/>
              <w:spacing w:line="360" w:lineRule="auto"/>
              <w:ind w:firstLine="480" w:firstLineChars="200"/>
              <w:jc w:val="left"/>
              <w:textAlignment w:val="auto"/>
              <w:rPr>
                <w:rFonts w:hint="eastAsia" w:ascii="Times New Roman"/>
                <w:color w:val="auto"/>
              </w:rPr>
            </w:pPr>
            <w:r>
              <w:rPr>
                <w:rFonts w:hint="eastAsia"/>
                <w:color w:val="auto"/>
                <w:sz w:val="24"/>
              </w:rPr>
              <w:t>水膜</w:t>
            </w:r>
            <w:r>
              <w:rPr>
                <w:color w:val="auto"/>
                <w:sz w:val="24"/>
              </w:rPr>
              <w:t>除尘废水经沉淀</w:t>
            </w:r>
            <w:r>
              <w:rPr>
                <w:rFonts w:hint="eastAsia"/>
                <w:color w:val="auto"/>
                <w:sz w:val="24"/>
                <w:lang w:eastAsia="zh-CN"/>
              </w:rPr>
              <w:t>沉淀</w:t>
            </w:r>
            <w:r>
              <w:rPr>
                <w:color w:val="auto"/>
                <w:sz w:val="24"/>
              </w:rPr>
              <w:t>后循环使用不外排，定期补充损耗，除尘设施循环用水量为</w:t>
            </w:r>
            <w:r>
              <w:rPr>
                <w:rFonts w:hint="eastAsia"/>
                <w:color w:val="auto"/>
                <w:sz w:val="24"/>
                <w:lang w:val="en-US" w:eastAsia="zh-CN"/>
              </w:rPr>
              <w:t>10</w:t>
            </w:r>
            <w:r>
              <w:rPr>
                <w:color w:val="auto"/>
                <w:sz w:val="24"/>
              </w:rPr>
              <w:t>m</w:t>
            </w:r>
            <w:r>
              <w:rPr>
                <w:color w:val="auto"/>
                <w:sz w:val="24"/>
                <w:vertAlign w:val="superscript"/>
              </w:rPr>
              <w:t>3</w:t>
            </w:r>
            <w:r>
              <w:rPr>
                <w:color w:val="auto"/>
                <w:sz w:val="24"/>
              </w:rPr>
              <w:t>/h，</w:t>
            </w:r>
            <w:r>
              <w:rPr>
                <w:rFonts w:hint="eastAsia"/>
                <w:color w:val="auto"/>
                <w:sz w:val="24"/>
                <w:lang w:val="en-US" w:eastAsia="zh-CN"/>
              </w:rPr>
              <w:t>240</w:t>
            </w:r>
            <w:r>
              <w:rPr>
                <w:color w:val="auto"/>
                <w:sz w:val="24"/>
              </w:rPr>
              <w:t>m</w:t>
            </w:r>
            <w:r>
              <w:rPr>
                <w:color w:val="auto"/>
                <w:sz w:val="24"/>
                <w:vertAlign w:val="superscript"/>
              </w:rPr>
              <w:t>3</w:t>
            </w:r>
            <w:r>
              <w:rPr>
                <w:color w:val="auto"/>
                <w:sz w:val="24"/>
              </w:rPr>
              <w:t>/d，循环过程中约有5</w:t>
            </w:r>
            <w:r>
              <w:rPr>
                <w:rFonts w:hint="default" w:ascii="Times New Roman" w:hAnsi="Times New Roman" w:cs="Times New Roman"/>
                <w:color w:val="auto"/>
                <w:sz w:val="24"/>
              </w:rPr>
              <w:t>％</w:t>
            </w:r>
            <w:r>
              <w:rPr>
                <w:color w:val="auto"/>
                <w:sz w:val="24"/>
              </w:rPr>
              <w:t>水损耗掉，补充水量为</w:t>
            </w:r>
            <w:r>
              <w:rPr>
                <w:rFonts w:hint="eastAsia"/>
                <w:color w:val="auto"/>
                <w:sz w:val="24"/>
                <w:lang w:val="en-US" w:eastAsia="zh-CN"/>
              </w:rPr>
              <w:t>0.5</w:t>
            </w:r>
            <w:r>
              <w:rPr>
                <w:color w:val="auto"/>
                <w:sz w:val="24"/>
              </w:rPr>
              <w:t>m</w:t>
            </w:r>
            <w:r>
              <w:rPr>
                <w:color w:val="auto"/>
                <w:sz w:val="24"/>
                <w:vertAlign w:val="superscript"/>
              </w:rPr>
              <w:t>3</w:t>
            </w:r>
            <w:r>
              <w:rPr>
                <w:color w:val="auto"/>
                <w:sz w:val="24"/>
              </w:rPr>
              <w:t>/h，12m</w:t>
            </w:r>
            <w:r>
              <w:rPr>
                <w:color w:val="auto"/>
                <w:sz w:val="24"/>
                <w:vertAlign w:val="superscript"/>
              </w:rPr>
              <w:t>3</w:t>
            </w:r>
            <w:r>
              <w:rPr>
                <w:color w:val="auto"/>
                <w:sz w:val="24"/>
              </w:rPr>
              <w:t>/d。</w:t>
            </w:r>
          </w:p>
          <w:p>
            <w:pPr>
              <w:pStyle w:val="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color w:val="auto"/>
              </w:rPr>
            </w:pPr>
            <w:r>
              <w:rPr>
                <w:rFonts w:hint="eastAsia" w:ascii="Times New Roman"/>
                <w:color w:val="auto"/>
              </w:rPr>
              <w:t>（</w:t>
            </w:r>
            <w:r>
              <w:rPr>
                <w:rFonts w:hint="eastAsia"/>
                <w:color w:val="auto"/>
                <w:lang w:val="en-US" w:eastAsia="zh-CN"/>
              </w:rPr>
              <w:t>2</w:t>
            </w:r>
            <w:r>
              <w:rPr>
                <w:rFonts w:hint="eastAsia" w:ascii="Times New Roman"/>
                <w:color w:val="auto"/>
              </w:rPr>
              <w:t>）</w:t>
            </w:r>
            <w:r>
              <w:rPr>
                <w:rFonts w:hint="eastAsia"/>
                <w:color w:val="auto"/>
                <w:sz w:val="24"/>
                <w:szCs w:val="32"/>
                <w:lang w:eastAsia="zh-CN"/>
              </w:rPr>
              <w:t>产品冷却水</w:t>
            </w:r>
          </w:p>
          <w:p>
            <w:pPr>
              <w:pStyle w:val="2"/>
              <w:spacing w:line="360" w:lineRule="auto"/>
              <w:ind w:firstLine="480" w:firstLineChars="200"/>
              <w:rPr>
                <w:rFonts w:hint="eastAsia" w:ascii="Times New Roman" w:hAnsi="Times New Roman" w:eastAsia="宋体" w:cs="Times New Roman"/>
                <w:bCs/>
                <w:color w:val="auto"/>
                <w:szCs w:val="24"/>
                <w:lang w:eastAsia="zh-CN"/>
              </w:rPr>
            </w:pPr>
            <w:r>
              <w:rPr>
                <w:rFonts w:hint="eastAsia"/>
                <w:color w:val="auto"/>
                <w:sz w:val="24"/>
              </w:rPr>
              <w:t>炭化成型的机制炭温度较高，需采用水封池冷却方式降温处理，根据业主提供资料，产品冷却</w:t>
            </w:r>
            <w:r>
              <w:rPr>
                <w:color w:val="auto"/>
                <w:sz w:val="24"/>
              </w:rPr>
              <w:t>水量为</w:t>
            </w:r>
            <w:r>
              <w:rPr>
                <w:rFonts w:hint="eastAsia"/>
                <w:color w:val="auto"/>
                <w:sz w:val="24"/>
                <w:lang w:val="en-US" w:eastAsia="zh-CN"/>
              </w:rPr>
              <w:t>25</w:t>
            </w:r>
            <w:r>
              <w:rPr>
                <w:color w:val="auto"/>
                <w:sz w:val="24"/>
              </w:rPr>
              <w:t>m</w:t>
            </w:r>
            <w:r>
              <w:rPr>
                <w:color w:val="auto"/>
                <w:sz w:val="24"/>
                <w:vertAlign w:val="superscript"/>
              </w:rPr>
              <w:t>3</w:t>
            </w:r>
            <w:r>
              <w:rPr>
                <w:color w:val="auto"/>
                <w:sz w:val="24"/>
              </w:rPr>
              <w:t>/d，蒸发量按</w:t>
            </w:r>
            <w:r>
              <w:rPr>
                <w:rFonts w:hint="eastAsia"/>
                <w:color w:val="auto"/>
                <w:sz w:val="24"/>
              </w:rPr>
              <w:t>冷却</w:t>
            </w:r>
            <w:r>
              <w:rPr>
                <w:color w:val="auto"/>
                <w:sz w:val="24"/>
              </w:rPr>
              <w:t>水量的1%计，则补充水为</w:t>
            </w:r>
            <w:r>
              <w:rPr>
                <w:rFonts w:hint="eastAsia"/>
                <w:color w:val="auto"/>
                <w:sz w:val="24"/>
              </w:rPr>
              <w:t>0.</w:t>
            </w:r>
            <w:r>
              <w:rPr>
                <w:rFonts w:hint="eastAsia"/>
                <w:color w:val="auto"/>
                <w:sz w:val="24"/>
                <w:lang w:val="en-US" w:eastAsia="zh-CN"/>
              </w:rPr>
              <w:t>2</w:t>
            </w:r>
            <w:r>
              <w:rPr>
                <w:rFonts w:hint="eastAsia"/>
                <w:color w:val="auto"/>
                <w:sz w:val="24"/>
              </w:rPr>
              <w:t>5</w:t>
            </w:r>
            <w:r>
              <w:rPr>
                <w:color w:val="auto"/>
                <w:sz w:val="24"/>
              </w:rPr>
              <w:t>m</w:t>
            </w:r>
            <w:r>
              <w:rPr>
                <w:color w:val="auto"/>
                <w:sz w:val="24"/>
                <w:vertAlign w:val="superscript"/>
              </w:rPr>
              <w:t>3</w:t>
            </w:r>
            <w:r>
              <w:rPr>
                <w:color w:val="auto"/>
                <w:sz w:val="24"/>
              </w:rPr>
              <w:t>/d（</w:t>
            </w:r>
            <w:r>
              <w:rPr>
                <w:rFonts w:hint="eastAsia"/>
                <w:color w:val="auto"/>
                <w:sz w:val="24"/>
                <w:lang w:val="en-US" w:eastAsia="zh-CN"/>
              </w:rPr>
              <w:t>75</w:t>
            </w:r>
            <w:r>
              <w:rPr>
                <w:color w:val="auto"/>
                <w:sz w:val="24"/>
              </w:rPr>
              <w:t>m</w:t>
            </w:r>
            <w:r>
              <w:rPr>
                <w:color w:val="auto"/>
                <w:sz w:val="24"/>
                <w:vertAlign w:val="superscript"/>
              </w:rPr>
              <w:t>3</w:t>
            </w:r>
            <w:r>
              <w:rPr>
                <w:color w:val="auto"/>
                <w:sz w:val="24"/>
              </w:rPr>
              <w:t>/a）。</w:t>
            </w:r>
            <w:r>
              <w:rPr>
                <w:rFonts w:hint="eastAsia"/>
                <w:color w:val="auto"/>
                <w:sz w:val="24"/>
              </w:rPr>
              <w:t>冷却废水经冷却池收集后</w:t>
            </w:r>
            <w:r>
              <w:rPr>
                <w:color w:val="auto"/>
                <w:sz w:val="24"/>
              </w:rPr>
              <w:t>循环使用，不外排</w:t>
            </w:r>
            <w:r>
              <w:rPr>
                <w:rFonts w:hint="eastAsia"/>
                <w:color w:val="auto"/>
                <w:sz w:val="24"/>
              </w:rPr>
              <w:t>，定期补充新鲜水</w:t>
            </w:r>
            <w:r>
              <w:rPr>
                <w:rFonts w:hint="eastAsia"/>
                <w:color w:val="auto"/>
                <w:sz w:val="24"/>
                <w:lang w:eastAsia="zh-CN"/>
              </w:rPr>
              <w:t>。</w:t>
            </w:r>
          </w:p>
          <w:p>
            <w:pPr>
              <w:pStyle w:val="2"/>
              <w:spacing w:line="360" w:lineRule="auto"/>
              <w:ind w:firstLine="480" w:firstLineChars="200"/>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综上，本项目废水对周边水环境影响很小。</w:t>
            </w:r>
          </w:p>
          <w:p>
            <w:pPr>
              <w:pStyle w:val="33"/>
              <w:rPr>
                <w:rFonts w:hint="eastAsia" w:ascii="Times New Roman"/>
                <w:color w:val="auto"/>
              </w:rPr>
            </w:pPr>
            <w:r>
              <w:rPr>
                <w:rFonts w:hint="eastAsia" w:ascii="Times New Roman"/>
                <w:color w:val="auto"/>
              </w:rPr>
              <w:t>本项目地表水环境影响评价自查表见</w:t>
            </w:r>
            <w:r>
              <w:rPr>
                <w:rFonts w:ascii="Times New Roman"/>
                <w:color w:val="auto"/>
              </w:rPr>
              <w:t>附表</w:t>
            </w:r>
            <w:r>
              <w:rPr>
                <w:rFonts w:hint="eastAsia" w:ascii="Times New Roman"/>
                <w:color w:val="auto"/>
              </w:rPr>
              <w:t>。</w:t>
            </w:r>
          </w:p>
          <w:bookmarkEnd w:id="17"/>
          <w:p>
            <w:pPr>
              <w:spacing w:line="360" w:lineRule="auto"/>
              <w:rPr>
                <w:rFonts w:ascii="Times New Roman" w:hAnsi="Times New Roman"/>
                <w:b/>
                <w:color w:val="auto"/>
                <w:sz w:val="24"/>
                <w:szCs w:val="24"/>
              </w:rPr>
            </w:pPr>
            <w:r>
              <w:rPr>
                <w:rFonts w:hint="eastAsia" w:ascii="Times New Roman" w:hAnsi="Times New Roman"/>
                <w:b/>
                <w:color w:val="auto"/>
                <w:sz w:val="24"/>
                <w:szCs w:val="24"/>
              </w:rPr>
              <w:t>3 营运期声</w:t>
            </w:r>
            <w:r>
              <w:rPr>
                <w:rFonts w:ascii="Times New Roman" w:hAnsi="Times New Roman"/>
                <w:b/>
                <w:color w:val="auto"/>
                <w:sz w:val="24"/>
                <w:szCs w:val="24"/>
              </w:rPr>
              <w:t>环境影响分析</w:t>
            </w:r>
          </w:p>
          <w:p>
            <w:pPr>
              <w:pStyle w:val="2"/>
              <w:keepNext w:val="0"/>
              <w:keepLines w:val="0"/>
              <w:suppressLineNumbers w:val="0"/>
              <w:spacing w:before="0" w:beforeAutospacing="0" w:after="0" w:afterAutospacing="0" w:line="360" w:lineRule="auto"/>
              <w:ind w:left="0" w:right="0" w:firstLine="480" w:firstLineChars="200"/>
              <w:rPr>
                <w:rFonts w:hint="eastAsia" w:eastAsia="宋体"/>
                <w:color w:val="auto"/>
                <w:lang w:eastAsia="zh-CN"/>
              </w:rPr>
            </w:pPr>
            <w:r>
              <w:rPr>
                <w:rFonts w:hint="eastAsia" w:asciiTheme="minorEastAsia" w:hAnsiTheme="minorEastAsia" w:eastAsiaTheme="minorEastAsia" w:cstheme="minorEastAsia"/>
                <w:bCs/>
                <w:color w:val="auto"/>
                <w:kern w:val="0"/>
                <w:sz w:val="24"/>
                <w:szCs w:val="24"/>
              </w:rPr>
              <w:t>本项目</w:t>
            </w:r>
            <w:r>
              <w:rPr>
                <w:rFonts w:hint="eastAsia" w:asciiTheme="minorEastAsia" w:hAnsiTheme="minorEastAsia" w:eastAsiaTheme="minorEastAsia" w:cstheme="minorEastAsia"/>
                <w:bCs/>
                <w:color w:val="auto"/>
                <w:kern w:val="0"/>
                <w:sz w:val="24"/>
                <w:szCs w:val="24"/>
                <w:lang w:eastAsia="zh-CN"/>
              </w:rPr>
              <w:t>主要</w:t>
            </w:r>
            <w:r>
              <w:rPr>
                <w:rFonts w:hint="eastAsia" w:asciiTheme="minorEastAsia" w:hAnsiTheme="minorEastAsia" w:eastAsiaTheme="minorEastAsia" w:cstheme="minorEastAsia"/>
                <w:bCs/>
                <w:color w:val="auto"/>
                <w:kern w:val="0"/>
                <w:sz w:val="24"/>
                <w:szCs w:val="24"/>
              </w:rPr>
              <w:t>噪声</w:t>
            </w:r>
            <w:r>
              <w:rPr>
                <w:rFonts w:hint="eastAsia" w:asciiTheme="minorEastAsia" w:hAnsiTheme="minorEastAsia" w:eastAsiaTheme="minorEastAsia" w:cstheme="minorEastAsia"/>
                <w:bCs/>
                <w:color w:val="auto"/>
                <w:kern w:val="0"/>
                <w:sz w:val="24"/>
                <w:szCs w:val="24"/>
                <w:lang w:eastAsia="zh-CN"/>
              </w:rPr>
              <w:t>源有</w:t>
            </w:r>
            <w:r>
              <w:rPr>
                <w:rFonts w:hint="eastAsia" w:ascii="Times New Roman" w:hAnsi="Times New Roman"/>
                <w:color w:val="auto"/>
                <w:sz w:val="24"/>
                <w:szCs w:val="24"/>
                <w:lang w:eastAsia="zh-CN"/>
              </w:rPr>
              <w:t>粉碎机、烘干机、</w:t>
            </w:r>
            <w:r>
              <w:rPr>
                <w:rFonts w:hint="eastAsia" w:ascii="Times New Roman" w:hAnsi="Times New Roman"/>
                <w:color w:val="auto"/>
                <w:sz w:val="24"/>
                <w:szCs w:val="24"/>
              </w:rPr>
              <w:t>制棒机</w:t>
            </w:r>
            <w:r>
              <w:rPr>
                <w:rFonts w:hint="eastAsia" w:ascii="Times New Roman" w:hAnsi="Times New Roman"/>
                <w:color w:val="auto"/>
                <w:sz w:val="24"/>
                <w:szCs w:val="24"/>
                <w:lang w:eastAsia="zh-CN"/>
              </w:rPr>
              <w:t>、引风机、循环水泵、</w:t>
            </w:r>
            <w:r>
              <w:rPr>
                <w:rFonts w:hint="eastAsia"/>
                <w:color w:val="auto"/>
                <w:sz w:val="24"/>
                <w:szCs w:val="24"/>
              </w:rPr>
              <w:t>装载机</w:t>
            </w:r>
            <w:r>
              <w:rPr>
                <w:rFonts w:hint="eastAsia" w:ascii="Times New Roman" w:hAnsi="Times New Roman"/>
                <w:color w:val="auto"/>
                <w:sz w:val="24"/>
                <w:szCs w:val="24"/>
                <w:lang w:eastAsia="zh-CN"/>
              </w:rPr>
              <w:t>，以及</w:t>
            </w:r>
            <w:r>
              <w:rPr>
                <w:rFonts w:hint="eastAsia" w:asciiTheme="minorEastAsia" w:hAnsiTheme="minorEastAsia" w:eastAsiaTheme="minorEastAsia" w:cstheme="minorEastAsia"/>
                <w:color w:val="auto"/>
                <w:sz w:val="24"/>
                <w:szCs w:val="24"/>
              </w:rPr>
              <w:t>运输车辆产生的</w:t>
            </w:r>
            <w:r>
              <w:rPr>
                <w:rFonts w:hint="eastAsia" w:asciiTheme="minorEastAsia" w:hAnsiTheme="minorEastAsia" w:eastAsiaTheme="minorEastAsia" w:cstheme="minorEastAsia"/>
                <w:color w:val="auto"/>
                <w:sz w:val="24"/>
                <w:szCs w:val="24"/>
                <w:lang w:eastAsia="zh-CN"/>
              </w:rPr>
              <w:t>交通</w:t>
            </w:r>
            <w:r>
              <w:rPr>
                <w:rFonts w:hint="eastAsia" w:asciiTheme="minorEastAsia" w:hAnsiTheme="minorEastAsia" w:eastAsiaTheme="minorEastAsia" w:cstheme="minorEastAsia"/>
                <w:color w:val="auto"/>
                <w:sz w:val="24"/>
                <w:szCs w:val="24"/>
              </w:rPr>
              <w:t>噪声。</w:t>
            </w:r>
            <w:r>
              <w:rPr>
                <w:rFonts w:hint="eastAsia" w:ascii="Times New Roman" w:hAnsi="Times New Roman"/>
                <w:color w:val="auto"/>
                <w:sz w:val="24"/>
              </w:rPr>
              <w:t>其单机</w:t>
            </w:r>
            <w:r>
              <w:rPr>
                <w:rFonts w:hint="eastAsia"/>
                <w:color w:val="auto"/>
                <w:sz w:val="24"/>
                <w:lang w:val="en-US" w:eastAsia="zh-CN"/>
              </w:rPr>
              <w:t>噪声</w:t>
            </w:r>
            <w:r>
              <w:rPr>
                <w:rFonts w:hint="eastAsia" w:ascii="Times New Roman" w:hAnsi="Times New Roman"/>
                <w:color w:val="auto"/>
                <w:sz w:val="24"/>
              </w:rPr>
              <w:t>源75~</w:t>
            </w:r>
            <w:r>
              <w:rPr>
                <w:rFonts w:hint="eastAsia" w:ascii="Times New Roman" w:hAnsi="Times New Roman"/>
                <w:color w:val="auto"/>
                <w:sz w:val="24"/>
                <w:lang w:val="en-US" w:eastAsia="zh-CN"/>
              </w:rPr>
              <w:t>115</w:t>
            </w:r>
            <w:r>
              <w:rPr>
                <w:rFonts w:hint="eastAsia" w:ascii="Times New Roman" w:hAnsi="Times New Roman"/>
                <w:color w:val="auto"/>
                <w:sz w:val="24"/>
              </w:rPr>
              <w:t>dB(A)</w:t>
            </w:r>
            <w:r>
              <w:rPr>
                <w:rFonts w:hint="eastAsia"/>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eastAsia="宋体"/>
                <w:color w:val="auto"/>
                <w:sz w:val="24"/>
                <w:szCs w:val="24"/>
                <w:lang w:val="en-US" w:eastAsia="zh-CN"/>
              </w:rPr>
            </w:pPr>
            <w:r>
              <w:rPr>
                <w:rFonts w:hint="eastAsia"/>
                <w:color w:val="auto"/>
                <w:sz w:val="24"/>
                <w:szCs w:val="24"/>
                <w:lang w:val="en-US" w:eastAsia="zh-CN"/>
              </w:rPr>
              <w:t>本项目场址西北两侧是山体，山上树木茂密，噪声源主要集中在南北两侧山体的中间地带，周边噪声敏感建筑物少且多受到山体的阻隔，山体成为噪声的天然屏障。设备噪声</w:t>
            </w:r>
            <w:r>
              <w:rPr>
                <w:rFonts w:hint="eastAsia" w:ascii="Times New Roman" w:hAnsi="Times New Roman"/>
                <w:color w:val="auto"/>
                <w:sz w:val="24"/>
                <w:szCs w:val="20"/>
              </w:rPr>
              <w:t>经基础减振</w:t>
            </w:r>
            <w:r>
              <w:rPr>
                <w:rFonts w:hint="eastAsia"/>
                <w:color w:val="auto"/>
                <w:sz w:val="24"/>
                <w:szCs w:val="20"/>
                <w:lang w:eastAsia="zh-CN"/>
              </w:rPr>
              <w:t>、</w:t>
            </w:r>
            <w:r>
              <w:rPr>
                <w:rFonts w:hint="eastAsia"/>
                <w:color w:val="auto"/>
                <w:sz w:val="24"/>
                <w:szCs w:val="24"/>
                <w:lang w:val="en-US" w:eastAsia="zh-CN"/>
              </w:rPr>
              <w:t>山体阻隔、植被吸收后，不会对周边噪声敏感点产生噪声污染影响。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sz w:val="24"/>
                <w:szCs w:val="20"/>
              </w:rPr>
            </w:pPr>
            <w:r>
              <w:rPr>
                <w:rFonts w:hint="eastAsia" w:ascii="Times New Roman" w:hAnsi="Times New Roman"/>
                <w:color w:val="auto"/>
                <w:sz w:val="24"/>
                <w:szCs w:val="20"/>
              </w:rPr>
              <w:t>为进一步降低项目运营期噪声污染对周围环境的影响程度，保证项目厂界满足《工业企业厂界环境噪声排放标准》（GB12348-2008）中的2类声环境功能区要求限值，本报告建议建设单位采取以下防治措施：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sz w:val="24"/>
                <w:szCs w:val="20"/>
                <w:u w:val="none"/>
              </w:rPr>
            </w:pPr>
            <w:r>
              <w:rPr>
                <w:rFonts w:hint="eastAsia" w:ascii="Times New Roman" w:hAnsi="Times New Roman"/>
                <w:color w:val="auto"/>
                <w:sz w:val="24"/>
                <w:szCs w:val="20"/>
                <w:u w:val="none"/>
              </w:rPr>
              <w:t>①优先选用先进的低噪声设备，</w:t>
            </w:r>
            <w:r>
              <w:rPr>
                <w:rFonts w:hint="eastAsia"/>
                <w:color w:val="auto"/>
                <w:sz w:val="24"/>
                <w:szCs w:val="20"/>
                <w:u w:val="none"/>
                <w:lang w:val="en-US" w:eastAsia="zh-CN"/>
              </w:rPr>
              <w:t>特别是粉碎机</w:t>
            </w:r>
            <w:r>
              <w:rPr>
                <w:rFonts w:hint="eastAsia" w:ascii="Times New Roman" w:hAnsi="Times New Roman"/>
                <w:color w:val="auto"/>
                <w:sz w:val="24"/>
                <w:szCs w:val="20"/>
                <w:u w:val="none"/>
              </w:rPr>
              <w:t>，从源头降低噪声</w:t>
            </w:r>
            <w:r>
              <w:rPr>
                <w:rFonts w:hint="eastAsia"/>
                <w:color w:val="auto"/>
                <w:sz w:val="24"/>
                <w:szCs w:val="20"/>
                <w:u w:val="none"/>
                <w:lang w:val="en-US" w:eastAsia="zh-CN"/>
              </w:rPr>
              <w:t>源强</w:t>
            </w:r>
            <w:r>
              <w:rPr>
                <w:rFonts w:hint="eastAsia" w:ascii="Times New Roman" w:hAnsi="Times New Roman"/>
                <w:color w:val="auto"/>
                <w:sz w:val="24"/>
                <w:szCs w:val="20"/>
                <w:u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sz w:val="24"/>
                <w:szCs w:val="20"/>
                <w:u w:val="none"/>
              </w:rPr>
            </w:pPr>
            <w:r>
              <w:rPr>
                <w:rFonts w:hint="eastAsia" w:ascii="Times New Roman" w:hAnsi="Times New Roman"/>
                <w:color w:val="auto"/>
                <w:sz w:val="24"/>
                <w:szCs w:val="20"/>
                <w:u w:val="none"/>
              </w:rPr>
              <w:t>②</w:t>
            </w:r>
            <w:r>
              <w:rPr>
                <w:rFonts w:hint="eastAsia"/>
                <w:color w:val="auto"/>
                <w:sz w:val="24"/>
                <w:szCs w:val="20"/>
                <w:u w:val="none"/>
                <w:lang w:val="en-US" w:eastAsia="zh-CN"/>
              </w:rPr>
              <w:t>加强对设备的保养和</w:t>
            </w:r>
            <w:r>
              <w:rPr>
                <w:rFonts w:hint="eastAsia" w:ascii="Times New Roman" w:hAnsi="Times New Roman"/>
                <w:color w:val="auto"/>
                <w:sz w:val="24"/>
                <w:szCs w:val="20"/>
                <w:u w:val="none"/>
              </w:rPr>
              <w:t>定期检修维护，避免因设备故障运行而排放偶发高强度噪声。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sz w:val="24"/>
                <w:szCs w:val="20"/>
                <w:u w:val="none"/>
              </w:rPr>
            </w:pPr>
            <w:r>
              <w:rPr>
                <w:rFonts w:hint="eastAsia" w:ascii="Times New Roman" w:hAnsi="Times New Roman"/>
                <w:color w:val="auto"/>
                <w:sz w:val="24"/>
                <w:szCs w:val="20"/>
                <w:u w:val="none"/>
              </w:rPr>
              <w:t>③加强对运输车辆的管理：进出项目需减速慢行，路过居民区严禁鸣笛，全程杜绝超载。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olor w:val="auto"/>
                <w:sz w:val="24"/>
                <w:szCs w:val="20"/>
                <w:u w:val="none"/>
                <w:lang w:eastAsia="zh-CN"/>
              </w:rPr>
            </w:pPr>
            <w:r>
              <w:rPr>
                <w:rFonts w:hint="eastAsia" w:ascii="Times New Roman" w:hAnsi="Times New Roman"/>
                <w:color w:val="auto"/>
                <w:sz w:val="24"/>
                <w:szCs w:val="20"/>
                <w:u w:val="none"/>
              </w:rPr>
              <w:t>④</w:t>
            </w:r>
            <w:r>
              <w:rPr>
                <w:rFonts w:hint="eastAsia" w:ascii="Times New Roman" w:hAnsi="Times New Roman"/>
                <w:b w:val="0"/>
                <w:bCs w:val="0"/>
                <w:color w:val="auto"/>
                <w:sz w:val="24"/>
                <w:szCs w:val="20"/>
                <w:u w:val="none"/>
              </w:rPr>
              <w:t>合理</w:t>
            </w:r>
            <w:r>
              <w:rPr>
                <w:rFonts w:hint="eastAsia" w:ascii="Times New Roman" w:hAnsi="Times New Roman"/>
                <w:b w:val="0"/>
                <w:bCs w:val="0"/>
                <w:color w:val="auto"/>
                <w:sz w:val="24"/>
                <w:szCs w:val="20"/>
                <w:u w:val="none"/>
                <w:lang w:eastAsia="zh-CN"/>
              </w:rPr>
              <w:t>优化平面</w:t>
            </w:r>
            <w:r>
              <w:rPr>
                <w:rFonts w:hint="eastAsia" w:ascii="Times New Roman" w:hAnsi="Times New Roman"/>
                <w:b w:val="0"/>
                <w:bCs w:val="0"/>
                <w:color w:val="auto"/>
                <w:sz w:val="24"/>
                <w:szCs w:val="20"/>
                <w:u w:val="none"/>
              </w:rPr>
              <w:t>布局</w:t>
            </w:r>
            <w:r>
              <w:rPr>
                <w:rFonts w:hint="eastAsia" w:ascii="Times New Roman" w:hAnsi="Times New Roman"/>
                <w:b w:val="0"/>
                <w:bCs w:val="0"/>
                <w:color w:val="auto"/>
                <w:sz w:val="24"/>
                <w:szCs w:val="20"/>
                <w:u w:val="none"/>
                <w:lang w:eastAsia="zh-CN"/>
              </w:rPr>
              <w:t>，</w:t>
            </w:r>
            <w:r>
              <w:rPr>
                <w:rFonts w:hint="eastAsia" w:ascii="Times New Roman" w:hAnsi="Times New Roman"/>
                <w:color w:val="auto"/>
                <w:sz w:val="24"/>
                <w:szCs w:val="20"/>
                <w:u w:val="none"/>
              </w:rPr>
              <w:t>高噪声设备尽量布设在项目中央（远离</w:t>
            </w:r>
            <w:r>
              <w:rPr>
                <w:rFonts w:hint="eastAsia" w:ascii="Times New Roman" w:hAnsi="Times New Roman"/>
                <w:color w:val="auto"/>
                <w:sz w:val="24"/>
                <w:szCs w:val="20"/>
                <w:u w:val="none"/>
                <w:lang w:val="en-US" w:eastAsia="zh-CN"/>
              </w:rPr>
              <w:t>西</w:t>
            </w:r>
            <w:r>
              <w:rPr>
                <w:rFonts w:hint="eastAsia" w:ascii="Times New Roman" w:hAnsi="Times New Roman"/>
                <w:color w:val="auto"/>
                <w:sz w:val="24"/>
                <w:szCs w:val="20"/>
                <w:u w:val="none"/>
                <w:lang w:eastAsia="zh-CN"/>
              </w:rPr>
              <w:t>北</w:t>
            </w:r>
            <w:r>
              <w:rPr>
                <w:rFonts w:hint="eastAsia" w:ascii="Times New Roman" w:hAnsi="Times New Roman"/>
                <w:color w:val="auto"/>
                <w:sz w:val="24"/>
                <w:szCs w:val="20"/>
                <w:u w:val="none"/>
                <w:lang w:val="en-US" w:eastAsia="zh-CN"/>
              </w:rPr>
              <w:t>侧噪声</w:t>
            </w:r>
            <w:r>
              <w:rPr>
                <w:rFonts w:hint="eastAsia" w:ascii="Times New Roman" w:hAnsi="Times New Roman"/>
                <w:color w:val="auto"/>
                <w:sz w:val="24"/>
                <w:szCs w:val="20"/>
                <w:u w:val="none"/>
              </w:rPr>
              <w:t>敏感点）</w:t>
            </w:r>
            <w:r>
              <w:rPr>
                <w:rFonts w:hint="eastAsia" w:ascii="Times New Roman" w:hAnsi="Times New Roman"/>
                <w:color w:val="auto"/>
                <w:sz w:val="24"/>
                <w:szCs w:val="20"/>
                <w:u w:val="none"/>
                <w:lang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Cs w:val="24"/>
              </w:rPr>
            </w:pPr>
            <w:r>
              <w:rPr>
                <w:rFonts w:hint="eastAsia" w:ascii="Times New Roman" w:hAnsi="Times New Roman"/>
                <w:color w:val="auto"/>
                <w:sz w:val="24"/>
                <w:szCs w:val="20"/>
              </w:rPr>
              <w:t>采取上述措施后，运营期</w:t>
            </w:r>
            <w:r>
              <w:rPr>
                <w:rFonts w:hint="eastAsia"/>
                <w:color w:val="auto"/>
                <w:sz w:val="24"/>
                <w:szCs w:val="20"/>
                <w:lang w:val="en-US" w:eastAsia="zh-CN"/>
              </w:rPr>
              <w:t>不会对</w:t>
            </w:r>
            <w:r>
              <w:rPr>
                <w:rFonts w:hint="eastAsia" w:ascii="Times New Roman" w:hAnsi="Times New Roman"/>
                <w:color w:val="auto"/>
                <w:sz w:val="24"/>
                <w:szCs w:val="20"/>
              </w:rPr>
              <w:t>评价区域及</w:t>
            </w:r>
            <w:r>
              <w:rPr>
                <w:rFonts w:hint="eastAsia"/>
                <w:color w:val="auto"/>
                <w:sz w:val="24"/>
                <w:szCs w:val="20"/>
                <w:lang w:val="en-US" w:eastAsia="zh-CN"/>
              </w:rPr>
              <w:t>声</w:t>
            </w:r>
            <w:r>
              <w:rPr>
                <w:rFonts w:hint="eastAsia" w:ascii="Times New Roman" w:hAnsi="Times New Roman"/>
                <w:color w:val="auto"/>
                <w:sz w:val="24"/>
                <w:szCs w:val="20"/>
              </w:rPr>
              <w:t>环境敏感点</w:t>
            </w:r>
            <w:r>
              <w:rPr>
                <w:rFonts w:hint="eastAsia"/>
                <w:color w:val="auto"/>
                <w:sz w:val="24"/>
                <w:szCs w:val="20"/>
                <w:lang w:val="en-US" w:eastAsia="zh-CN"/>
              </w:rPr>
              <w:t>的</w:t>
            </w:r>
            <w:r>
              <w:rPr>
                <w:rFonts w:hint="eastAsia" w:ascii="Times New Roman" w:hAnsi="Times New Roman"/>
                <w:color w:val="auto"/>
                <w:sz w:val="24"/>
                <w:szCs w:val="20"/>
              </w:rPr>
              <w:t>声环境质量</w:t>
            </w:r>
            <w:r>
              <w:rPr>
                <w:rFonts w:hint="eastAsia" w:ascii="Times New Roman" w:hAnsi="Times New Roman"/>
                <w:color w:val="auto"/>
                <w:sz w:val="24"/>
                <w:szCs w:val="20"/>
                <w:lang w:val="en-US" w:eastAsia="zh-CN"/>
              </w:rPr>
              <w:t>产生明显影响</w:t>
            </w:r>
            <w:r>
              <w:rPr>
                <w:rFonts w:hint="eastAsia" w:ascii="Times New Roman" w:hAnsi="Times New Roman"/>
                <w:color w:val="auto"/>
                <w:sz w:val="24"/>
                <w:szCs w:val="20"/>
              </w:rPr>
              <w:t>。</w:t>
            </w:r>
          </w:p>
          <w:p>
            <w:pPr>
              <w:pStyle w:val="33"/>
              <w:ind w:firstLine="0" w:firstLineChars="0"/>
              <w:rPr>
                <w:rFonts w:ascii="Times New Roman" w:hAnsi="Times New Roman" w:cs="Times New Roman"/>
                <w:b/>
                <w:color w:val="auto"/>
                <w:kern w:val="0"/>
                <w:szCs w:val="24"/>
              </w:rPr>
            </w:pPr>
            <w:r>
              <w:rPr>
                <w:rFonts w:hint="eastAsia" w:ascii="Times New Roman" w:hAnsi="Times New Roman" w:cs="Times New Roman"/>
                <w:b/>
                <w:color w:val="auto"/>
                <w:kern w:val="0"/>
                <w:szCs w:val="24"/>
              </w:rPr>
              <w:t>4</w:t>
            </w:r>
            <w:r>
              <w:rPr>
                <w:rFonts w:ascii="Times New Roman" w:hAnsi="Times New Roman" w:cs="Times New Roman"/>
                <w:b/>
                <w:color w:val="auto"/>
                <w:kern w:val="0"/>
                <w:szCs w:val="24"/>
              </w:rPr>
              <w:t xml:space="preserve"> </w:t>
            </w:r>
            <w:r>
              <w:rPr>
                <w:rFonts w:hint="eastAsia" w:ascii="Times New Roman" w:hAnsi="Times New Roman" w:cs="Times New Roman"/>
                <w:b/>
                <w:color w:val="auto"/>
                <w:kern w:val="0"/>
                <w:szCs w:val="24"/>
              </w:rPr>
              <w:t>营运期固废环境影响分析</w:t>
            </w:r>
          </w:p>
          <w:p>
            <w:pPr>
              <w:spacing w:line="360" w:lineRule="auto"/>
              <w:ind w:firstLine="480" w:firstLineChars="200"/>
              <w:jc w:val="left"/>
              <w:rPr>
                <w:color w:val="auto"/>
                <w:sz w:val="24"/>
              </w:rPr>
            </w:pPr>
            <w:r>
              <w:rPr>
                <w:color w:val="auto"/>
                <w:sz w:val="24"/>
              </w:rPr>
              <w:t>项目投入营运后，产生的固体废物主要有烘干</w:t>
            </w:r>
            <w:r>
              <w:rPr>
                <w:rFonts w:hint="eastAsia"/>
                <w:color w:val="auto"/>
                <w:sz w:val="24"/>
                <w:lang w:eastAsia="zh-CN"/>
              </w:rPr>
              <w:t>机</w:t>
            </w:r>
            <w:r>
              <w:rPr>
                <w:color w:val="auto"/>
                <w:sz w:val="24"/>
              </w:rPr>
              <w:t>炉渣、沉淀池沉渣、不合格产品、员工生活垃圾</w:t>
            </w:r>
            <w:r>
              <w:rPr>
                <w:rFonts w:hint="eastAsia"/>
                <w:color w:val="auto"/>
                <w:sz w:val="24"/>
                <w:lang w:eastAsia="zh-CN"/>
              </w:rPr>
              <w:t>等</w:t>
            </w:r>
            <w:r>
              <w:rPr>
                <w:color w:val="auto"/>
                <w:sz w:val="24"/>
              </w:rPr>
              <w:t>。</w:t>
            </w:r>
          </w:p>
          <w:p>
            <w:pPr>
              <w:spacing w:line="360" w:lineRule="auto"/>
              <w:ind w:firstLine="480" w:firstLineChars="200"/>
              <w:jc w:val="left"/>
              <w:rPr>
                <w:color w:val="auto"/>
                <w:sz w:val="24"/>
              </w:rPr>
            </w:pPr>
            <w:r>
              <w:rPr>
                <w:color w:val="auto"/>
                <w:sz w:val="24"/>
              </w:rPr>
              <w:t>（1）烘干</w:t>
            </w:r>
            <w:r>
              <w:rPr>
                <w:rFonts w:hint="eastAsia"/>
                <w:color w:val="auto"/>
                <w:sz w:val="24"/>
                <w:lang w:eastAsia="zh-CN"/>
              </w:rPr>
              <w:t>机</w:t>
            </w:r>
            <w:r>
              <w:rPr>
                <w:color w:val="auto"/>
                <w:sz w:val="24"/>
              </w:rPr>
              <w:t>炉渣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color w:val="auto"/>
                <w:sz w:val="24"/>
              </w:rPr>
            </w:pPr>
            <w:r>
              <w:rPr>
                <w:color w:val="auto"/>
                <w:sz w:val="24"/>
              </w:rPr>
              <w:t>项目年用生物质燃料约</w:t>
            </w:r>
            <w:r>
              <w:rPr>
                <w:rFonts w:hint="eastAsia"/>
                <w:color w:val="auto"/>
                <w:sz w:val="24"/>
                <w:u w:val="single"/>
                <w:lang w:val="en-US" w:eastAsia="zh-CN"/>
              </w:rPr>
              <w:t>150</w:t>
            </w:r>
            <w:r>
              <w:rPr>
                <w:color w:val="auto"/>
                <w:sz w:val="24"/>
                <w:u w:val="single"/>
              </w:rPr>
              <w:t>t/a，炉渣的产生系数为耗用量的2%，即</w:t>
            </w:r>
            <w:r>
              <w:rPr>
                <w:rFonts w:hint="eastAsia"/>
                <w:color w:val="auto"/>
                <w:sz w:val="24"/>
                <w:u w:val="single"/>
                <w:lang w:val="en-US" w:eastAsia="zh-CN"/>
              </w:rPr>
              <w:t>3</w:t>
            </w:r>
            <w:r>
              <w:rPr>
                <w:color w:val="auto"/>
                <w:sz w:val="24"/>
                <w:u w:val="single"/>
              </w:rPr>
              <w:t>t/a</w:t>
            </w:r>
            <w:r>
              <w:rPr>
                <w:color w:val="auto"/>
                <w:sz w:val="24"/>
              </w:rPr>
              <w:t>。</w:t>
            </w:r>
            <w:r>
              <w:rPr>
                <w:rFonts w:hint="eastAsia" w:asciiTheme="minorEastAsia" w:hAnsiTheme="minorEastAsia" w:eastAsiaTheme="minorEastAsia" w:cstheme="minorEastAsia"/>
                <w:color w:val="auto"/>
                <w:sz w:val="24"/>
                <w:szCs w:val="24"/>
                <w:lang w:val="en-US" w:eastAsia="zh-CN"/>
              </w:rPr>
              <w:t>生物质燃料，</w:t>
            </w:r>
            <w:r>
              <w:rPr>
                <w:rFonts w:hint="eastAsia" w:asciiTheme="minorEastAsia" w:hAnsiTheme="minorEastAsia" w:eastAsiaTheme="minorEastAsia" w:cstheme="minorEastAsia"/>
                <w:color w:val="auto"/>
                <w:kern w:val="0"/>
                <w:sz w:val="24"/>
                <w:szCs w:val="24"/>
                <w:lang w:val="en-US" w:eastAsia="zh-CN" w:bidi="ar"/>
              </w:rPr>
              <w:t>其燃烧灰渣类似草木灰，呈碱性，主要成分是碳酸钾（K2CO3），燃烧灰渣是很好的含钾肥料，可送交给附近农户用做农肥。</w:t>
            </w:r>
            <w:r>
              <w:rPr>
                <w:rFonts w:hint="eastAsia" w:ascii="宋体" w:hAnsi="宋体" w:eastAsia="宋体" w:cs="宋体"/>
                <w:color w:val="auto"/>
                <w:kern w:val="0"/>
                <w:sz w:val="24"/>
                <w:szCs w:val="24"/>
                <w:lang w:val="en-US" w:eastAsia="zh-CN" w:bidi="ar"/>
              </w:rPr>
              <w:t xml:space="preserve"> </w:t>
            </w:r>
          </w:p>
          <w:p>
            <w:pPr>
              <w:spacing w:line="360" w:lineRule="auto"/>
              <w:ind w:firstLine="480" w:firstLineChars="200"/>
              <w:jc w:val="left"/>
              <w:rPr>
                <w:color w:val="auto"/>
                <w:sz w:val="24"/>
              </w:rPr>
            </w:pPr>
            <w:r>
              <w:rPr>
                <w:color w:val="auto"/>
                <w:sz w:val="24"/>
              </w:rPr>
              <w:t>（2）沉淀池沉渣</w:t>
            </w:r>
          </w:p>
          <w:p>
            <w:pPr>
              <w:spacing w:line="360" w:lineRule="auto"/>
              <w:ind w:firstLine="480" w:firstLineChars="200"/>
              <w:jc w:val="left"/>
              <w:rPr>
                <w:color w:val="auto"/>
                <w:sz w:val="24"/>
              </w:rPr>
            </w:pPr>
            <w:r>
              <w:rPr>
                <w:color w:val="auto"/>
                <w:sz w:val="24"/>
              </w:rPr>
              <w:t>沉淀池干沉渣产生总量</w:t>
            </w:r>
            <w:r>
              <w:rPr>
                <w:color w:val="auto"/>
                <w:sz w:val="24"/>
                <w:u w:val="single"/>
              </w:rPr>
              <w:t>约</w:t>
            </w:r>
            <w:r>
              <w:rPr>
                <w:rFonts w:hint="eastAsia"/>
                <w:color w:val="auto"/>
                <w:sz w:val="24"/>
                <w:u w:val="single"/>
                <w:lang w:val="en-US" w:eastAsia="zh-CN"/>
              </w:rPr>
              <w:t>33.13</w:t>
            </w:r>
            <w:r>
              <w:rPr>
                <w:color w:val="auto"/>
                <w:sz w:val="24"/>
                <w:u w:val="single"/>
              </w:rPr>
              <w:t>t/a。沉淀池污泥含水率约</w:t>
            </w:r>
            <w:r>
              <w:rPr>
                <w:rFonts w:hint="eastAsia"/>
                <w:color w:val="auto"/>
                <w:sz w:val="24"/>
                <w:u w:val="single"/>
                <w:lang w:val="en-US" w:eastAsia="zh-CN"/>
              </w:rPr>
              <w:t>3</w:t>
            </w:r>
            <w:r>
              <w:rPr>
                <w:color w:val="auto"/>
                <w:sz w:val="24"/>
                <w:u w:val="single"/>
              </w:rPr>
              <w:t>0%，则沉淀池沉渣量为</w:t>
            </w:r>
            <w:r>
              <w:rPr>
                <w:rFonts w:hint="eastAsia"/>
                <w:color w:val="auto"/>
                <w:sz w:val="24"/>
                <w:u w:val="single"/>
                <w:lang w:val="en-US" w:eastAsia="zh-CN"/>
              </w:rPr>
              <w:t>47.33</w:t>
            </w:r>
            <w:r>
              <w:rPr>
                <w:color w:val="auto"/>
                <w:sz w:val="24"/>
                <w:u w:val="single"/>
              </w:rPr>
              <w:t>t/a</w:t>
            </w:r>
            <w:r>
              <w:rPr>
                <w:color w:val="auto"/>
                <w:sz w:val="24"/>
              </w:rPr>
              <w:t>。</w:t>
            </w:r>
            <w:r>
              <w:rPr>
                <w:rFonts w:hint="eastAsia"/>
                <w:color w:val="auto"/>
                <w:sz w:val="24"/>
              </w:rPr>
              <w:t>水膜</w:t>
            </w:r>
            <w:r>
              <w:rPr>
                <w:rFonts w:hint="eastAsia" w:ascii="宋体" w:hAnsi="宋体"/>
                <w:color w:val="auto"/>
                <w:kern w:val="0"/>
                <w:sz w:val="24"/>
                <w:szCs w:val="24"/>
                <w:lang w:eastAsia="zh-CN"/>
              </w:rPr>
              <w:t>除尘污泥</w:t>
            </w:r>
            <w:r>
              <w:rPr>
                <w:rFonts w:hint="eastAsia" w:ascii="宋体" w:hAnsi="宋体"/>
                <w:color w:val="auto"/>
                <w:kern w:val="0"/>
                <w:sz w:val="24"/>
                <w:szCs w:val="24"/>
                <w:lang w:val="en-US" w:eastAsia="zh-CN"/>
              </w:rPr>
              <w:t>为</w:t>
            </w:r>
            <w:r>
              <w:rPr>
                <w:rFonts w:hint="eastAsia"/>
                <w:color w:val="auto"/>
                <w:sz w:val="24"/>
                <w:szCs w:val="24"/>
                <w:lang w:val="en-US" w:eastAsia="zh-CN"/>
              </w:rPr>
              <w:t>一般工业固废，</w:t>
            </w:r>
            <w:r>
              <w:rPr>
                <w:rFonts w:hint="eastAsia" w:ascii="宋体" w:hAnsi="宋体"/>
                <w:b w:val="0"/>
                <w:bCs w:val="0"/>
                <w:color w:val="auto"/>
                <w:kern w:val="0"/>
                <w:sz w:val="24"/>
                <w:szCs w:val="24"/>
                <w:lang w:eastAsia="zh-CN"/>
              </w:rPr>
              <w:t>主要成分仍然是生物质原料</w:t>
            </w:r>
            <w:r>
              <w:rPr>
                <w:rFonts w:hint="eastAsia" w:ascii="Times New Roman" w:hAnsi="Times New Roman"/>
                <w:b w:val="0"/>
                <w:bCs w:val="0"/>
                <w:color w:val="auto"/>
                <w:kern w:val="0"/>
                <w:sz w:val="24"/>
                <w:szCs w:val="24"/>
                <w:lang w:eastAsia="zh-CN"/>
              </w:rPr>
              <w:t>，</w:t>
            </w:r>
            <w:r>
              <w:rPr>
                <w:rFonts w:hint="eastAsia" w:ascii="宋体" w:hAnsi="宋体"/>
                <w:b w:val="0"/>
                <w:bCs w:val="0"/>
                <w:color w:val="auto"/>
                <w:kern w:val="0"/>
                <w:sz w:val="24"/>
                <w:szCs w:val="24"/>
                <w:lang w:eastAsia="zh-CN"/>
              </w:rPr>
              <w:t>自然干化后的水膜</w:t>
            </w:r>
            <w:r>
              <w:rPr>
                <w:rFonts w:hint="eastAsia" w:ascii="宋体" w:hAnsi="宋体"/>
                <w:color w:val="auto"/>
                <w:kern w:val="0"/>
                <w:sz w:val="24"/>
                <w:szCs w:val="24"/>
                <w:lang w:eastAsia="zh-CN"/>
              </w:rPr>
              <w:t>除尘沉淀池沉渣</w:t>
            </w:r>
            <w:r>
              <w:rPr>
                <w:rFonts w:hint="eastAsia"/>
                <w:b w:val="0"/>
                <w:bCs w:val="0"/>
                <w:color w:val="auto"/>
                <w:kern w:val="0"/>
                <w:sz w:val="24"/>
                <w:szCs w:val="24"/>
                <w:lang w:eastAsia="zh-CN"/>
              </w:rPr>
              <w:t>可以</w:t>
            </w:r>
            <w:r>
              <w:rPr>
                <w:rFonts w:hint="eastAsia" w:ascii="Times New Roman" w:hAnsi="Times New Roman"/>
                <w:b w:val="0"/>
                <w:bCs w:val="0"/>
                <w:color w:val="auto"/>
                <w:kern w:val="0"/>
                <w:sz w:val="24"/>
                <w:szCs w:val="24"/>
                <w:lang w:eastAsia="zh-CN"/>
              </w:rPr>
              <w:t>掺入物料中回用于生产。</w:t>
            </w:r>
          </w:p>
          <w:p>
            <w:pPr>
              <w:spacing w:line="360" w:lineRule="auto"/>
              <w:ind w:firstLine="480" w:firstLineChars="200"/>
              <w:jc w:val="left"/>
              <w:rPr>
                <w:rFonts w:hint="eastAsia" w:eastAsia="宋体"/>
                <w:color w:val="auto"/>
                <w:sz w:val="24"/>
                <w:lang w:eastAsia="zh-CN"/>
              </w:rPr>
            </w:pPr>
            <w:r>
              <w:rPr>
                <w:color w:val="auto"/>
                <w:sz w:val="24"/>
              </w:rPr>
              <w:t>（3）</w:t>
            </w:r>
            <w:r>
              <w:rPr>
                <w:rFonts w:hint="eastAsia"/>
                <w:color w:val="auto"/>
                <w:sz w:val="24"/>
                <w:lang w:eastAsia="zh-CN"/>
              </w:rPr>
              <w:t>残次品</w:t>
            </w:r>
          </w:p>
          <w:p>
            <w:pPr>
              <w:spacing w:line="360" w:lineRule="auto"/>
              <w:ind w:firstLine="480" w:firstLineChars="200"/>
              <w:jc w:val="left"/>
              <w:rPr>
                <w:color w:val="auto"/>
                <w:sz w:val="24"/>
              </w:rPr>
            </w:pPr>
            <w:r>
              <w:rPr>
                <w:rFonts w:hint="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val="en-US" w:eastAsia="zh-CN"/>
              </w:rPr>
              <w:t>制棒工序有外形尺寸偏小的废薪棒产生，用作烘干炉补充燃料。</w:t>
            </w:r>
            <w:r>
              <w:rPr>
                <w:color w:val="auto"/>
                <w:sz w:val="24"/>
              </w:rPr>
              <w:t>根据建设单位提供资料，不合格产品约为60t/a。</w:t>
            </w:r>
          </w:p>
          <w:p>
            <w:pPr>
              <w:spacing w:line="360" w:lineRule="auto"/>
              <w:ind w:firstLine="480" w:firstLineChars="200"/>
              <w:jc w:val="left"/>
              <w:rPr>
                <w:rFonts w:hint="eastAsia" w:eastAsia="宋体"/>
                <w:color w:val="auto"/>
                <w:sz w:val="24"/>
                <w:lang w:eastAsia="zh-CN"/>
              </w:rPr>
            </w:pPr>
            <w:r>
              <w:rPr>
                <w:color w:val="auto"/>
                <w:sz w:val="24"/>
              </w:rPr>
              <w:t>（4）</w:t>
            </w:r>
            <w:r>
              <w:rPr>
                <w:rFonts w:hint="eastAsia"/>
                <w:color w:val="auto"/>
                <w:sz w:val="24"/>
                <w:lang w:eastAsia="zh-CN"/>
              </w:rPr>
              <w:t>回收粉尘</w:t>
            </w:r>
          </w:p>
          <w:p>
            <w:pPr>
              <w:keepNext w:val="0"/>
              <w:keepLines w:val="0"/>
              <w:suppressLineNumbers w:val="0"/>
              <w:spacing w:before="0" w:beforeAutospacing="0" w:after="0" w:afterAutospacing="0" w:line="360" w:lineRule="auto"/>
              <w:ind w:left="0" w:right="0" w:firstLine="480" w:firstLineChars="200"/>
              <w:rPr>
                <w:color w:val="auto"/>
                <w:sz w:val="24"/>
              </w:rPr>
            </w:pPr>
            <w:r>
              <w:rPr>
                <w:color w:val="auto"/>
                <w:sz w:val="24"/>
              </w:rPr>
              <w:t>根据前文分析可得，</w:t>
            </w:r>
            <w:r>
              <w:rPr>
                <w:rFonts w:hint="eastAsia" w:asciiTheme="minorEastAsia" w:hAnsiTheme="minorEastAsia" w:eastAsiaTheme="minorEastAsia" w:cstheme="minorEastAsia"/>
                <w:color w:val="auto"/>
                <w:sz w:val="24"/>
                <w:szCs w:val="24"/>
                <w:lang w:eastAsia="zh-CN"/>
              </w:rPr>
              <w:t>静电除尘</w:t>
            </w:r>
            <w:r>
              <w:rPr>
                <w:color w:val="auto"/>
                <w:sz w:val="24"/>
              </w:rPr>
              <w:t>收尘灰约为</w:t>
            </w:r>
            <w:r>
              <w:rPr>
                <w:rFonts w:hint="eastAsia"/>
                <w:color w:val="auto"/>
                <w:sz w:val="24"/>
                <w:u w:val="single"/>
                <w:lang w:val="en-US" w:eastAsia="zh-CN"/>
              </w:rPr>
              <w:t>3.5</w:t>
            </w:r>
            <w:r>
              <w:rPr>
                <w:color w:val="auto"/>
                <w:sz w:val="24"/>
              </w:rPr>
              <w:t>t/a。</w:t>
            </w:r>
            <w:r>
              <w:rPr>
                <w:rFonts w:hint="eastAsia" w:asciiTheme="minorEastAsia" w:hAnsiTheme="minorEastAsia" w:eastAsiaTheme="minorEastAsia" w:cstheme="minorEastAsia"/>
                <w:color w:val="auto"/>
                <w:sz w:val="24"/>
                <w:szCs w:val="24"/>
                <w:lang w:eastAsia="zh-CN"/>
              </w:rPr>
              <w:t>粉尘</w:t>
            </w:r>
            <w:r>
              <w:rPr>
                <w:rFonts w:hint="eastAsia" w:asciiTheme="minorEastAsia" w:hAnsiTheme="minorEastAsia" w:eastAsiaTheme="minorEastAsia" w:cstheme="minorEastAsia"/>
                <w:color w:val="auto"/>
                <w:sz w:val="24"/>
                <w:szCs w:val="24"/>
              </w:rPr>
              <w:t>可返回生产线作为原料再利用。</w:t>
            </w:r>
          </w:p>
          <w:p>
            <w:pPr>
              <w:spacing w:line="360" w:lineRule="auto"/>
              <w:ind w:firstLine="480" w:firstLineChars="200"/>
              <w:jc w:val="left"/>
              <w:rPr>
                <w:color w:val="auto"/>
                <w:sz w:val="24"/>
              </w:rPr>
            </w:pPr>
            <w:r>
              <w:rPr>
                <w:color w:val="auto"/>
                <w:sz w:val="24"/>
              </w:rPr>
              <w:t>（</w:t>
            </w:r>
            <w:r>
              <w:rPr>
                <w:rFonts w:hint="eastAsia"/>
                <w:color w:val="auto"/>
                <w:sz w:val="24"/>
                <w:lang w:val="en-US" w:eastAsia="zh-CN"/>
              </w:rPr>
              <w:t>5</w:t>
            </w:r>
            <w:r>
              <w:rPr>
                <w:color w:val="auto"/>
                <w:sz w:val="24"/>
              </w:rPr>
              <w:t>）员工生活垃圾</w:t>
            </w:r>
          </w:p>
          <w:p>
            <w:pPr>
              <w:pStyle w:val="35"/>
              <w:ind w:firstLine="480"/>
              <w:rPr>
                <w:rFonts w:hint="eastAsia" w:ascii="Times New Roman" w:cs="Times New Roman"/>
                <w:color w:val="auto"/>
                <w:u w:val="single"/>
              </w:rPr>
            </w:pPr>
            <w:r>
              <w:rPr>
                <w:color w:val="auto"/>
                <w:sz w:val="24"/>
              </w:rPr>
              <w:t>项目职工定员</w:t>
            </w:r>
            <w:r>
              <w:rPr>
                <w:rFonts w:hint="eastAsia"/>
                <w:color w:val="auto"/>
                <w:sz w:val="24"/>
                <w:lang w:val="en-US" w:eastAsia="zh-CN"/>
              </w:rPr>
              <w:t>8</w:t>
            </w:r>
            <w:r>
              <w:rPr>
                <w:color w:val="auto"/>
                <w:sz w:val="24"/>
              </w:rPr>
              <w:t>人，职工生活垃圾产生量取0.5kg/(人·天)，年工作日按300天计算，项目生活垃圾产生量为</w:t>
            </w:r>
            <w:r>
              <w:rPr>
                <w:rFonts w:hint="eastAsia"/>
                <w:color w:val="auto"/>
                <w:sz w:val="24"/>
                <w:lang w:val="en-US" w:eastAsia="zh-CN"/>
              </w:rPr>
              <w:t>4</w:t>
            </w:r>
            <w:r>
              <w:rPr>
                <w:color w:val="auto"/>
                <w:sz w:val="24"/>
              </w:rPr>
              <w:t>kg/</w:t>
            </w:r>
            <w:r>
              <w:rPr>
                <w:rFonts w:hint="eastAsia"/>
                <w:color w:val="auto"/>
                <w:sz w:val="24"/>
                <w:lang w:val="en-US" w:eastAsia="zh-CN"/>
              </w:rPr>
              <w:t>d</w:t>
            </w:r>
            <w:r>
              <w:rPr>
                <w:color w:val="auto"/>
                <w:sz w:val="24"/>
              </w:rPr>
              <w:t>（</w:t>
            </w:r>
            <w:r>
              <w:rPr>
                <w:rFonts w:hint="eastAsia"/>
                <w:color w:val="auto"/>
                <w:sz w:val="24"/>
                <w:lang w:val="en-US" w:eastAsia="zh-CN"/>
              </w:rPr>
              <w:t>1.2</w:t>
            </w:r>
            <w:r>
              <w:rPr>
                <w:color w:val="auto"/>
                <w:sz w:val="24"/>
              </w:rPr>
              <w:t>t/a）。生活垃圾集中收集，由环卫部门统一清运处理。</w:t>
            </w:r>
          </w:p>
          <w:p>
            <w:pPr>
              <w:pStyle w:val="12"/>
              <w:keepNext w:val="0"/>
              <w:keepLines w:val="0"/>
              <w:suppressLineNumbers w:val="0"/>
              <w:spacing w:before="0" w:beforeAutospacing="0" w:after="0" w:afterAutospacing="0" w:line="360" w:lineRule="auto"/>
              <w:ind w:left="0" w:leftChars="0" w:right="0" w:firstLine="480" w:firstLineChars="200"/>
              <w:rPr>
                <w:rFonts w:hint="eastAsia"/>
                <w:b w:val="0"/>
                <w:bCs w:val="0"/>
                <w:color w:val="auto"/>
                <w:sz w:val="24"/>
                <w:szCs w:val="24"/>
                <w:lang w:val="en-US" w:eastAsia="zh-CN"/>
              </w:rPr>
            </w:pPr>
            <w:r>
              <w:rPr>
                <w:rFonts w:hint="eastAsia"/>
                <w:b w:val="0"/>
                <w:bCs w:val="0"/>
                <w:color w:val="auto"/>
                <w:sz w:val="24"/>
                <w:szCs w:val="24"/>
                <w:lang w:val="en-US" w:eastAsia="zh-CN"/>
              </w:rPr>
              <w:t>（6）木焦油、木醋液</w:t>
            </w:r>
          </w:p>
          <w:p>
            <w:pPr>
              <w:pStyle w:val="12"/>
              <w:keepNext w:val="0"/>
              <w:keepLines w:val="0"/>
              <w:suppressLineNumbers w:val="0"/>
              <w:spacing w:before="0" w:beforeAutospacing="0" w:after="0" w:afterAutospacing="0" w:line="360" w:lineRule="auto"/>
              <w:ind w:left="0" w:leftChars="0" w:right="0" w:firstLine="480" w:firstLineChars="200"/>
              <w:rPr>
                <w:rFonts w:hint="eastAsia"/>
                <w:color w:val="auto"/>
                <w:sz w:val="24"/>
                <w:szCs w:val="24"/>
                <w:u w:val="single"/>
                <w:lang w:val="en-US" w:eastAsia="zh-CN"/>
              </w:rPr>
            </w:pPr>
            <w:r>
              <w:rPr>
                <w:rFonts w:hint="eastAsia"/>
                <w:b w:val="0"/>
                <w:bCs w:val="0"/>
                <w:color w:val="auto"/>
                <w:sz w:val="24"/>
                <w:szCs w:val="24"/>
                <w:lang w:val="en-US" w:eastAsia="zh-CN"/>
              </w:rPr>
              <w:t>本项目炭化窑炭化过程中会产生木焦油、木醋液，根据业主提供资料及类别同类型项目，木焦油、木醋液产生量为</w:t>
            </w:r>
            <w:r>
              <w:rPr>
                <w:rFonts w:hint="eastAsia"/>
                <w:b w:val="0"/>
                <w:bCs w:val="0"/>
                <w:color w:val="auto"/>
                <w:sz w:val="24"/>
                <w:szCs w:val="24"/>
                <w:u w:val="single"/>
                <w:lang w:val="en-US" w:eastAsia="zh-CN"/>
              </w:rPr>
              <w:t>3000t/a</w:t>
            </w:r>
            <w:r>
              <w:rPr>
                <w:rFonts w:hint="eastAsia"/>
                <w:b w:val="0"/>
                <w:bCs w:val="0"/>
                <w:color w:val="auto"/>
                <w:sz w:val="24"/>
                <w:szCs w:val="24"/>
                <w:lang w:val="en-US" w:eastAsia="zh-CN"/>
              </w:rPr>
              <w:t>，竹焦油及竹醋液主要含有水分及有机酸、醇类、酮类、酯类、醛类、酚类、芳香族化合物等200余种有机物，</w:t>
            </w:r>
            <w:r>
              <w:rPr>
                <w:rFonts w:hint="eastAsia"/>
                <w:b w:val="0"/>
                <w:bCs w:val="0"/>
                <w:color w:val="auto"/>
                <w:sz w:val="24"/>
                <w:szCs w:val="24"/>
                <w:u w:val="single"/>
                <w:lang w:val="en-US" w:eastAsia="zh-CN"/>
              </w:rPr>
              <w:t>根据《国家危险废物名录（2018）》，木焦油、木醋液属于危险废物，类别为HW11（精（蒸）馏残渣），废物代码为252-014-11。</w:t>
            </w:r>
            <w:r>
              <w:rPr>
                <w:rFonts w:hint="eastAsia"/>
                <w:b w:val="0"/>
                <w:bCs w:val="0"/>
                <w:color w:val="auto"/>
                <w:sz w:val="24"/>
                <w:szCs w:val="24"/>
                <w:lang w:val="en-US" w:eastAsia="zh-CN"/>
              </w:rPr>
              <w:t>本项目直接将木焦油、木醋液（未冷却）以气态形式经风机送至烘干炉燃烧掉，生成二氧化碳和水。</w:t>
            </w:r>
            <w:r>
              <w:rPr>
                <w:rFonts w:hint="eastAsia"/>
                <w:color w:val="auto"/>
                <w:sz w:val="24"/>
                <w:u w:val="single"/>
                <w:lang w:eastAsia="zh-CN"/>
              </w:rPr>
              <w:t>少量未被燃烧的</w:t>
            </w:r>
            <w:r>
              <w:rPr>
                <w:rFonts w:hint="eastAsia"/>
                <w:color w:val="auto"/>
                <w:sz w:val="24"/>
                <w:szCs w:val="24"/>
                <w:u w:val="single"/>
                <w:lang w:val="en-US" w:eastAsia="zh-CN"/>
              </w:rPr>
              <w:t>木焦油在沉淀池内沉淀，定期清掏，与沉淀池内沉淀渣一同混入原料中回用。</w:t>
            </w:r>
          </w:p>
          <w:p>
            <w:pPr>
              <w:pStyle w:val="12"/>
              <w:keepNext w:val="0"/>
              <w:keepLines w:val="0"/>
              <w:suppressLineNumbers w:val="0"/>
              <w:spacing w:before="0" w:beforeAutospacing="0" w:after="0" w:afterAutospacing="0" w:line="360" w:lineRule="auto"/>
              <w:ind w:left="0" w:leftChars="0" w:right="0" w:firstLine="480" w:firstLineChars="200"/>
              <w:rPr>
                <w:rFonts w:hint="eastAsia"/>
                <w:b w:val="0"/>
                <w:bCs w:val="0"/>
                <w:color w:val="auto"/>
                <w:sz w:val="24"/>
                <w:szCs w:val="24"/>
                <w:lang w:val="en-US" w:eastAsia="zh-CN"/>
              </w:rPr>
            </w:pPr>
            <w:r>
              <w:rPr>
                <w:rFonts w:hint="eastAsia"/>
                <w:b w:val="0"/>
                <w:bCs w:val="0"/>
                <w:color w:val="auto"/>
                <w:sz w:val="24"/>
                <w:szCs w:val="24"/>
                <w:lang w:val="en-US" w:eastAsia="zh-CN"/>
              </w:rPr>
              <w:t>（7）包装废弃物</w:t>
            </w:r>
          </w:p>
          <w:p>
            <w:pPr>
              <w:pStyle w:val="12"/>
              <w:keepNext w:val="0"/>
              <w:keepLines w:val="0"/>
              <w:suppressLineNumbers w:val="0"/>
              <w:spacing w:before="0" w:beforeAutospacing="0" w:after="0" w:afterAutospacing="0" w:line="360" w:lineRule="auto"/>
              <w:ind w:left="0" w:leftChars="0" w:right="0" w:firstLine="480" w:firstLineChars="200"/>
              <w:rPr>
                <w:rFonts w:hint="eastAsia" w:eastAsia="宋体"/>
                <w:b w:val="0"/>
                <w:bCs w:val="0"/>
                <w:color w:val="auto"/>
                <w:sz w:val="24"/>
                <w:szCs w:val="24"/>
                <w:lang w:val="en-US" w:eastAsia="zh-CN"/>
              </w:rPr>
            </w:pPr>
            <w:r>
              <w:rPr>
                <w:color w:val="auto"/>
                <w:sz w:val="24"/>
              </w:rPr>
              <w:t>项目产品包装过程中会产生一定量的包装废弃物，其产生量约为0.</w:t>
            </w:r>
            <w:r>
              <w:rPr>
                <w:rFonts w:hint="eastAsia"/>
                <w:color w:val="auto"/>
                <w:sz w:val="24"/>
                <w:lang w:val="en-US" w:eastAsia="zh-CN"/>
              </w:rPr>
              <w:t>3</w:t>
            </w:r>
            <w:r>
              <w:rPr>
                <w:color w:val="auto"/>
                <w:sz w:val="24"/>
              </w:rPr>
              <w:t>t/a</w:t>
            </w:r>
            <w:r>
              <w:rPr>
                <w:rFonts w:hint="eastAsia"/>
                <w:color w:val="auto"/>
                <w:sz w:val="24"/>
              </w:rPr>
              <w:t>，此类废弃物作为废品外售于废品回收站</w:t>
            </w:r>
            <w:r>
              <w:rPr>
                <w:rFonts w:hint="eastAsia"/>
                <w:color w:val="auto"/>
                <w:sz w:val="24"/>
                <w:lang w:eastAsia="zh-CN"/>
              </w:rPr>
              <w:t>。</w:t>
            </w:r>
          </w:p>
          <w:p>
            <w:pPr>
              <w:pStyle w:val="12"/>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b w:val="0"/>
                <w:bCs w:val="0"/>
                <w:color w:val="auto"/>
                <w:sz w:val="24"/>
                <w:szCs w:val="20"/>
              </w:rPr>
            </w:pPr>
            <w:r>
              <w:rPr>
                <w:rFonts w:hint="eastAsia"/>
                <w:b w:val="0"/>
                <w:bCs w:val="0"/>
                <w:color w:val="auto"/>
                <w:sz w:val="24"/>
                <w:szCs w:val="24"/>
                <w:lang w:val="en-US" w:eastAsia="zh-CN"/>
              </w:rPr>
              <w:t>本项目在</w:t>
            </w:r>
            <w:r>
              <w:rPr>
                <w:rFonts w:hint="eastAsia"/>
                <w:b w:val="0"/>
                <w:bCs w:val="0"/>
                <w:color w:val="auto"/>
                <w:sz w:val="24"/>
                <w:szCs w:val="24"/>
                <w:lang w:eastAsia="zh-CN"/>
              </w:rPr>
              <w:t>采取环评要求的固体废物管理措施后，各种固体废物均能得到合理处置，</w:t>
            </w:r>
            <w:r>
              <w:rPr>
                <w:rFonts w:hint="default" w:ascii="Times New Roman" w:hAnsi="Times New Roman" w:cs="Times New Roman"/>
                <w:b w:val="0"/>
                <w:bCs w:val="0"/>
                <w:color w:val="auto"/>
                <w:sz w:val="24"/>
                <w:szCs w:val="20"/>
              </w:rPr>
              <w:t>建设项目产生的固体废物经有效处理和处置后对环境影响较小</w:t>
            </w:r>
            <w:r>
              <w:rPr>
                <w:rFonts w:hint="eastAsia" w:cs="Times New Roman"/>
                <w:b w:val="0"/>
                <w:bCs w:val="0"/>
                <w:color w:val="auto"/>
                <w:sz w:val="24"/>
                <w:szCs w:val="20"/>
                <w:lang w:eastAsia="zh-CN"/>
              </w:rPr>
              <w:t>，</w:t>
            </w:r>
            <w:r>
              <w:rPr>
                <w:rFonts w:hint="eastAsia"/>
                <w:b w:val="0"/>
                <w:bCs w:val="0"/>
                <w:color w:val="auto"/>
                <w:sz w:val="24"/>
                <w:szCs w:val="24"/>
                <w:lang w:val="en-US" w:eastAsia="zh-CN"/>
              </w:rPr>
              <w:t>环境</w:t>
            </w:r>
            <w:r>
              <w:rPr>
                <w:rFonts w:hint="eastAsia"/>
                <w:b w:val="0"/>
                <w:bCs w:val="0"/>
                <w:color w:val="auto"/>
                <w:sz w:val="24"/>
                <w:szCs w:val="24"/>
                <w:lang w:eastAsia="zh-CN"/>
              </w:rPr>
              <w:t>影响可以接受</w:t>
            </w:r>
            <w:r>
              <w:rPr>
                <w:rFonts w:hint="default" w:ascii="Times New Roman" w:hAnsi="Times New Roman" w:cs="Times New Roman"/>
                <w:b w:val="0"/>
                <w:bCs w:val="0"/>
                <w:color w:val="auto"/>
                <w:sz w:val="24"/>
                <w:szCs w:val="20"/>
              </w:rPr>
              <w:t>。</w:t>
            </w:r>
          </w:p>
          <w:p>
            <w:pPr>
              <w:spacing w:line="360" w:lineRule="auto"/>
              <w:ind w:firstLine="480" w:firstLineChars="200"/>
              <w:jc w:val="left"/>
              <w:rPr>
                <w:color w:val="auto"/>
                <w:sz w:val="24"/>
                <w:u w:val="single"/>
              </w:rPr>
            </w:pPr>
            <w:r>
              <w:rPr>
                <w:rFonts w:hint="eastAsia" w:cs="Times New Roman"/>
                <w:b w:val="0"/>
                <w:bCs w:val="0"/>
                <w:color w:val="auto"/>
                <w:sz w:val="24"/>
                <w:szCs w:val="20"/>
                <w:u w:val="single"/>
                <w:lang w:eastAsia="zh-CN"/>
              </w:rPr>
              <w:t>（</w:t>
            </w:r>
            <w:r>
              <w:rPr>
                <w:rFonts w:hint="eastAsia" w:cs="Times New Roman"/>
                <w:b w:val="0"/>
                <w:bCs w:val="0"/>
                <w:color w:val="auto"/>
                <w:sz w:val="24"/>
                <w:szCs w:val="20"/>
                <w:u w:val="single"/>
                <w:lang w:val="en-US" w:eastAsia="zh-CN"/>
              </w:rPr>
              <w:t>8</w:t>
            </w:r>
            <w:r>
              <w:rPr>
                <w:rFonts w:hint="eastAsia" w:cs="Times New Roman"/>
                <w:b w:val="0"/>
                <w:bCs w:val="0"/>
                <w:color w:val="auto"/>
                <w:sz w:val="24"/>
                <w:szCs w:val="20"/>
                <w:u w:val="single"/>
                <w:lang w:eastAsia="zh-CN"/>
              </w:rPr>
              <w:t>）</w:t>
            </w:r>
            <w:r>
              <w:rPr>
                <w:color w:val="auto"/>
                <w:sz w:val="24"/>
                <w:u w:val="single"/>
              </w:rPr>
              <w:t>废</w:t>
            </w:r>
            <w:r>
              <w:rPr>
                <w:rFonts w:hint="eastAsia" w:ascii="T" w:hAnsi="T"/>
                <w:color w:val="auto"/>
                <w:kern w:val="1"/>
                <w:sz w:val="24"/>
                <w:u w:val="single"/>
              </w:rPr>
              <w:t>润滑</w:t>
            </w:r>
            <w:r>
              <w:rPr>
                <w:rFonts w:ascii="T" w:hAnsi="T"/>
                <w:color w:val="auto"/>
                <w:kern w:val="1"/>
                <w:sz w:val="24"/>
                <w:u w:val="single"/>
              </w:rPr>
              <w:t>油</w:t>
            </w:r>
          </w:p>
          <w:p>
            <w:pPr>
              <w:pStyle w:val="12"/>
              <w:keepNext w:val="0"/>
              <w:keepLines w:val="0"/>
              <w:suppressLineNumbers w:val="0"/>
              <w:spacing w:before="0" w:beforeAutospacing="0" w:after="0" w:afterAutospacing="0" w:line="360" w:lineRule="auto"/>
              <w:ind w:left="0" w:leftChars="0" w:right="0" w:firstLine="480" w:firstLineChars="200"/>
              <w:rPr>
                <w:rFonts w:hint="eastAsia" w:ascii="T" w:hAnsi="T" w:eastAsia="宋体"/>
                <w:color w:val="auto"/>
                <w:kern w:val="1"/>
                <w:sz w:val="24"/>
                <w:u w:val="single"/>
                <w:lang w:eastAsia="zh-CN"/>
              </w:rPr>
            </w:pPr>
            <w:r>
              <w:rPr>
                <w:rFonts w:ascii="T" w:hAnsi="T"/>
                <w:color w:val="auto"/>
                <w:kern w:val="1"/>
                <w:sz w:val="24"/>
                <w:u w:val="single"/>
              </w:rPr>
              <w:t>设备在机修、运行过程中跑、冒、滴、漏产生废</w:t>
            </w:r>
            <w:r>
              <w:rPr>
                <w:rFonts w:hint="eastAsia" w:ascii="T" w:hAnsi="T"/>
                <w:color w:val="auto"/>
                <w:kern w:val="1"/>
                <w:sz w:val="24"/>
                <w:u w:val="single"/>
              </w:rPr>
              <w:t>润滑</w:t>
            </w:r>
            <w:r>
              <w:rPr>
                <w:rFonts w:ascii="T" w:hAnsi="T"/>
                <w:color w:val="auto"/>
                <w:kern w:val="1"/>
                <w:sz w:val="24"/>
                <w:u w:val="single"/>
              </w:rPr>
              <w:t>油，根据建设单位</w:t>
            </w:r>
            <w:r>
              <w:rPr>
                <w:rFonts w:hint="eastAsia" w:ascii="T" w:hAnsi="T"/>
                <w:color w:val="auto"/>
                <w:kern w:val="1"/>
                <w:sz w:val="24"/>
                <w:u w:val="single"/>
              </w:rPr>
              <w:t>提供资料</w:t>
            </w:r>
            <w:r>
              <w:rPr>
                <w:rFonts w:ascii="T" w:hAnsi="T"/>
                <w:color w:val="auto"/>
                <w:kern w:val="1"/>
                <w:sz w:val="24"/>
                <w:u w:val="single"/>
              </w:rPr>
              <w:t>，</w:t>
            </w:r>
            <w:r>
              <w:rPr>
                <w:rFonts w:hint="eastAsia" w:ascii="T" w:hAnsi="T"/>
                <w:color w:val="auto"/>
                <w:kern w:val="1"/>
                <w:sz w:val="24"/>
                <w:u w:val="single"/>
              </w:rPr>
              <w:t>废润滑油</w:t>
            </w:r>
            <w:r>
              <w:rPr>
                <w:rFonts w:ascii="T" w:hAnsi="T"/>
                <w:color w:val="auto"/>
                <w:kern w:val="1"/>
                <w:sz w:val="24"/>
                <w:u w:val="single"/>
              </w:rPr>
              <w:t>预计产生量为0.</w:t>
            </w:r>
            <w:r>
              <w:rPr>
                <w:rFonts w:hint="eastAsia" w:ascii="T" w:hAnsi="T"/>
                <w:color w:val="auto"/>
                <w:kern w:val="1"/>
                <w:sz w:val="24"/>
                <w:u w:val="single"/>
                <w:lang w:val="en-US" w:eastAsia="zh-CN"/>
              </w:rPr>
              <w:t>02</w:t>
            </w:r>
            <w:r>
              <w:rPr>
                <w:rFonts w:ascii="T" w:hAnsi="T"/>
                <w:color w:val="auto"/>
                <w:kern w:val="1"/>
                <w:sz w:val="24"/>
                <w:u w:val="single"/>
              </w:rPr>
              <w:t>t/a</w:t>
            </w:r>
            <w:r>
              <w:rPr>
                <w:rFonts w:hint="eastAsia" w:ascii="T" w:hAnsi="T"/>
                <w:color w:val="auto"/>
                <w:kern w:val="1"/>
                <w:sz w:val="24"/>
                <w:u w:val="single"/>
              </w:rPr>
              <w:t>，废润滑油属于危险废物（代码为HW08，</w:t>
            </w:r>
            <w:r>
              <w:rPr>
                <w:rFonts w:hint="eastAsia"/>
                <w:bCs/>
                <w:color w:val="auto"/>
                <w:sz w:val="24"/>
                <w:szCs w:val="28"/>
                <w:u w:val="single"/>
              </w:rPr>
              <w:t>业来源：非特定行业；废物代码9</w:t>
            </w:r>
            <w:r>
              <w:rPr>
                <w:bCs/>
                <w:color w:val="auto"/>
                <w:sz w:val="24"/>
                <w:szCs w:val="28"/>
                <w:u w:val="single"/>
              </w:rPr>
              <w:t>00-249-08</w:t>
            </w:r>
            <w:r>
              <w:rPr>
                <w:rFonts w:hint="eastAsia" w:ascii="T" w:hAnsi="T"/>
                <w:color w:val="auto"/>
                <w:kern w:val="1"/>
                <w:sz w:val="24"/>
                <w:u w:val="single"/>
              </w:rPr>
              <w:t>），集中收集后暂存于危废暂存间，定期交由有资质单位处置</w:t>
            </w:r>
            <w:r>
              <w:rPr>
                <w:rFonts w:hint="eastAsia" w:ascii="T" w:hAnsi="T"/>
                <w:color w:val="auto"/>
                <w:kern w:val="1"/>
                <w:sz w:val="24"/>
                <w:u w:val="single"/>
                <w:lang w:eastAsia="zh-CN"/>
              </w:rPr>
              <w:t>。</w:t>
            </w:r>
          </w:p>
          <w:p>
            <w:pPr>
              <w:spacing w:line="360" w:lineRule="auto"/>
              <w:ind w:firstLine="480" w:firstLineChars="200"/>
              <w:jc w:val="left"/>
              <w:rPr>
                <w:color w:val="auto"/>
                <w:sz w:val="24"/>
                <w:u w:val="single"/>
              </w:rPr>
            </w:pPr>
            <w:r>
              <w:rPr>
                <w:rFonts w:hint="eastAsia" w:ascii="T" w:hAnsi="T"/>
                <w:color w:val="auto"/>
                <w:kern w:val="1"/>
                <w:sz w:val="24"/>
                <w:u w:val="single"/>
                <w:lang w:eastAsia="zh-CN"/>
              </w:rPr>
              <w:t>（</w:t>
            </w:r>
            <w:r>
              <w:rPr>
                <w:rFonts w:hint="eastAsia" w:ascii="T" w:hAnsi="T"/>
                <w:color w:val="auto"/>
                <w:kern w:val="1"/>
                <w:sz w:val="24"/>
                <w:u w:val="single"/>
                <w:lang w:val="en-US" w:eastAsia="zh-CN"/>
              </w:rPr>
              <w:t>9</w:t>
            </w:r>
            <w:r>
              <w:rPr>
                <w:rFonts w:hint="eastAsia" w:ascii="T" w:hAnsi="T"/>
                <w:color w:val="auto"/>
                <w:kern w:val="1"/>
                <w:sz w:val="24"/>
                <w:u w:val="single"/>
                <w:lang w:eastAsia="zh-CN"/>
              </w:rPr>
              <w:t>）</w:t>
            </w:r>
            <w:r>
              <w:rPr>
                <w:rFonts w:hint="eastAsia"/>
                <w:color w:val="auto"/>
                <w:sz w:val="24"/>
                <w:u w:val="single"/>
              </w:rPr>
              <w:t>含油废手套（抹布）</w:t>
            </w:r>
          </w:p>
          <w:p>
            <w:pPr>
              <w:pStyle w:val="12"/>
              <w:keepNext w:val="0"/>
              <w:keepLines w:val="0"/>
              <w:suppressLineNumbers w:val="0"/>
              <w:spacing w:before="0" w:beforeAutospacing="0" w:after="0" w:afterAutospacing="0" w:line="360" w:lineRule="auto"/>
              <w:ind w:left="0" w:leftChars="0" w:right="0" w:firstLine="480" w:firstLineChars="200"/>
              <w:rPr>
                <w:rFonts w:hint="eastAsia" w:ascii="T" w:hAnsi="T"/>
                <w:color w:val="auto"/>
                <w:kern w:val="1"/>
                <w:sz w:val="24"/>
                <w:u w:val="single"/>
                <w:lang w:eastAsia="zh-CN"/>
              </w:rPr>
            </w:pPr>
            <w:r>
              <w:rPr>
                <w:rFonts w:hint="eastAsia"/>
                <w:color w:val="auto"/>
                <w:sz w:val="24"/>
                <w:u w:val="single"/>
              </w:rPr>
              <w:t>项目员工在加工作业、维修设备时会产生含油废手套（抹布），属于危险废物</w:t>
            </w:r>
            <w:r>
              <w:rPr>
                <w:rFonts w:hint="eastAsia" w:ascii="T" w:hAnsi="T"/>
                <w:color w:val="auto"/>
                <w:kern w:val="1"/>
                <w:sz w:val="24"/>
                <w:u w:val="single"/>
              </w:rPr>
              <w:t>（代码为HW49，</w:t>
            </w:r>
            <w:r>
              <w:rPr>
                <w:rFonts w:hint="eastAsia"/>
                <w:bCs/>
                <w:color w:val="auto"/>
                <w:sz w:val="24"/>
                <w:szCs w:val="28"/>
                <w:u w:val="single"/>
              </w:rPr>
              <w:t>业来源：非特定行业；废物代码</w:t>
            </w:r>
            <w:r>
              <w:rPr>
                <w:bCs/>
                <w:color w:val="auto"/>
                <w:sz w:val="24"/>
                <w:szCs w:val="28"/>
                <w:u w:val="single"/>
              </w:rPr>
              <w:t>900-041-49</w:t>
            </w:r>
            <w:r>
              <w:rPr>
                <w:rFonts w:hint="eastAsia" w:ascii="T" w:hAnsi="T"/>
                <w:color w:val="auto"/>
                <w:kern w:val="1"/>
                <w:sz w:val="24"/>
                <w:u w:val="single"/>
              </w:rPr>
              <w:t>）</w:t>
            </w:r>
            <w:r>
              <w:rPr>
                <w:rFonts w:hint="eastAsia"/>
                <w:color w:val="auto"/>
                <w:sz w:val="24"/>
                <w:u w:val="single"/>
              </w:rPr>
              <w:t>，根据业主提供资料，产生量约为0.0</w:t>
            </w:r>
            <w:r>
              <w:rPr>
                <w:rFonts w:hint="eastAsia"/>
                <w:color w:val="auto"/>
                <w:sz w:val="24"/>
                <w:u w:val="single"/>
                <w:lang w:val="en-US" w:eastAsia="zh-CN"/>
              </w:rPr>
              <w:t>1</w:t>
            </w:r>
            <w:r>
              <w:rPr>
                <w:rFonts w:hint="eastAsia"/>
                <w:color w:val="auto"/>
                <w:sz w:val="24"/>
                <w:u w:val="single"/>
              </w:rPr>
              <w:t>t/a，含油废手套（抹布）不能主动混入生活垃圾，应按危险废物</w:t>
            </w:r>
            <w:r>
              <w:rPr>
                <w:rFonts w:hint="eastAsia" w:ascii="T" w:hAnsi="T"/>
                <w:color w:val="auto"/>
                <w:kern w:val="1"/>
                <w:sz w:val="24"/>
                <w:u w:val="single"/>
              </w:rPr>
              <w:t>集中收集后暂存于危废暂存间，定期交由有资质单位处置</w:t>
            </w:r>
            <w:r>
              <w:rPr>
                <w:rFonts w:hint="eastAsia" w:ascii="T" w:hAnsi="T"/>
                <w:color w:val="auto"/>
                <w:kern w:val="1"/>
                <w:sz w:val="24"/>
                <w:u w:val="single"/>
                <w:lang w:eastAsia="zh-CN"/>
              </w:rPr>
              <w:t>。</w:t>
            </w:r>
          </w:p>
          <w:p>
            <w:pPr>
              <w:spacing w:line="360" w:lineRule="auto"/>
              <w:ind w:firstLine="482" w:firstLineChars="200"/>
              <w:rPr>
                <w:rFonts w:hint="eastAsia"/>
                <w:b/>
                <w:bCs/>
                <w:color w:val="auto"/>
                <w:sz w:val="24"/>
                <w:u w:val="single"/>
              </w:rPr>
            </w:pPr>
            <w:r>
              <w:rPr>
                <w:rFonts w:hint="eastAsia"/>
                <w:b/>
                <w:bCs/>
                <w:color w:val="auto"/>
                <w:sz w:val="24"/>
                <w:u w:val="single"/>
              </w:rPr>
              <w:t>危险废物</w:t>
            </w:r>
          </w:p>
          <w:p>
            <w:pPr>
              <w:adjustRightInd w:val="0"/>
              <w:snapToGrid w:val="0"/>
              <w:spacing w:line="360" w:lineRule="auto"/>
              <w:ind w:firstLine="480" w:firstLineChars="200"/>
              <w:rPr>
                <w:color w:val="auto"/>
                <w:sz w:val="24"/>
                <w:u w:val="single"/>
              </w:rPr>
            </w:pPr>
            <w:r>
              <w:rPr>
                <w:color w:val="auto"/>
                <w:sz w:val="24"/>
                <w:u w:val="single"/>
              </w:rPr>
              <w:t>A、危险废物贮存场所（设施）环境影响分析</w:t>
            </w:r>
          </w:p>
          <w:p>
            <w:pPr>
              <w:adjustRightInd w:val="0"/>
              <w:snapToGrid w:val="0"/>
              <w:spacing w:line="360" w:lineRule="auto"/>
              <w:ind w:firstLine="480" w:firstLineChars="200"/>
              <w:rPr>
                <w:color w:val="auto"/>
                <w:sz w:val="24"/>
                <w:u w:val="single"/>
              </w:rPr>
            </w:pPr>
            <w:r>
              <w:rPr>
                <w:rFonts w:hint="eastAsia" w:ascii="宋体" w:hAnsi="宋体" w:cs="宋体"/>
                <w:color w:val="auto"/>
                <w:sz w:val="24"/>
                <w:u w:val="single"/>
              </w:rPr>
              <w:t>①</w:t>
            </w:r>
            <w:r>
              <w:rPr>
                <w:color w:val="auto"/>
                <w:sz w:val="24"/>
                <w:u w:val="single"/>
              </w:rPr>
              <w:t>根据《危险废物贮存污染控制标准》（GB18597）及其修改单，</w:t>
            </w:r>
            <w:r>
              <w:rPr>
                <w:rFonts w:hint="eastAsia"/>
                <w:color w:val="auto"/>
                <w:sz w:val="24"/>
                <w:u w:val="single"/>
              </w:rPr>
              <w:t>本</w:t>
            </w:r>
            <w:r>
              <w:rPr>
                <w:color w:val="auto"/>
                <w:sz w:val="24"/>
                <w:u w:val="single"/>
              </w:rPr>
              <w:t>项目产生的危险废物需建设专用的危险废物贮存设施，必须进行预处理，使之稳定后贮存，盛装危险废物的容器必须粘贴符合《危险废物贮存污染控制标准》（GB18597）及其修改单附录A所示的标签。</w:t>
            </w:r>
          </w:p>
          <w:p>
            <w:pPr>
              <w:adjustRightInd w:val="0"/>
              <w:snapToGrid w:val="0"/>
              <w:spacing w:line="360" w:lineRule="auto"/>
              <w:ind w:firstLine="480" w:firstLineChars="200"/>
              <w:rPr>
                <w:color w:val="auto"/>
                <w:sz w:val="24"/>
                <w:u w:val="single"/>
              </w:rPr>
            </w:pPr>
            <w:r>
              <w:rPr>
                <w:rFonts w:hint="eastAsia" w:ascii="宋体" w:hAnsi="宋体" w:cs="宋体"/>
                <w:color w:val="auto"/>
                <w:sz w:val="24"/>
                <w:u w:val="single"/>
              </w:rPr>
              <w:t>②</w:t>
            </w:r>
            <w:r>
              <w:rPr>
                <w:rFonts w:hint="eastAsia"/>
                <w:color w:val="auto"/>
                <w:sz w:val="24"/>
                <w:u w:val="single"/>
              </w:rPr>
              <w:t>本</w:t>
            </w:r>
            <w:r>
              <w:rPr>
                <w:color w:val="auto"/>
                <w:sz w:val="24"/>
                <w:u w:val="single"/>
              </w:rPr>
              <w:t>项目危险废物贮存期限1-2月，危废暂存间</w:t>
            </w:r>
            <w:r>
              <w:rPr>
                <w:rFonts w:hint="eastAsia"/>
                <w:color w:val="auto"/>
                <w:sz w:val="24"/>
                <w:u w:val="single"/>
              </w:rPr>
              <w:t>10</w:t>
            </w:r>
            <w:r>
              <w:rPr>
                <w:color w:val="auto"/>
                <w:sz w:val="24"/>
                <w:u w:val="single"/>
              </w:rPr>
              <w:t>m</w:t>
            </w:r>
            <w:r>
              <w:rPr>
                <w:color w:val="auto"/>
                <w:sz w:val="24"/>
                <w:u w:val="single"/>
                <w:vertAlign w:val="superscript"/>
              </w:rPr>
              <w:t>2</w:t>
            </w:r>
            <w:r>
              <w:rPr>
                <w:color w:val="auto"/>
                <w:sz w:val="24"/>
                <w:u w:val="single"/>
              </w:rPr>
              <w:t>，由上可知危废产生量很小，且贮存期限较短，危废暂存间能满足其暂存要求。</w:t>
            </w:r>
          </w:p>
          <w:p>
            <w:pPr>
              <w:adjustRightInd w:val="0"/>
              <w:snapToGrid w:val="0"/>
              <w:spacing w:line="360" w:lineRule="auto"/>
              <w:ind w:firstLine="480" w:firstLineChars="200"/>
              <w:rPr>
                <w:color w:val="auto"/>
                <w:sz w:val="24"/>
                <w:u w:val="single"/>
              </w:rPr>
            </w:pPr>
            <w:r>
              <w:rPr>
                <w:rFonts w:hint="eastAsia" w:ascii="宋体" w:hAnsi="宋体" w:cs="宋体"/>
                <w:color w:val="auto"/>
                <w:sz w:val="24"/>
                <w:u w:val="single"/>
              </w:rPr>
              <w:t>③</w:t>
            </w:r>
            <w:r>
              <w:rPr>
                <w:color w:val="auto"/>
                <w:sz w:val="24"/>
                <w:u w:val="single"/>
              </w:rPr>
              <w:t>危废暂存间周围主要为一般企业，无环境敏感目标，选址合理。</w:t>
            </w:r>
          </w:p>
          <w:p>
            <w:pPr>
              <w:adjustRightInd w:val="0"/>
              <w:snapToGrid w:val="0"/>
              <w:spacing w:line="360" w:lineRule="auto"/>
              <w:ind w:firstLine="480" w:firstLineChars="200"/>
              <w:rPr>
                <w:color w:val="auto"/>
                <w:sz w:val="24"/>
                <w:u w:val="single"/>
              </w:rPr>
            </w:pPr>
            <w:r>
              <w:rPr>
                <w:color w:val="auto"/>
                <w:sz w:val="24"/>
                <w:u w:val="single"/>
              </w:rPr>
              <w:t>B.运输过程的环境影响分析</w:t>
            </w:r>
          </w:p>
          <w:p>
            <w:pPr>
              <w:adjustRightInd w:val="0"/>
              <w:snapToGrid w:val="0"/>
              <w:spacing w:line="360" w:lineRule="auto"/>
              <w:ind w:firstLine="480" w:firstLineChars="200"/>
              <w:rPr>
                <w:color w:val="auto"/>
                <w:sz w:val="24"/>
                <w:u w:val="single"/>
              </w:rPr>
            </w:pPr>
            <w:r>
              <w:rPr>
                <w:rFonts w:hint="eastAsia"/>
                <w:color w:val="auto"/>
                <w:sz w:val="24"/>
                <w:u w:val="single"/>
              </w:rPr>
              <w:t>废润滑油</w:t>
            </w:r>
            <w:r>
              <w:rPr>
                <w:color w:val="auto"/>
                <w:sz w:val="24"/>
                <w:u w:val="single"/>
              </w:rPr>
              <w:t>从生产环节产生后，由厂内员工通过塑料桶存放，人工运输到危废暂存间，由于量少，且路程短，塑料桶具有防渗透优点，可保证正常情况下不会有危险废物的散落、泄露，即使泄露，生产区和危废暂存间也做了相应的防渗，可将对环境的影响降至最低。危险废物</w:t>
            </w:r>
            <w:r>
              <w:rPr>
                <w:rFonts w:hint="eastAsia"/>
                <w:color w:val="auto"/>
                <w:sz w:val="24"/>
                <w:u w:val="single"/>
              </w:rPr>
              <w:t>于</w:t>
            </w:r>
            <w:r>
              <w:rPr>
                <w:color w:val="auto"/>
                <w:sz w:val="24"/>
                <w:u w:val="single"/>
              </w:rPr>
              <w:t>危废暂存间暂存一定时间后，定期由专业有资质单位进行运输，运输方式为汽运，运输时应当采取密闭、遮盖、捆扎、等措施防止散落和泄露；运输危险废物的人员，应当接受专业培训，经考核合格后，方可从事运输危险废物的工作；运输危险废物的单位应制定在发生意外事故时应采取的应急措施和防范措施，运输时发生突发性事故必须采取措施消除或者减轻对环境的污染危害，及时通报给附近的单位和居民，并向事故发生地以上人民政府环境保护行政主管部门和有关部门报告，接受调查处理。通过采取以上措施后，可将对运输路线沿线环境敏感点的危害性降至最低。</w:t>
            </w:r>
          </w:p>
          <w:p>
            <w:pPr>
              <w:adjustRightInd w:val="0"/>
              <w:snapToGrid w:val="0"/>
              <w:spacing w:line="440" w:lineRule="exact"/>
              <w:ind w:firstLine="480" w:firstLineChars="200"/>
              <w:rPr>
                <w:color w:val="auto"/>
                <w:sz w:val="24"/>
                <w:u w:val="single"/>
              </w:rPr>
            </w:pPr>
            <w:r>
              <w:rPr>
                <w:color w:val="auto"/>
                <w:sz w:val="24"/>
                <w:u w:val="single"/>
              </w:rPr>
              <w:t>C.委托利用的环境影响性分析</w:t>
            </w:r>
          </w:p>
          <w:p>
            <w:pPr>
              <w:adjustRightInd w:val="0"/>
              <w:snapToGrid w:val="0"/>
              <w:spacing w:line="440" w:lineRule="exact"/>
              <w:ind w:firstLine="480" w:firstLineChars="200"/>
              <w:rPr>
                <w:color w:val="auto"/>
                <w:sz w:val="24"/>
                <w:u w:val="single"/>
              </w:rPr>
            </w:pPr>
            <w:r>
              <w:rPr>
                <w:rFonts w:hint="eastAsia"/>
                <w:color w:val="auto"/>
                <w:sz w:val="24"/>
                <w:u w:val="single"/>
              </w:rPr>
              <w:t>本</w:t>
            </w:r>
            <w:r>
              <w:rPr>
                <w:color w:val="auto"/>
                <w:sz w:val="24"/>
                <w:u w:val="single"/>
              </w:rPr>
              <w:t>项目产生的危险废物委托</w:t>
            </w:r>
            <w:r>
              <w:rPr>
                <w:rFonts w:hint="eastAsia"/>
                <w:color w:val="auto"/>
                <w:sz w:val="24"/>
                <w:u w:val="single"/>
              </w:rPr>
              <w:t>有资质单位</w:t>
            </w:r>
            <w:r>
              <w:rPr>
                <w:color w:val="auto"/>
                <w:sz w:val="24"/>
                <w:u w:val="single"/>
              </w:rPr>
              <w:t>进行处置。</w:t>
            </w:r>
          </w:p>
          <w:p>
            <w:pPr>
              <w:adjustRightInd w:val="0"/>
              <w:snapToGrid w:val="0"/>
              <w:spacing w:line="440" w:lineRule="exact"/>
              <w:ind w:firstLine="480" w:firstLineChars="200"/>
              <w:rPr>
                <w:color w:val="auto"/>
                <w:sz w:val="24"/>
                <w:u w:val="single"/>
              </w:rPr>
            </w:pPr>
            <w:r>
              <w:rPr>
                <w:color w:val="auto"/>
                <w:sz w:val="24"/>
                <w:u w:val="single"/>
              </w:rPr>
              <w:t>项目对危险废物的存放场所设置如下：</w:t>
            </w:r>
          </w:p>
          <w:p>
            <w:pPr>
              <w:adjustRightInd w:val="0"/>
              <w:snapToGrid w:val="0"/>
              <w:spacing w:line="440" w:lineRule="exact"/>
              <w:ind w:firstLine="480" w:firstLineChars="200"/>
              <w:rPr>
                <w:color w:val="auto"/>
                <w:sz w:val="24"/>
                <w:u w:val="single"/>
              </w:rPr>
            </w:pPr>
            <w:r>
              <w:rPr>
                <w:color w:val="auto"/>
                <w:sz w:val="24"/>
                <w:u w:val="single"/>
              </w:rPr>
              <w:t>设置危废暂存间，位于</w:t>
            </w:r>
            <w:r>
              <w:rPr>
                <w:rFonts w:hint="eastAsia"/>
                <w:color w:val="auto"/>
                <w:sz w:val="24"/>
                <w:u w:val="single"/>
              </w:rPr>
              <w:t>厂房西侧</w:t>
            </w:r>
            <w:r>
              <w:rPr>
                <w:color w:val="auto"/>
                <w:sz w:val="24"/>
                <w:u w:val="single"/>
              </w:rPr>
              <w:t>，建筑面积</w:t>
            </w:r>
            <w:r>
              <w:rPr>
                <w:rFonts w:hint="eastAsia"/>
                <w:color w:val="auto"/>
                <w:sz w:val="24"/>
                <w:u w:val="single"/>
              </w:rPr>
              <w:t>10</w:t>
            </w:r>
            <w:r>
              <w:rPr>
                <w:color w:val="auto"/>
                <w:sz w:val="24"/>
                <w:u w:val="single"/>
              </w:rPr>
              <w:t>m</w:t>
            </w:r>
            <w:r>
              <w:rPr>
                <w:color w:val="auto"/>
                <w:sz w:val="24"/>
                <w:u w:val="single"/>
                <w:vertAlign w:val="superscript"/>
              </w:rPr>
              <w:t>2</w:t>
            </w:r>
            <w:r>
              <w:rPr>
                <w:color w:val="auto"/>
                <w:sz w:val="24"/>
                <w:u w:val="single"/>
              </w:rPr>
              <w:t>，危险固废处置按照《危险废物贮存污染控制标准》（GB18597-2001）要求进行。</w:t>
            </w:r>
          </w:p>
          <w:p>
            <w:pPr>
              <w:pStyle w:val="7"/>
              <w:adjustRightInd w:val="0"/>
              <w:snapToGrid w:val="0"/>
              <w:spacing w:line="440" w:lineRule="exact"/>
              <w:ind w:right="105" w:rightChars="50" w:firstLine="482"/>
              <w:rPr>
                <w:b/>
                <w:color w:val="auto"/>
                <w:sz w:val="24"/>
                <w:u w:val="single"/>
                <w:lang w:val="en-US" w:eastAsia="zh-CN"/>
              </w:rPr>
            </w:pPr>
            <w:r>
              <w:rPr>
                <w:b/>
                <w:bCs/>
                <w:color w:val="auto"/>
                <w:sz w:val="24"/>
                <w:u w:val="single"/>
                <w:lang w:val="en-US" w:eastAsia="zh-CN"/>
              </w:rPr>
              <w:t>危险废物贮存设施(仓库式)的设计原则</w:t>
            </w:r>
            <w:r>
              <w:rPr>
                <w:b/>
                <w:color w:val="auto"/>
                <w:sz w:val="24"/>
                <w:u w:val="single"/>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 w:val="24"/>
                <w:u w:val="single"/>
                <w:lang w:val="en-US" w:eastAsia="zh-CN"/>
              </w:rPr>
            </w:pPr>
            <w:r>
              <w:rPr>
                <w:rFonts w:hint="eastAsia" w:ascii="宋体" w:hAnsi="宋体" w:cs="宋体"/>
                <w:color w:val="auto"/>
                <w:sz w:val="24"/>
                <w:u w:val="single"/>
                <w:lang w:val="en-US" w:eastAsia="zh-CN"/>
              </w:rPr>
              <w:t>①</w:t>
            </w:r>
            <w:r>
              <w:rPr>
                <w:color w:val="auto"/>
                <w:sz w:val="24"/>
                <w:u w:val="single"/>
                <w:lang w:val="en-US" w:eastAsia="zh-CN"/>
              </w:rPr>
              <w:t>地面与裙脚要用坚固、防渗的材料建造，建筑材料必须与危险废物相容。</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 w:val="24"/>
                <w:u w:val="single"/>
                <w:lang w:val="en-US" w:eastAsia="zh-CN"/>
              </w:rPr>
            </w:pPr>
            <w:r>
              <w:rPr>
                <w:rFonts w:hint="eastAsia" w:ascii="宋体" w:hAnsi="宋体" w:cs="宋体"/>
                <w:color w:val="auto"/>
                <w:sz w:val="24"/>
                <w:u w:val="single"/>
                <w:lang w:val="en-US" w:eastAsia="zh-CN"/>
              </w:rPr>
              <w:t>②</w:t>
            </w:r>
            <w:r>
              <w:rPr>
                <w:color w:val="auto"/>
                <w:sz w:val="24"/>
                <w:u w:val="single"/>
                <w:lang w:val="en-US" w:eastAsia="zh-CN"/>
              </w:rPr>
              <w:t>必须有泄漏液体收集装置。</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 w:val="24"/>
                <w:u w:val="single"/>
                <w:lang w:val="en-US" w:eastAsia="zh-CN"/>
              </w:rPr>
            </w:pPr>
            <w:r>
              <w:rPr>
                <w:rFonts w:hint="eastAsia" w:ascii="宋体" w:hAnsi="宋体" w:cs="宋体"/>
                <w:color w:val="auto"/>
                <w:sz w:val="24"/>
                <w:u w:val="single"/>
                <w:lang w:val="en-US" w:eastAsia="zh-CN"/>
              </w:rPr>
              <w:t>③</w:t>
            </w:r>
            <w:r>
              <w:rPr>
                <w:color w:val="auto"/>
                <w:sz w:val="24"/>
                <w:u w:val="single"/>
                <w:lang w:val="en-US" w:eastAsia="zh-CN"/>
              </w:rPr>
              <w:t>设施内要有安全照明设施和观察窗口。</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 w:val="24"/>
                <w:u w:val="single"/>
                <w:lang w:val="en-US" w:eastAsia="zh-CN"/>
              </w:rPr>
            </w:pPr>
            <w:r>
              <w:rPr>
                <w:rFonts w:hint="eastAsia" w:ascii="宋体" w:hAnsi="宋体" w:cs="宋体"/>
                <w:color w:val="auto"/>
                <w:sz w:val="24"/>
                <w:u w:val="single"/>
                <w:lang w:val="en-US" w:eastAsia="zh-CN"/>
              </w:rPr>
              <w:t>④</w:t>
            </w:r>
            <w:r>
              <w:rPr>
                <w:color w:val="auto"/>
                <w:sz w:val="24"/>
                <w:u w:val="single"/>
                <w:lang w:val="en-US" w:eastAsia="zh-CN"/>
              </w:rPr>
              <w:t>用以存放装载液体、半固体危险废物容器的地方，必须有耐腐蚀的硬化地面，且表面无裂隙。</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 w:val="24"/>
                <w:u w:val="single"/>
                <w:lang w:val="en-US" w:eastAsia="zh-CN"/>
              </w:rPr>
            </w:pPr>
            <w:r>
              <w:rPr>
                <w:rFonts w:hint="eastAsia" w:ascii="宋体" w:hAnsi="宋体" w:cs="宋体"/>
                <w:color w:val="auto"/>
                <w:sz w:val="24"/>
                <w:u w:val="single"/>
                <w:lang w:val="en-US" w:eastAsia="zh-CN"/>
              </w:rPr>
              <w:t>⑤</w:t>
            </w:r>
            <w:r>
              <w:rPr>
                <w:color w:val="auto"/>
                <w:sz w:val="24"/>
                <w:u w:val="single"/>
                <w:lang w:val="en-US" w:eastAsia="zh-CN"/>
              </w:rPr>
              <w:t>应设计堵截泄漏的裙脚，地面与裙脚所围建的容积不低于堵截最大容器的最大储量或总储量的五分之一。</w:t>
            </w:r>
          </w:p>
          <w:p>
            <w:pPr>
              <w:pStyle w:val="7"/>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color w:val="auto"/>
                <w:sz w:val="24"/>
                <w:u w:val="single"/>
                <w:lang w:val="en-US" w:eastAsia="zh-CN"/>
              </w:rPr>
            </w:pPr>
            <w:r>
              <w:rPr>
                <w:rFonts w:hint="eastAsia" w:ascii="宋体" w:hAnsi="宋体" w:cs="宋体"/>
                <w:color w:val="auto"/>
                <w:sz w:val="24"/>
                <w:u w:val="single"/>
                <w:lang w:val="en-US" w:eastAsia="zh-CN"/>
              </w:rPr>
              <w:t>⑥</w:t>
            </w:r>
            <w:r>
              <w:rPr>
                <w:color w:val="auto"/>
                <w:sz w:val="24"/>
                <w:u w:val="single"/>
                <w:lang w:val="en-US" w:eastAsia="zh-CN"/>
              </w:rPr>
              <w:t>不相容的危险废物必须分开存放，并设有隔离间隔断。</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2" w:firstLineChars="200"/>
              <w:textAlignment w:val="auto"/>
              <w:rPr>
                <w:color w:val="auto"/>
                <w:sz w:val="24"/>
                <w:u w:val="single"/>
                <w:lang w:val="en-US" w:eastAsia="zh-CN"/>
              </w:rPr>
            </w:pPr>
            <w:r>
              <w:rPr>
                <w:b/>
                <w:bCs/>
                <w:color w:val="auto"/>
                <w:sz w:val="24"/>
                <w:u w:val="single"/>
                <w:lang w:val="en-US" w:eastAsia="zh-CN"/>
              </w:rPr>
              <w:t>危险废物的堆放：</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color w:val="auto"/>
                <w:sz w:val="24"/>
                <w:u w:val="single"/>
                <w:lang w:val="en-US" w:eastAsia="zh-CN"/>
              </w:rPr>
            </w:pPr>
            <w:r>
              <w:rPr>
                <w:rFonts w:hint="eastAsia" w:ascii="宋体" w:hAnsi="宋体" w:cs="宋体"/>
                <w:color w:val="auto"/>
                <w:sz w:val="24"/>
                <w:u w:val="single"/>
                <w:lang w:val="en-US" w:eastAsia="zh-CN"/>
              </w:rPr>
              <w:t>①</w:t>
            </w:r>
            <w:r>
              <w:rPr>
                <w:color w:val="auto"/>
                <w:sz w:val="24"/>
                <w:u w:val="single"/>
                <w:lang w:val="en-US" w:eastAsia="zh-CN"/>
              </w:rPr>
              <w:t>基础必须防渗，防渗层为至少1米厚粘土层（渗透系数≤10</w:t>
            </w:r>
            <w:r>
              <w:rPr>
                <w:color w:val="auto"/>
                <w:sz w:val="24"/>
                <w:u w:val="single"/>
                <w:vertAlign w:val="superscript"/>
                <w:lang w:val="en-US" w:eastAsia="zh-CN"/>
              </w:rPr>
              <w:t>-7</w:t>
            </w:r>
            <w:r>
              <w:rPr>
                <w:color w:val="auto"/>
                <w:sz w:val="24"/>
                <w:u w:val="single"/>
                <w:lang w:val="en-US" w:eastAsia="zh-CN"/>
              </w:rPr>
              <w:t>cm/s），或2mm厚高密度聚乙烯，或至少2mm厚的其它人工材料，渗透系数≤10</w:t>
            </w:r>
            <w:r>
              <w:rPr>
                <w:color w:val="auto"/>
                <w:sz w:val="24"/>
                <w:u w:val="single"/>
                <w:vertAlign w:val="superscript"/>
                <w:lang w:val="en-US" w:eastAsia="zh-CN"/>
              </w:rPr>
              <w:t>-10</w:t>
            </w:r>
            <w:r>
              <w:rPr>
                <w:color w:val="auto"/>
                <w:sz w:val="24"/>
                <w:u w:val="single"/>
                <w:lang w:val="en-US" w:eastAsia="zh-CN"/>
              </w:rPr>
              <w:t>cm/s。 </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color w:val="auto"/>
                <w:sz w:val="24"/>
                <w:u w:val="single"/>
                <w:lang w:val="en-US" w:eastAsia="zh-CN"/>
              </w:rPr>
            </w:pPr>
            <w:r>
              <w:rPr>
                <w:rFonts w:hint="eastAsia" w:ascii="宋体" w:hAnsi="宋体" w:cs="宋体"/>
                <w:color w:val="auto"/>
                <w:sz w:val="24"/>
                <w:u w:val="single"/>
                <w:lang w:val="en-US" w:eastAsia="zh-CN"/>
              </w:rPr>
              <w:t>②</w:t>
            </w:r>
            <w:r>
              <w:rPr>
                <w:color w:val="auto"/>
                <w:sz w:val="24"/>
                <w:u w:val="single"/>
                <w:lang w:val="en-US" w:eastAsia="zh-CN"/>
              </w:rPr>
              <w:t>堆放危险废物的高度应根据地面承载能力确定。</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color w:val="auto"/>
                <w:sz w:val="24"/>
                <w:u w:val="single"/>
                <w:lang w:val="en-US" w:eastAsia="zh-CN"/>
              </w:rPr>
            </w:pPr>
            <w:r>
              <w:rPr>
                <w:rFonts w:hint="eastAsia" w:ascii="宋体" w:hAnsi="宋体" w:cs="宋体"/>
                <w:color w:val="auto"/>
                <w:sz w:val="24"/>
                <w:u w:val="single"/>
                <w:lang w:val="en-US" w:eastAsia="zh-CN"/>
              </w:rPr>
              <w:t>③</w:t>
            </w:r>
            <w:r>
              <w:rPr>
                <w:color w:val="auto"/>
                <w:sz w:val="24"/>
                <w:u w:val="single"/>
                <w:lang w:val="en-US" w:eastAsia="zh-CN"/>
              </w:rPr>
              <w:t>衬里放在一个基础或底座上，衬里要能够覆盖危险废物或其溶出物可能涉及到的范围，衬里材料与堆放危险废物相容。</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color w:val="auto"/>
                <w:sz w:val="24"/>
                <w:u w:val="single"/>
                <w:lang w:val="en-US" w:eastAsia="zh-CN"/>
              </w:rPr>
            </w:pPr>
            <w:r>
              <w:rPr>
                <w:rFonts w:hint="eastAsia" w:ascii="宋体" w:hAnsi="宋体" w:cs="宋体"/>
                <w:color w:val="auto"/>
                <w:sz w:val="24"/>
                <w:u w:val="single"/>
                <w:lang w:val="en-US" w:eastAsia="zh-CN"/>
              </w:rPr>
              <w:t>④</w:t>
            </w:r>
            <w:r>
              <w:rPr>
                <w:color w:val="auto"/>
                <w:sz w:val="24"/>
                <w:u w:val="single"/>
                <w:lang w:val="en-US" w:eastAsia="zh-CN"/>
              </w:rPr>
              <w:t>危险废物堆要防风、防雨、防晒。</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2" w:firstLineChars="200"/>
              <w:textAlignment w:val="auto"/>
              <w:rPr>
                <w:b/>
                <w:color w:val="auto"/>
                <w:sz w:val="24"/>
                <w:u w:val="single"/>
                <w:lang w:val="en-US" w:eastAsia="zh-CN"/>
              </w:rPr>
            </w:pPr>
            <w:r>
              <w:rPr>
                <w:b/>
                <w:color w:val="auto"/>
                <w:sz w:val="24"/>
                <w:u w:val="single"/>
                <w:lang w:val="en-US" w:eastAsia="zh-CN"/>
              </w:rPr>
              <w:t>危险废物</w:t>
            </w:r>
            <w:r>
              <w:rPr>
                <w:b/>
                <w:bCs/>
                <w:color w:val="auto"/>
                <w:sz w:val="24"/>
                <w:u w:val="single"/>
                <w:lang w:val="en-US" w:eastAsia="zh-CN"/>
              </w:rPr>
              <w:t>贮存设施的安全防护：</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color w:val="auto"/>
                <w:sz w:val="24"/>
                <w:u w:val="single"/>
                <w:lang w:val="en-US" w:eastAsia="zh-CN"/>
              </w:rPr>
            </w:pPr>
            <w:r>
              <w:rPr>
                <w:rFonts w:hint="eastAsia" w:ascii="宋体" w:hAnsi="宋体" w:cs="宋体"/>
                <w:color w:val="auto"/>
                <w:sz w:val="24"/>
                <w:u w:val="single"/>
                <w:lang w:val="en-US" w:eastAsia="zh-CN"/>
              </w:rPr>
              <w:t>①</w:t>
            </w:r>
            <w:r>
              <w:rPr>
                <w:color w:val="auto"/>
                <w:sz w:val="24"/>
                <w:u w:val="single"/>
                <w:lang w:val="en-US" w:eastAsia="zh-CN"/>
              </w:rPr>
              <w:t>危险废物贮存设施都必须按GB15562.2的规定设置警示标志。</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color w:val="auto"/>
                <w:sz w:val="24"/>
                <w:u w:val="single"/>
                <w:lang w:val="en-US" w:eastAsia="zh-CN"/>
              </w:rPr>
            </w:pPr>
            <w:r>
              <w:rPr>
                <w:rFonts w:hint="eastAsia" w:ascii="宋体" w:hAnsi="宋体" w:cs="宋体"/>
                <w:color w:val="auto"/>
                <w:sz w:val="24"/>
                <w:u w:val="single"/>
                <w:lang w:val="en-US" w:eastAsia="zh-CN"/>
              </w:rPr>
              <w:t>②</w:t>
            </w:r>
            <w:r>
              <w:rPr>
                <w:color w:val="auto"/>
                <w:sz w:val="24"/>
                <w:u w:val="single"/>
                <w:lang w:val="en-US" w:eastAsia="zh-CN"/>
              </w:rPr>
              <w:t>危险废物贮存设施周围应设置围墙或其它防护栅栏。</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48" w:firstLineChars="200"/>
              <w:textAlignment w:val="auto"/>
              <w:rPr>
                <w:color w:val="auto"/>
                <w:spacing w:val="-8"/>
                <w:sz w:val="24"/>
                <w:u w:val="single"/>
                <w:lang w:val="en-US" w:eastAsia="zh-CN"/>
              </w:rPr>
            </w:pPr>
            <w:r>
              <w:rPr>
                <w:rFonts w:hint="eastAsia" w:ascii="宋体" w:hAnsi="宋体" w:cs="宋体"/>
                <w:color w:val="auto"/>
                <w:spacing w:val="-8"/>
                <w:sz w:val="24"/>
                <w:u w:val="single"/>
                <w:lang w:val="en-US" w:eastAsia="zh-CN"/>
              </w:rPr>
              <w:t>③</w:t>
            </w:r>
            <w:r>
              <w:rPr>
                <w:color w:val="auto"/>
                <w:spacing w:val="-8"/>
                <w:sz w:val="24"/>
                <w:u w:val="single"/>
                <w:lang w:val="en-US" w:eastAsia="zh-CN"/>
              </w:rPr>
              <w:t>危险废物贮存设施应配备照明设施、安全防护服装及工具，并设有应急防护设施。</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color w:val="auto"/>
                <w:sz w:val="24"/>
                <w:u w:val="single"/>
                <w:lang w:val="en-US" w:eastAsia="zh-CN"/>
              </w:rPr>
            </w:pPr>
            <w:r>
              <w:rPr>
                <w:rFonts w:hint="eastAsia" w:ascii="宋体" w:hAnsi="宋体" w:cs="宋体"/>
                <w:color w:val="auto"/>
                <w:sz w:val="24"/>
                <w:u w:val="single"/>
                <w:lang w:val="en-US" w:eastAsia="zh-CN"/>
              </w:rPr>
              <w:t>④</w:t>
            </w:r>
            <w:r>
              <w:rPr>
                <w:color w:val="auto"/>
                <w:sz w:val="24"/>
                <w:u w:val="single"/>
                <w:lang w:val="en-US" w:eastAsia="zh-CN"/>
              </w:rPr>
              <w:t>危险废物贮存设施内清理出来的泄漏物，一律按危险废物处理。</w:t>
            </w:r>
          </w:p>
          <w:p>
            <w:pPr>
              <w:pStyle w:val="7"/>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color w:val="auto"/>
                <w:sz w:val="24"/>
                <w:u w:val="single"/>
                <w:lang w:val="en-US" w:eastAsia="zh-CN"/>
              </w:rPr>
            </w:pPr>
            <w:r>
              <w:rPr>
                <w:color w:val="auto"/>
                <w:sz w:val="24"/>
                <w:u w:val="single"/>
                <w:lang w:val="en-US" w:eastAsia="zh-CN"/>
              </w:rPr>
              <w:t>按国家环境保护总局的有关规定，固体废物在产生、处理和处置过程中进行登记。转移、运输有害固体废物遵照交通及有关部门的规定，采取相应的防护措施，不得流失。</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textAlignment w:val="auto"/>
              <w:rPr>
                <w:color w:val="auto"/>
                <w:sz w:val="24"/>
                <w:u w:val="single"/>
              </w:rPr>
            </w:pPr>
            <w:r>
              <w:rPr>
                <w:color w:val="auto"/>
                <w:sz w:val="24"/>
                <w:u w:val="single"/>
              </w:rPr>
              <w:t>其中危险废物贮存设施执行《危险废物贮存污染控制标准》（GB 18597-2001）和2013年标准修改单，其余区域参照《石油化工防渗工程技术规范》（GB/T 50934-2013），对可能造成地下水污染影响的区域进行分类识别。</w:t>
            </w:r>
          </w:p>
          <w:p>
            <w:pPr>
              <w:tabs>
                <w:tab w:val="left" w:pos="3780"/>
              </w:tabs>
              <w:adjustRightInd w:val="0"/>
              <w:snapToGrid w:val="0"/>
              <w:jc w:val="center"/>
              <w:rPr>
                <w:rFonts w:hint="default" w:ascii="Times New Roman" w:hAnsi="Times New Roman" w:eastAsia="宋体" w:cs="Times New Roman"/>
                <w:b/>
                <w:bCs/>
                <w:color w:val="auto"/>
                <w:sz w:val="21"/>
                <w:szCs w:val="20"/>
                <w:u w:val="single"/>
              </w:rPr>
            </w:pPr>
          </w:p>
          <w:p>
            <w:pPr>
              <w:tabs>
                <w:tab w:val="left" w:pos="3780"/>
              </w:tabs>
              <w:adjustRightInd w:val="0"/>
              <w:snapToGrid w:val="0"/>
              <w:jc w:val="center"/>
              <w:rPr>
                <w:rFonts w:hint="default" w:ascii="Times New Roman" w:hAnsi="Times New Roman" w:eastAsia="宋体" w:cs="Times New Roman"/>
                <w:b/>
                <w:bCs/>
                <w:color w:val="auto"/>
                <w:sz w:val="21"/>
                <w:szCs w:val="20"/>
                <w:u w:val="single"/>
              </w:rPr>
            </w:pPr>
            <w:r>
              <w:rPr>
                <w:rFonts w:hint="default" w:ascii="Times New Roman" w:hAnsi="Times New Roman" w:eastAsia="宋体" w:cs="Times New Roman"/>
                <w:b/>
                <w:bCs/>
                <w:color w:val="auto"/>
                <w:sz w:val="21"/>
                <w:szCs w:val="20"/>
                <w:u w:val="single"/>
              </w:rPr>
              <w:t>表7-1</w:t>
            </w:r>
            <w:r>
              <w:rPr>
                <w:rFonts w:hint="eastAsia" w:cs="Times New Roman"/>
                <w:b/>
                <w:bCs/>
                <w:color w:val="auto"/>
                <w:sz w:val="21"/>
                <w:szCs w:val="20"/>
                <w:u w:val="single"/>
                <w:lang w:val="en-US" w:eastAsia="zh-CN"/>
              </w:rPr>
              <w:t>5</w:t>
            </w:r>
            <w:r>
              <w:rPr>
                <w:rFonts w:hint="default" w:ascii="Times New Roman" w:hAnsi="Times New Roman" w:eastAsia="宋体" w:cs="Times New Roman"/>
                <w:b/>
                <w:bCs/>
                <w:color w:val="auto"/>
                <w:sz w:val="21"/>
                <w:szCs w:val="20"/>
                <w:u w:val="single"/>
              </w:rPr>
              <w:t xml:space="preserve">    防渗分区识别结果</w:t>
            </w:r>
          </w:p>
          <w:tbl>
            <w:tblPr>
              <w:tblStyle w:val="22"/>
              <w:tblW w:w="8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4593"/>
              <w:gridCol w:w="27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14" w:type="dxa"/>
                  <w:noWrap w:val="0"/>
                  <w:vAlign w:val="center"/>
                </w:tcPr>
                <w:p>
                  <w:pPr>
                    <w:widowControl/>
                    <w:adjustRightInd w:val="0"/>
                    <w:snapToGrid w:val="0"/>
                    <w:jc w:val="center"/>
                    <w:rPr>
                      <w:b/>
                      <w:color w:val="auto"/>
                      <w:u w:val="single"/>
                    </w:rPr>
                  </w:pPr>
                  <w:r>
                    <w:rPr>
                      <w:b/>
                      <w:color w:val="auto"/>
                      <w:u w:val="single"/>
                    </w:rPr>
                    <w:t>序号</w:t>
                  </w:r>
                </w:p>
              </w:tc>
              <w:tc>
                <w:tcPr>
                  <w:tcW w:w="4593" w:type="dxa"/>
                  <w:noWrap w:val="0"/>
                  <w:vAlign w:val="center"/>
                </w:tcPr>
                <w:p>
                  <w:pPr>
                    <w:widowControl/>
                    <w:adjustRightInd w:val="0"/>
                    <w:snapToGrid w:val="0"/>
                    <w:jc w:val="center"/>
                    <w:rPr>
                      <w:b/>
                      <w:color w:val="auto"/>
                      <w:u w:val="single"/>
                    </w:rPr>
                  </w:pPr>
                  <w:r>
                    <w:rPr>
                      <w:b/>
                      <w:color w:val="auto"/>
                      <w:u w:val="single"/>
                    </w:rPr>
                    <w:t>区域</w:t>
                  </w:r>
                </w:p>
              </w:tc>
              <w:tc>
                <w:tcPr>
                  <w:tcW w:w="2731" w:type="dxa"/>
                  <w:noWrap w:val="0"/>
                  <w:vAlign w:val="center"/>
                </w:tcPr>
                <w:p>
                  <w:pPr>
                    <w:widowControl/>
                    <w:adjustRightInd w:val="0"/>
                    <w:snapToGrid w:val="0"/>
                    <w:jc w:val="center"/>
                    <w:rPr>
                      <w:b/>
                      <w:color w:val="auto"/>
                      <w:u w:val="single"/>
                    </w:rPr>
                  </w:pPr>
                  <w:r>
                    <w:rPr>
                      <w:b/>
                      <w:color w:val="auto"/>
                      <w:u w:val="single"/>
                    </w:rPr>
                    <w:t>识别结果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14" w:type="dxa"/>
                  <w:noWrap w:val="0"/>
                  <w:vAlign w:val="center"/>
                </w:tcPr>
                <w:p>
                  <w:pPr>
                    <w:widowControl/>
                    <w:adjustRightInd w:val="0"/>
                    <w:snapToGrid w:val="0"/>
                    <w:jc w:val="center"/>
                    <w:rPr>
                      <w:color w:val="auto"/>
                      <w:u w:val="single"/>
                    </w:rPr>
                  </w:pPr>
                  <w:r>
                    <w:rPr>
                      <w:color w:val="auto"/>
                      <w:u w:val="single"/>
                    </w:rPr>
                    <w:t>1</w:t>
                  </w:r>
                </w:p>
              </w:tc>
              <w:tc>
                <w:tcPr>
                  <w:tcW w:w="4593" w:type="dxa"/>
                  <w:noWrap w:val="0"/>
                  <w:vAlign w:val="center"/>
                </w:tcPr>
                <w:p>
                  <w:pPr>
                    <w:widowControl/>
                    <w:adjustRightInd w:val="0"/>
                    <w:snapToGrid w:val="0"/>
                    <w:jc w:val="center"/>
                    <w:rPr>
                      <w:color w:val="auto"/>
                      <w:u w:val="single"/>
                    </w:rPr>
                  </w:pPr>
                  <w:r>
                    <w:rPr>
                      <w:color w:val="auto"/>
                      <w:u w:val="single"/>
                    </w:rPr>
                    <w:t>危废</w:t>
                  </w:r>
                  <w:r>
                    <w:rPr>
                      <w:rFonts w:hint="eastAsia"/>
                      <w:color w:val="auto"/>
                      <w:u w:val="single"/>
                    </w:rPr>
                    <w:t>暂存间</w:t>
                  </w:r>
                </w:p>
              </w:tc>
              <w:tc>
                <w:tcPr>
                  <w:tcW w:w="2731" w:type="dxa"/>
                  <w:noWrap w:val="0"/>
                  <w:vAlign w:val="center"/>
                </w:tcPr>
                <w:p>
                  <w:pPr>
                    <w:widowControl/>
                    <w:adjustRightInd w:val="0"/>
                    <w:snapToGrid w:val="0"/>
                    <w:jc w:val="center"/>
                    <w:rPr>
                      <w:color w:val="auto"/>
                      <w:u w:val="single"/>
                    </w:rPr>
                  </w:pPr>
                  <w:r>
                    <w:rPr>
                      <w:color w:val="auto"/>
                      <w:u w:val="single"/>
                    </w:rPr>
                    <w:t>重点污染防治区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14" w:type="dxa"/>
                  <w:noWrap w:val="0"/>
                  <w:vAlign w:val="center"/>
                </w:tcPr>
                <w:p>
                  <w:pPr>
                    <w:widowControl/>
                    <w:adjustRightInd w:val="0"/>
                    <w:snapToGrid w:val="0"/>
                    <w:jc w:val="center"/>
                    <w:rPr>
                      <w:rFonts w:hint="eastAsia"/>
                      <w:color w:val="auto"/>
                      <w:u w:val="single"/>
                    </w:rPr>
                  </w:pPr>
                  <w:r>
                    <w:rPr>
                      <w:rFonts w:hint="eastAsia"/>
                      <w:color w:val="auto"/>
                      <w:u w:val="single"/>
                    </w:rPr>
                    <w:t>2</w:t>
                  </w:r>
                </w:p>
              </w:tc>
              <w:tc>
                <w:tcPr>
                  <w:tcW w:w="4593" w:type="dxa"/>
                  <w:noWrap w:val="0"/>
                  <w:vAlign w:val="center"/>
                </w:tcPr>
                <w:p>
                  <w:pPr>
                    <w:widowControl/>
                    <w:adjustRightInd w:val="0"/>
                    <w:snapToGrid w:val="0"/>
                    <w:jc w:val="center"/>
                    <w:rPr>
                      <w:rFonts w:hint="eastAsia"/>
                      <w:color w:val="auto"/>
                      <w:u w:val="single"/>
                    </w:rPr>
                  </w:pPr>
                  <w:r>
                    <w:rPr>
                      <w:rFonts w:hint="eastAsia"/>
                      <w:color w:val="auto"/>
                      <w:u w:val="single"/>
                    </w:rPr>
                    <w:t>生产</w:t>
                  </w:r>
                  <w:r>
                    <w:rPr>
                      <w:color w:val="auto"/>
                      <w:u w:val="single"/>
                    </w:rPr>
                    <w:t>车间</w:t>
                  </w:r>
                </w:p>
              </w:tc>
              <w:tc>
                <w:tcPr>
                  <w:tcW w:w="2731" w:type="dxa"/>
                  <w:vMerge w:val="restart"/>
                  <w:noWrap w:val="0"/>
                  <w:vAlign w:val="center"/>
                </w:tcPr>
                <w:p>
                  <w:pPr>
                    <w:widowControl/>
                    <w:adjustRightInd w:val="0"/>
                    <w:snapToGrid w:val="0"/>
                    <w:jc w:val="center"/>
                    <w:rPr>
                      <w:color w:val="auto"/>
                      <w:u w:val="single"/>
                    </w:rPr>
                  </w:pPr>
                  <w:r>
                    <w:rPr>
                      <w:rFonts w:hint="eastAsia"/>
                      <w:color w:val="auto"/>
                      <w:u w:val="single"/>
                    </w:rPr>
                    <w:t>一般污染防治区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14" w:type="dxa"/>
                  <w:noWrap w:val="0"/>
                  <w:vAlign w:val="center"/>
                </w:tcPr>
                <w:p>
                  <w:pPr>
                    <w:widowControl/>
                    <w:adjustRightInd w:val="0"/>
                    <w:snapToGrid w:val="0"/>
                    <w:jc w:val="center"/>
                    <w:rPr>
                      <w:rFonts w:hint="eastAsia"/>
                      <w:color w:val="auto"/>
                      <w:u w:val="single"/>
                    </w:rPr>
                  </w:pPr>
                  <w:r>
                    <w:rPr>
                      <w:rFonts w:hint="eastAsia"/>
                      <w:color w:val="auto"/>
                      <w:u w:val="single"/>
                    </w:rPr>
                    <w:t>3</w:t>
                  </w:r>
                </w:p>
              </w:tc>
              <w:tc>
                <w:tcPr>
                  <w:tcW w:w="4593" w:type="dxa"/>
                  <w:noWrap w:val="0"/>
                  <w:vAlign w:val="center"/>
                </w:tcPr>
                <w:p>
                  <w:pPr>
                    <w:widowControl/>
                    <w:adjustRightInd w:val="0"/>
                    <w:snapToGrid w:val="0"/>
                    <w:jc w:val="center"/>
                    <w:rPr>
                      <w:rFonts w:hint="eastAsia"/>
                      <w:color w:val="auto"/>
                      <w:u w:val="single"/>
                    </w:rPr>
                  </w:pPr>
                  <w:r>
                    <w:rPr>
                      <w:rFonts w:hint="eastAsia"/>
                      <w:color w:val="auto"/>
                      <w:u w:val="single"/>
                    </w:rPr>
                    <w:t>原辅料区（位于车间内）</w:t>
                  </w:r>
                </w:p>
              </w:tc>
              <w:tc>
                <w:tcPr>
                  <w:tcW w:w="2731" w:type="dxa"/>
                  <w:vMerge w:val="continue"/>
                  <w:noWrap w:val="0"/>
                  <w:vAlign w:val="center"/>
                </w:tcPr>
                <w:p>
                  <w:pPr>
                    <w:widowControl/>
                    <w:adjustRightInd w:val="0"/>
                    <w:snapToGrid w:val="0"/>
                    <w:jc w:val="center"/>
                    <w:rPr>
                      <w:color w:val="auto"/>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14" w:type="dxa"/>
                  <w:noWrap w:val="0"/>
                  <w:vAlign w:val="center"/>
                </w:tcPr>
                <w:p>
                  <w:pPr>
                    <w:widowControl/>
                    <w:adjustRightInd w:val="0"/>
                    <w:snapToGrid w:val="0"/>
                    <w:jc w:val="center"/>
                    <w:rPr>
                      <w:rFonts w:hint="eastAsia"/>
                      <w:color w:val="auto"/>
                      <w:u w:val="single"/>
                    </w:rPr>
                  </w:pPr>
                  <w:r>
                    <w:rPr>
                      <w:rFonts w:hint="eastAsia"/>
                      <w:color w:val="auto"/>
                      <w:u w:val="single"/>
                    </w:rPr>
                    <w:t>4</w:t>
                  </w:r>
                </w:p>
              </w:tc>
              <w:tc>
                <w:tcPr>
                  <w:tcW w:w="4593" w:type="dxa"/>
                  <w:noWrap w:val="0"/>
                  <w:vAlign w:val="center"/>
                </w:tcPr>
                <w:p>
                  <w:pPr>
                    <w:widowControl/>
                    <w:adjustRightInd w:val="0"/>
                    <w:snapToGrid w:val="0"/>
                    <w:jc w:val="center"/>
                    <w:rPr>
                      <w:rFonts w:hint="eastAsia"/>
                      <w:color w:val="auto"/>
                      <w:u w:val="single"/>
                    </w:rPr>
                  </w:pPr>
                  <w:r>
                    <w:rPr>
                      <w:rFonts w:hint="eastAsia"/>
                      <w:color w:val="auto"/>
                      <w:u w:val="single"/>
                    </w:rPr>
                    <w:t>加工区（位于车间内）</w:t>
                  </w:r>
                </w:p>
              </w:tc>
              <w:tc>
                <w:tcPr>
                  <w:tcW w:w="2731" w:type="dxa"/>
                  <w:vMerge w:val="continue"/>
                  <w:noWrap w:val="0"/>
                  <w:vAlign w:val="center"/>
                </w:tcPr>
                <w:p>
                  <w:pPr>
                    <w:widowControl/>
                    <w:adjustRightInd w:val="0"/>
                    <w:snapToGrid w:val="0"/>
                    <w:jc w:val="center"/>
                    <w:rPr>
                      <w:color w:val="auto"/>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14" w:type="dxa"/>
                  <w:noWrap w:val="0"/>
                  <w:vAlign w:val="center"/>
                </w:tcPr>
                <w:p>
                  <w:pPr>
                    <w:widowControl/>
                    <w:adjustRightInd w:val="0"/>
                    <w:snapToGrid w:val="0"/>
                    <w:jc w:val="center"/>
                    <w:rPr>
                      <w:rFonts w:hint="eastAsia"/>
                      <w:color w:val="auto"/>
                      <w:u w:val="single"/>
                    </w:rPr>
                  </w:pPr>
                  <w:r>
                    <w:rPr>
                      <w:rFonts w:hint="eastAsia"/>
                      <w:color w:val="auto"/>
                      <w:u w:val="single"/>
                    </w:rPr>
                    <w:t>5</w:t>
                  </w:r>
                </w:p>
              </w:tc>
              <w:tc>
                <w:tcPr>
                  <w:tcW w:w="4593" w:type="dxa"/>
                  <w:noWrap w:val="0"/>
                  <w:vAlign w:val="center"/>
                </w:tcPr>
                <w:p>
                  <w:pPr>
                    <w:widowControl/>
                    <w:adjustRightInd w:val="0"/>
                    <w:snapToGrid w:val="0"/>
                    <w:jc w:val="center"/>
                    <w:rPr>
                      <w:rFonts w:hint="eastAsia"/>
                      <w:color w:val="auto"/>
                      <w:u w:val="single"/>
                    </w:rPr>
                  </w:pPr>
                  <w:r>
                    <w:rPr>
                      <w:rFonts w:hint="eastAsia"/>
                      <w:color w:val="auto"/>
                      <w:u w:val="single"/>
                    </w:rPr>
                    <w:t>仓库（位于车间内）</w:t>
                  </w:r>
                </w:p>
              </w:tc>
              <w:tc>
                <w:tcPr>
                  <w:tcW w:w="2731" w:type="dxa"/>
                  <w:vMerge w:val="continue"/>
                  <w:noWrap w:val="0"/>
                  <w:vAlign w:val="center"/>
                </w:tcPr>
                <w:p>
                  <w:pPr>
                    <w:widowControl/>
                    <w:adjustRightInd w:val="0"/>
                    <w:snapToGrid w:val="0"/>
                    <w:jc w:val="center"/>
                    <w:rPr>
                      <w:rFonts w:hint="eastAsia"/>
                      <w:color w:val="auto"/>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314" w:type="dxa"/>
                  <w:noWrap w:val="0"/>
                  <w:vAlign w:val="center"/>
                </w:tcPr>
                <w:p>
                  <w:pPr>
                    <w:widowControl/>
                    <w:adjustRightInd w:val="0"/>
                    <w:snapToGrid w:val="0"/>
                    <w:jc w:val="center"/>
                    <w:rPr>
                      <w:rFonts w:hint="eastAsia"/>
                      <w:color w:val="auto"/>
                      <w:u w:val="single"/>
                    </w:rPr>
                  </w:pPr>
                  <w:r>
                    <w:rPr>
                      <w:rFonts w:hint="eastAsia"/>
                      <w:color w:val="auto"/>
                      <w:u w:val="single"/>
                    </w:rPr>
                    <w:t>6</w:t>
                  </w:r>
                </w:p>
              </w:tc>
              <w:tc>
                <w:tcPr>
                  <w:tcW w:w="4593" w:type="dxa"/>
                  <w:noWrap w:val="0"/>
                  <w:vAlign w:val="center"/>
                </w:tcPr>
                <w:p>
                  <w:pPr>
                    <w:widowControl/>
                    <w:adjustRightInd w:val="0"/>
                    <w:snapToGrid w:val="0"/>
                    <w:jc w:val="center"/>
                    <w:rPr>
                      <w:rFonts w:hint="eastAsia"/>
                      <w:color w:val="auto"/>
                      <w:u w:val="single"/>
                    </w:rPr>
                  </w:pPr>
                  <w:r>
                    <w:rPr>
                      <w:rFonts w:hint="eastAsia"/>
                      <w:color w:val="auto"/>
                      <w:u w:val="single"/>
                    </w:rPr>
                    <w:t>一般固废暂存区（位于车间内）</w:t>
                  </w:r>
                </w:p>
              </w:tc>
              <w:tc>
                <w:tcPr>
                  <w:tcW w:w="2731" w:type="dxa"/>
                  <w:vMerge w:val="continue"/>
                  <w:noWrap w:val="0"/>
                  <w:vAlign w:val="center"/>
                </w:tcPr>
                <w:p>
                  <w:pPr>
                    <w:widowControl/>
                    <w:adjustRightInd w:val="0"/>
                    <w:snapToGrid w:val="0"/>
                    <w:jc w:val="center"/>
                    <w:rPr>
                      <w:rFonts w:hint="eastAsia"/>
                      <w:color w:val="auto"/>
                      <w:u w:val="single"/>
                    </w:rPr>
                  </w:pPr>
                </w:p>
              </w:tc>
            </w:tr>
          </w:tbl>
          <w:p>
            <w:pPr>
              <w:pStyle w:val="12"/>
              <w:keepNext w:val="0"/>
              <w:keepLines w:val="0"/>
              <w:suppressLineNumbers w:val="0"/>
              <w:spacing w:before="0" w:beforeAutospacing="0" w:after="0" w:afterAutospacing="0" w:line="360" w:lineRule="auto"/>
              <w:ind w:left="0" w:leftChars="0" w:right="0" w:firstLine="480" w:firstLineChars="200"/>
              <w:rPr>
                <w:rFonts w:hint="eastAsia" w:ascii="T" w:hAnsi="T"/>
                <w:color w:val="auto"/>
                <w:kern w:val="1"/>
                <w:sz w:val="24"/>
                <w:u w:val="single"/>
                <w:lang w:eastAsia="zh-CN"/>
              </w:rPr>
            </w:pPr>
            <w:r>
              <w:rPr>
                <w:rFonts w:hint="eastAsia"/>
                <w:color w:val="auto"/>
                <w:sz w:val="24"/>
                <w:szCs w:val="23"/>
                <w:u w:val="single"/>
              </w:rPr>
              <w:t>通过以上措施，建设项目产生的固体废物均得到了妥善处置和利用，对外环境的影响可减至最小程度</w:t>
            </w:r>
            <w:r>
              <w:rPr>
                <w:color w:val="auto"/>
                <w:sz w:val="24"/>
                <w:u w:val="single"/>
              </w:rPr>
              <w:t>建设项目各项固体废物妥善处理后，不会对环境产生明显不良影响</w:t>
            </w:r>
            <w:r>
              <w:rPr>
                <w:rFonts w:hint="eastAsia" w:ascii="T" w:hAnsi="T"/>
                <w:color w:val="auto"/>
                <w:kern w:val="1"/>
                <w:sz w:val="24"/>
                <w:u w:val="single"/>
                <w:lang w:eastAsia="zh-CN"/>
              </w:rPr>
              <w:t>。</w:t>
            </w:r>
          </w:p>
          <w:p>
            <w:pPr>
              <w:pStyle w:val="35"/>
              <w:ind w:firstLine="0" w:firstLineChars="0"/>
              <w:rPr>
                <w:rFonts w:hint="eastAsia" w:ascii="Times New Roman" w:cs="Times New Roman"/>
                <w:b/>
                <w:color w:val="auto"/>
              </w:rPr>
            </w:pPr>
            <w:r>
              <w:rPr>
                <w:rFonts w:hint="eastAsia" w:ascii="Times New Roman" w:cs="Times New Roman"/>
                <w:b/>
                <w:color w:val="auto"/>
              </w:rPr>
              <w:t>5 土壤环境影响分析</w:t>
            </w:r>
          </w:p>
          <w:p>
            <w:pPr>
              <w:rPr>
                <w:color w:val="auto"/>
                <w:sz w:val="24"/>
              </w:rPr>
            </w:pPr>
            <w:r>
              <w:rPr>
                <w:rFonts w:hint="eastAsia"/>
                <w:color w:val="auto"/>
                <w:sz w:val="24"/>
              </w:rPr>
              <w:t>（1）评价等级</w:t>
            </w:r>
          </w:p>
          <w:p>
            <w:pPr>
              <w:pStyle w:val="35"/>
              <w:ind w:firstLine="422"/>
              <w:jc w:val="center"/>
              <w:rPr>
                <w:rFonts w:hint="eastAsia" w:ascii="Times New Roman" w:cs="Times New Roman"/>
                <w:b/>
                <w:color w:val="auto"/>
                <w:sz w:val="21"/>
              </w:rPr>
            </w:pPr>
          </w:p>
          <w:p>
            <w:pPr>
              <w:pStyle w:val="35"/>
              <w:ind w:firstLine="422"/>
              <w:jc w:val="center"/>
              <w:rPr>
                <w:rFonts w:hint="eastAsia" w:ascii="Times New Roman" w:cs="Times New Roman"/>
                <w:b/>
                <w:color w:val="auto"/>
                <w:sz w:val="21"/>
              </w:rPr>
            </w:pPr>
            <w:r>
              <w:rPr>
                <w:rFonts w:hint="eastAsia" w:ascii="Times New Roman" w:cs="Times New Roman"/>
                <w:b/>
                <w:color w:val="auto"/>
                <w:sz w:val="21"/>
              </w:rPr>
              <w:t>表7</w:t>
            </w:r>
            <w:r>
              <w:rPr>
                <w:rFonts w:ascii="Times New Roman" w:cs="Times New Roman"/>
                <w:b/>
                <w:color w:val="auto"/>
                <w:sz w:val="21"/>
              </w:rPr>
              <w:t>-1</w:t>
            </w:r>
            <w:r>
              <w:rPr>
                <w:rFonts w:hint="eastAsia" w:cs="Times New Roman"/>
                <w:b/>
                <w:color w:val="auto"/>
                <w:sz w:val="21"/>
                <w:lang w:val="en-US" w:eastAsia="zh-CN"/>
              </w:rPr>
              <w:t>6</w:t>
            </w:r>
            <w:r>
              <w:rPr>
                <w:rFonts w:hint="eastAsia" w:ascii="Times New Roman" w:cs="Times New Roman"/>
                <w:b/>
                <w:color w:val="auto"/>
                <w:sz w:val="21"/>
              </w:rPr>
              <w:t xml:space="preserve"> 污染影响型敏感程度分级表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6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center"/>
                </w:tcPr>
                <w:p>
                  <w:pPr>
                    <w:pStyle w:val="35"/>
                    <w:spacing w:line="240" w:lineRule="auto"/>
                    <w:ind w:firstLine="0" w:firstLineChars="0"/>
                    <w:jc w:val="center"/>
                    <w:rPr>
                      <w:rFonts w:hint="eastAsia" w:ascii="Times New Roman" w:cs="Times New Roman"/>
                      <w:color w:val="auto"/>
                      <w:sz w:val="21"/>
                      <w:szCs w:val="21"/>
                    </w:rPr>
                  </w:pPr>
                  <w:r>
                    <w:rPr>
                      <w:rFonts w:hint="eastAsia" w:ascii="Times New Roman" w:cs="Times New Roman"/>
                      <w:color w:val="auto"/>
                      <w:sz w:val="21"/>
                      <w:szCs w:val="21"/>
                    </w:rPr>
                    <w:t>敏感程度</w:t>
                  </w:r>
                </w:p>
              </w:tc>
              <w:tc>
                <w:tcPr>
                  <w:tcW w:w="6969" w:type="dxa"/>
                  <w:noWrap w:val="0"/>
                  <w:vAlign w:val="center"/>
                </w:tcPr>
                <w:p>
                  <w:pPr>
                    <w:pStyle w:val="35"/>
                    <w:spacing w:line="240" w:lineRule="auto"/>
                    <w:ind w:firstLine="0" w:firstLineChars="0"/>
                    <w:jc w:val="center"/>
                    <w:rPr>
                      <w:rFonts w:hint="eastAsia" w:ascii="Times New Roman" w:cs="Times New Roman"/>
                      <w:color w:val="auto"/>
                      <w:sz w:val="21"/>
                      <w:szCs w:val="21"/>
                    </w:rPr>
                  </w:pPr>
                  <w:r>
                    <w:rPr>
                      <w:rFonts w:hint="eastAsia" w:ascii="Times New Roman" w:cs="Times New Roman"/>
                      <w:color w:val="auto"/>
                      <w:sz w:val="21"/>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center"/>
                </w:tcPr>
                <w:p>
                  <w:pPr>
                    <w:pStyle w:val="35"/>
                    <w:spacing w:line="240" w:lineRule="auto"/>
                    <w:ind w:firstLine="0" w:firstLineChars="0"/>
                    <w:jc w:val="center"/>
                    <w:rPr>
                      <w:rFonts w:hint="eastAsia" w:ascii="Times New Roman" w:cs="Times New Roman"/>
                      <w:color w:val="auto"/>
                      <w:sz w:val="21"/>
                      <w:szCs w:val="21"/>
                    </w:rPr>
                  </w:pPr>
                  <w:r>
                    <w:rPr>
                      <w:rFonts w:hint="eastAsia" w:ascii="Times New Roman" w:cs="Times New Roman"/>
                      <w:color w:val="auto"/>
                      <w:sz w:val="21"/>
                      <w:szCs w:val="21"/>
                    </w:rPr>
                    <w:t>敏感</w:t>
                  </w:r>
                </w:p>
              </w:tc>
              <w:tc>
                <w:tcPr>
                  <w:tcW w:w="6969" w:type="dxa"/>
                  <w:noWrap w:val="0"/>
                  <w:vAlign w:val="center"/>
                </w:tcPr>
                <w:p>
                  <w:pPr>
                    <w:pStyle w:val="35"/>
                    <w:spacing w:line="240" w:lineRule="auto"/>
                    <w:ind w:firstLine="0" w:firstLineChars="0"/>
                    <w:jc w:val="center"/>
                    <w:rPr>
                      <w:rFonts w:hint="eastAsia" w:ascii="Times New Roman" w:cs="Times New Roman"/>
                      <w:color w:val="auto"/>
                      <w:sz w:val="21"/>
                      <w:szCs w:val="21"/>
                    </w:rPr>
                  </w:pPr>
                  <w:r>
                    <w:rPr>
                      <w:rFonts w:hint="eastAsia" w:ascii="Times New Roman" w:cs="Times New Roman"/>
                      <w:color w:val="auto"/>
                      <w:sz w:val="21"/>
                      <w:szCs w:val="21"/>
                    </w:rPr>
                    <w:t>建设项目周边存在耕地、园地、牧草地、饮用水水源地或居民区、学校、医院、疗养院、养老院等土壤敏感目标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center"/>
                </w:tcPr>
                <w:p>
                  <w:pPr>
                    <w:pStyle w:val="35"/>
                    <w:spacing w:line="240" w:lineRule="auto"/>
                    <w:ind w:firstLine="0" w:firstLineChars="0"/>
                    <w:jc w:val="center"/>
                    <w:rPr>
                      <w:rFonts w:hint="eastAsia" w:ascii="Times New Roman" w:cs="Times New Roman"/>
                      <w:color w:val="auto"/>
                      <w:sz w:val="21"/>
                      <w:szCs w:val="21"/>
                    </w:rPr>
                  </w:pPr>
                  <w:r>
                    <w:rPr>
                      <w:rFonts w:hint="eastAsia" w:ascii="Times New Roman" w:cs="Times New Roman"/>
                      <w:color w:val="auto"/>
                      <w:sz w:val="21"/>
                      <w:szCs w:val="21"/>
                    </w:rPr>
                    <w:t>较敏感</w:t>
                  </w:r>
                </w:p>
              </w:tc>
              <w:tc>
                <w:tcPr>
                  <w:tcW w:w="6969" w:type="dxa"/>
                  <w:noWrap w:val="0"/>
                  <w:vAlign w:val="center"/>
                </w:tcPr>
                <w:p>
                  <w:pPr>
                    <w:pStyle w:val="35"/>
                    <w:spacing w:line="240" w:lineRule="auto"/>
                    <w:ind w:firstLine="0" w:firstLineChars="0"/>
                    <w:jc w:val="center"/>
                    <w:rPr>
                      <w:rFonts w:hint="eastAsia" w:ascii="Times New Roman" w:cs="Times New Roman"/>
                      <w:color w:val="auto"/>
                      <w:sz w:val="21"/>
                      <w:szCs w:val="21"/>
                    </w:rPr>
                  </w:pPr>
                  <w:r>
                    <w:rPr>
                      <w:rFonts w:hint="eastAsia" w:ascii="Times New Roman" w:cs="Times New Roman"/>
                      <w:color w:val="auto"/>
                      <w:sz w:val="21"/>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center"/>
                </w:tcPr>
                <w:p>
                  <w:pPr>
                    <w:pStyle w:val="35"/>
                    <w:spacing w:line="240" w:lineRule="auto"/>
                    <w:ind w:firstLine="0" w:firstLineChars="0"/>
                    <w:jc w:val="center"/>
                    <w:rPr>
                      <w:rFonts w:hint="eastAsia" w:ascii="Times New Roman" w:cs="Times New Roman"/>
                      <w:color w:val="auto"/>
                      <w:sz w:val="21"/>
                      <w:szCs w:val="21"/>
                    </w:rPr>
                  </w:pPr>
                  <w:r>
                    <w:rPr>
                      <w:rFonts w:hint="eastAsia" w:ascii="Times New Roman" w:cs="Times New Roman"/>
                      <w:color w:val="auto"/>
                      <w:sz w:val="21"/>
                      <w:szCs w:val="21"/>
                    </w:rPr>
                    <w:t>不敏感</w:t>
                  </w:r>
                </w:p>
              </w:tc>
              <w:tc>
                <w:tcPr>
                  <w:tcW w:w="6969" w:type="dxa"/>
                  <w:noWrap w:val="0"/>
                  <w:vAlign w:val="center"/>
                </w:tcPr>
                <w:p>
                  <w:pPr>
                    <w:pStyle w:val="35"/>
                    <w:spacing w:line="240" w:lineRule="auto"/>
                    <w:ind w:firstLine="0" w:firstLineChars="0"/>
                    <w:jc w:val="center"/>
                    <w:rPr>
                      <w:rFonts w:hint="eastAsia" w:ascii="Times New Roman" w:cs="Times New Roman"/>
                      <w:color w:val="auto"/>
                      <w:sz w:val="21"/>
                      <w:szCs w:val="21"/>
                    </w:rPr>
                  </w:pPr>
                  <w:r>
                    <w:rPr>
                      <w:rFonts w:hint="eastAsia" w:ascii="Times New Roman" w:cs="Times New Roman"/>
                      <w:color w:val="auto"/>
                      <w:sz w:val="21"/>
                      <w:szCs w:val="21"/>
                    </w:rPr>
                    <w:t>其他情况</w:t>
                  </w:r>
                </w:p>
              </w:tc>
            </w:tr>
          </w:tbl>
          <w:p>
            <w:pPr>
              <w:adjustRightInd w:val="0"/>
              <w:snapToGrid w:val="0"/>
              <w:spacing w:line="360" w:lineRule="auto"/>
              <w:rPr>
                <w:rFonts w:hint="eastAsia" w:ascii="Times New Roman" w:hAnsi="Times New Roman" w:cs="Times New Roman"/>
                <w:color w:val="auto"/>
                <w:sz w:val="24"/>
                <w:szCs w:val="24"/>
              </w:rPr>
            </w:pPr>
          </w:p>
          <w:p>
            <w:pPr>
              <w:adjustRightInd w:val="0"/>
              <w:snapToGrid w:val="0"/>
              <w:spacing w:line="360" w:lineRule="auto"/>
              <w:ind w:firstLine="422" w:firstLineChars="200"/>
              <w:jc w:val="center"/>
              <w:rPr>
                <w:rFonts w:hint="eastAsia" w:ascii="Times New Roman" w:hAnsi="Times New Roman" w:cs="Times New Roman"/>
                <w:b/>
                <w:color w:val="auto"/>
                <w:szCs w:val="24"/>
              </w:rPr>
            </w:pPr>
            <w:r>
              <w:rPr>
                <w:rFonts w:hint="eastAsia" w:ascii="Times New Roman" w:hAnsi="Times New Roman" w:cs="Times New Roman"/>
                <w:b/>
                <w:color w:val="auto"/>
                <w:szCs w:val="24"/>
              </w:rPr>
              <w:t>表7</w:t>
            </w:r>
            <w:r>
              <w:rPr>
                <w:rFonts w:ascii="Times New Roman" w:hAnsi="Times New Roman" w:cs="Times New Roman"/>
                <w:b/>
                <w:color w:val="auto"/>
                <w:szCs w:val="24"/>
              </w:rPr>
              <w:t>-1</w:t>
            </w:r>
            <w:r>
              <w:rPr>
                <w:rFonts w:hint="eastAsia" w:cs="Times New Roman"/>
                <w:b/>
                <w:color w:val="auto"/>
                <w:szCs w:val="24"/>
                <w:lang w:val="en-US" w:eastAsia="zh-CN"/>
              </w:rPr>
              <w:t>7</w:t>
            </w:r>
            <w:r>
              <w:rPr>
                <w:rFonts w:hint="eastAsia" w:ascii="Times New Roman" w:hAnsi="Times New Roman" w:cs="Times New Roman"/>
                <w:b/>
                <w:color w:val="auto"/>
                <w:szCs w:val="24"/>
              </w:rPr>
              <w:t xml:space="preserve"> 污染影响型评价工作等级划分表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713"/>
              <w:gridCol w:w="713"/>
              <w:gridCol w:w="713"/>
              <w:gridCol w:w="713"/>
              <w:gridCol w:w="713"/>
              <w:gridCol w:w="714"/>
              <w:gridCol w:w="713"/>
              <w:gridCol w:w="713"/>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vMerge w:val="restart"/>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敏感程度评价工作等级占地规模</w:t>
                  </w:r>
                </w:p>
              </w:tc>
              <w:tc>
                <w:tcPr>
                  <w:tcW w:w="2139" w:type="dxa"/>
                  <w:gridSpan w:val="3"/>
                  <w:noWrap w:val="0"/>
                  <w:vAlign w:val="center"/>
                </w:tcPr>
                <w:p>
                  <w:pPr>
                    <w:adjustRightInd w:val="0"/>
                    <w:snapToGrid w:val="0"/>
                    <w:jc w:val="center"/>
                    <w:rPr>
                      <w:rFonts w:hint="eastAsia" w:ascii="Times New Roman" w:hAnsi="Times New Roman"/>
                      <w:color w:val="auto"/>
                      <w:szCs w:val="21"/>
                    </w:rPr>
                  </w:pPr>
                  <w:r>
                    <w:rPr>
                      <w:rFonts w:hint="eastAsia" w:ascii="宋体" w:hAnsi="宋体"/>
                      <w:color w:val="auto"/>
                      <w:szCs w:val="21"/>
                    </w:rPr>
                    <w:t>Ⅰ</w:t>
                  </w:r>
                  <w:r>
                    <w:rPr>
                      <w:rFonts w:hint="eastAsia" w:ascii="Times New Roman" w:hAnsi="Times New Roman"/>
                      <w:color w:val="auto"/>
                      <w:szCs w:val="21"/>
                    </w:rPr>
                    <w:t>类</w:t>
                  </w:r>
                </w:p>
              </w:tc>
              <w:tc>
                <w:tcPr>
                  <w:tcW w:w="2140" w:type="dxa"/>
                  <w:gridSpan w:val="3"/>
                  <w:noWrap w:val="0"/>
                  <w:vAlign w:val="center"/>
                </w:tcPr>
                <w:p>
                  <w:pPr>
                    <w:adjustRightInd w:val="0"/>
                    <w:snapToGrid w:val="0"/>
                    <w:jc w:val="center"/>
                    <w:rPr>
                      <w:rFonts w:hint="eastAsia" w:ascii="Times New Roman" w:hAnsi="Times New Roman"/>
                      <w:color w:val="auto"/>
                      <w:szCs w:val="21"/>
                    </w:rPr>
                  </w:pPr>
                  <w:r>
                    <w:rPr>
                      <w:rFonts w:hint="eastAsia" w:ascii="宋体" w:hAnsi="宋体"/>
                      <w:color w:val="auto"/>
                      <w:szCs w:val="21"/>
                    </w:rPr>
                    <w:t>Ⅱ</w:t>
                  </w:r>
                  <w:r>
                    <w:rPr>
                      <w:rFonts w:hint="eastAsia" w:ascii="Times New Roman" w:hAnsi="Times New Roman"/>
                      <w:color w:val="auto"/>
                      <w:szCs w:val="21"/>
                    </w:rPr>
                    <w:t>类</w:t>
                  </w:r>
                </w:p>
              </w:tc>
              <w:tc>
                <w:tcPr>
                  <w:tcW w:w="2140" w:type="dxa"/>
                  <w:gridSpan w:val="3"/>
                  <w:noWrap w:val="0"/>
                  <w:vAlign w:val="center"/>
                </w:tcPr>
                <w:p>
                  <w:pPr>
                    <w:adjustRightInd w:val="0"/>
                    <w:snapToGrid w:val="0"/>
                    <w:jc w:val="center"/>
                    <w:rPr>
                      <w:rFonts w:hint="eastAsia" w:ascii="Times New Roman" w:hAnsi="Times New Roman"/>
                      <w:color w:val="auto"/>
                      <w:szCs w:val="21"/>
                    </w:rPr>
                  </w:pPr>
                  <w:r>
                    <w:rPr>
                      <w:rFonts w:hint="eastAsia" w:ascii="宋体" w:hAnsi="宋体"/>
                      <w:color w:val="auto"/>
                      <w:szCs w:val="21"/>
                    </w:rPr>
                    <w:t>Ⅲ</w:t>
                  </w:r>
                  <w:r>
                    <w:rPr>
                      <w:rFonts w:hint="eastAsia" w:ascii="Times New Roman" w:hAnsi="Times New Roman"/>
                      <w:color w:val="auto"/>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vMerge w:val="continue"/>
                  <w:noWrap w:val="0"/>
                  <w:vAlign w:val="center"/>
                </w:tcPr>
                <w:p>
                  <w:pPr>
                    <w:adjustRightInd w:val="0"/>
                    <w:snapToGrid w:val="0"/>
                    <w:jc w:val="center"/>
                    <w:rPr>
                      <w:rFonts w:hint="eastAsia" w:ascii="Times New Roman" w:hAnsi="Times New Roman"/>
                      <w:color w:val="auto"/>
                      <w:szCs w:val="21"/>
                    </w:rPr>
                  </w:pP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中</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小</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中</w:t>
                  </w:r>
                </w:p>
              </w:tc>
              <w:tc>
                <w:tcPr>
                  <w:tcW w:w="714"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小</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中</w:t>
                  </w:r>
                </w:p>
              </w:tc>
              <w:tc>
                <w:tcPr>
                  <w:tcW w:w="714"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敏感</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一级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一级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一级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二级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二级</w:t>
                  </w:r>
                </w:p>
              </w:tc>
              <w:tc>
                <w:tcPr>
                  <w:tcW w:w="714"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二级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三级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三级</w:t>
                  </w:r>
                </w:p>
              </w:tc>
              <w:tc>
                <w:tcPr>
                  <w:tcW w:w="714"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较敏感</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一级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一级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二级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二级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二级</w:t>
                  </w:r>
                </w:p>
              </w:tc>
              <w:tc>
                <w:tcPr>
                  <w:tcW w:w="714"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三级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三级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三级</w:t>
                  </w:r>
                </w:p>
              </w:tc>
              <w:tc>
                <w:tcPr>
                  <w:tcW w:w="714"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不敏感</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一级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二级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二级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二级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三级</w:t>
                  </w:r>
                </w:p>
              </w:tc>
              <w:tc>
                <w:tcPr>
                  <w:tcW w:w="714"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三级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三级</w:t>
                  </w:r>
                </w:p>
              </w:tc>
              <w:tc>
                <w:tcPr>
                  <w:tcW w:w="713"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w:t>
                  </w:r>
                </w:p>
              </w:tc>
              <w:tc>
                <w:tcPr>
                  <w:tcW w:w="714" w:type="dxa"/>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8" w:type="dxa"/>
                  <w:gridSpan w:val="10"/>
                  <w:noWrap w:val="0"/>
                  <w:vAlign w:val="center"/>
                </w:tcPr>
                <w:p>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注：“—”表示可不开展土壤环境影响评价工作。</w:t>
                  </w:r>
                </w:p>
              </w:tc>
            </w:tr>
          </w:tbl>
          <w:p>
            <w:pPr>
              <w:adjustRightInd w:val="0"/>
              <w:snapToGrid w:val="0"/>
              <w:spacing w:line="360" w:lineRule="auto"/>
              <w:ind w:firstLine="480" w:firstLineChars="200"/>
              <w:rPr>
                <w:rFonts w:hint="eastAsia" w:ascii="Times New Roman" w:cs="Times New Roman"/>
                <w:color w:val="auto"/>
                <w:sz w:val="24"/>
                <w:szCs w:val="24"/>
              </w:rPr>
            </w:pPr>
          </w:p>
          <w:p>
            <w:pPr>
              <w:adjustRightInd w:val="0"/>
              <w:snapToGrid w:val="0"/>
              <w:spacing w:line="360" w:lineRule="auto"/>
              <w:ind w:firstLine="480" w:firstLineChars="200"/>
              <w:rPr>
                <w:rFonts w:hint="eastAsia" w:ascii="Times New Roman" w:cs="Times New Roman"/>
                <w:color w:val="auto"/>
              </w:rPr>
            </w:pPr>
            <w:r>
              <w:rPr>
                <w:color w:val="auto"/>
                <w:sz w:val="24"/>
              </w:rPr>
              <w:t>根据《环境影响评价技术导则  土壤环境》（试行）（HJ964-2018），可根据行业特征、工艺特点或规模大小等将建设项目分为</w:t>
            </w:r>
            <w:r>
              <w:rPr>
                <w:rFonts w:hint="eastAsia" w:ascii="宋体" w:hAnsi="宋体" w:cs="宋体"/>
                <w:color w:val="auto"/>
                <w:sz w:val="24"/>
              </w:rPr>
              <w:t>Ⅰ</w:t>
            </w:r>
            <w:r>
              <w:rPr>
                <w:color w:val="auto"/>
                <w:sz w:val="24"/>
              </w:rPr>
              <w:t>类、</w:t>
            </w:r>
            <w:r>
              <w:rPr>
                <w:rFonts w:hint="eastAsia" w:ascii="宋体" w:hAnsi="宋体" w:cs="宋体"/>
                <w:color w:val="auto"/>
                <w:sz w:val="24"/>
              </w:rPr>
              <w:t>Ⅱ</w:t>
            </w:r>
            <w:r>
              <w:rPr>
                <w:color w:val="auto"/>
                <w:sz w:val="24"/>
              </w:rPr>
              <w:t>类、</w:t>
            </w:r>
            <w:r>
              <w:rPr>
                <w:rFonts w:hint="eastAsia" w:ascii="宋体" w:hAnsi="宋体" w:cs="宋体"/>
                <w:color w:val="auto"/>
                <w:sz w:val="24"/>
              </w:rPr>
              <w:t>Ⅲ</w:t>
            </w:r>
            <w:r>
              <w:rPr>
                <w:color w:val="auto"/>
                <w:sz w:val="24"/>
              </w:rPr>
              <w:t>类、</w:t>
            </w:r>
            <w:r>
              <w:rPr>
                <w:rFonts w:hint="eastAsia" w:ascii="宋体" w:hAnsi="宋体" w:cs="宋体"/>
                <w:color w:val="auto"/>
                <w:sz w:val="24"/>
              </w:rPr>
              <w:t>Ⅳ</w:t>
            </w:r>
            <w:r>
              <w:rPr>
                <w:color w:val="auto"/>
                <w:sz w:val="24"/>
              </w:rPr>
              <w:t>类。根据《环境影响评价技术导则  土壤环境》（试行）（HJ964-2018）附录A。本项目属于环境和公共设施管理业中</w:t>
            </w:r>
            <w:r>
              <w:rPr>
                <w:rFonts w:hint="eastAsia" w:ascii="宋体" w:hAnsi="宋体" w:cs="宋体"/>
                <w:color w:val="auto"/>
                <w:sz w:val="24"/>
              </w:rPr>
              <w:t>Ⅲ</w:t>
            </w:r>
            <w:r>
              <w:rPr>
                <w:color w:val="auto"/>
                <w:sz w:val="24"/>
              </w:rPr>
              <w:t>类一般工业固体废物处置及综合利用（除采取填埋和焚烧方式以外的）；废旧资源加工、再生利用。本项目占地面积为</w:t>
            </w:r>
            <w:r>
              <w:rPr>
                <w:rFonts w:hint="eastAsia"/>
                <w:color w:val="auto"/>
                <w:sz w:val="24"/>
                <w:lang w:val="en-US" w:eastAsia="zh-CN"/>
              </w:rPr>
              <w:t>3170</w:t>
            </w:r>
            <w:r>
              <w:rPr>
                <w:color w:val="auto"/>
                <w:sz w:val="24"/>
              </w:rPr>
              <w:t>m</w:t>
            </w:r>
            <w:r>
              <w:rPr>
                <w:color w:val="auto"/>
                <w:sz w:val="24"/>
                <w:vertAlign w:val="superscript"/>
              </w:rPr>
              <w:t>2</w:t>
            </w:r>
            <w:r>
              <w:rPr>
                <w:color w:val="auto"/>
                <w:sz w:val="24"/>
              </w:rPr>
              <w:t>，根据导则规模为小型（≤5hm</w:t>
            </w:r>
            <w:r>
              <w:rPr>
                <w:color w:val="auto"/>
                <w:sz w:val="24"/>
                <w:vertAlign w:val="superscript"/>
              </w:rPr>
              <w:t>2</w:t>
            </w:r>
            <w:r>
              <w:rPr>
                <w:color w:val="auto"/>
                <w:sz w:val="24"/>
              </w:rPr>
              <w:t>），所在地周边土壤环境敏感程度为不敏感区。</w:t>
            </w:r>
            <w:r>
              <w:rPr>
                <w:rFonts w:hint="eastAsia"/>
                <w:color w:val="auto"/>
                <w:sz w:val="24"/>
                <w:lang w:eastAsia="zh-CN"/>
              </w:rPr>
              <w:t>本项目评价等级为“—”，</w:t>
            </w:r>
            <w:r>
              <w:rPr>
                <w:color w:val="auto"/>
                <w:sz w:val="24"/>
              </w:rPr>
              <w:t>因此本项目可不开展土壤环境影响评价工作</w:t>
            </w:r>
            <w:r>
              <w:rPr>
                <w:rFonts w:hint="eastAsia" w:ascii="Times New Roman" w:cs="Times New Roman"/>
                <w:color w:val="auto"/>
                <w:sz w:val="24"/>
                <w:szCs w:val="24"/>
              </w:rPr>
              <w:t>。</w:t>
            </w:r>
          </w:p>
          <w:p>
            <w:pPr>
              <w:spacing w:line="360" w:lineRule="auto"/>
              <w:rPr>
                <w:rFonts w:hint="eastAsia" w:ascii="Times New Roman" w:hAnsi="Times New Roman"/>
                <w:b/>
                <w:color w:val="auto"/>
                <w:sz w:val="24"/>
                <w:szCs w:val="24"/>
              </w:rPr>
            </w:pPr>
            <w:r>
              <w:rPr>
                <w:rFonts w:hint="eastAsia" w:ascii="Times New Roman" w:hAnsi="Times New Roman"/>
                <w:b/>
                <w:color w:val="auto"/>
                <w:sz w:val="24"/>
                <w:szCs w:val="24"/>
              </w:rPr>
              <w:t>6 营运期地下水环境影响分析</w:t>
            </w:r>
          </w:p>
          <w:p>
            <w:pPr>
              <w:spacing w:line="360" w:lineRule="auto"/>
              <w:ind w:firstLine="480" w:firstLineChars="200"/>
              <w:rPr>
                <w:rFonts w:ascii="Times New Roman" w:hAnsi="Times New Roman" w:cs="Times New Roman"/>
                <w:color w:val="auto"/>
                <w:kern w:val="0"/>
                <w:sz w:val="24"/>
                <w:szCs w:val="24"/>
              </w:rPr>
            </w:pPr>
            <w:r>
              <w:rPr>
                <w:rFonts w:ascii="Times New Roman" w:hAnsi="Times New Roman" w:cs="Times New Roman"/>
                <w:color w:val="auto"/>
                <w:kern w:val="0"/>
                <w:sz w:val="24"/>
                <w:szCs w:val="24"/>
              </w:rPr>
              <w:t>一、地下水环境影响分析</w:t>
            </w:r>
          </w:p>
          <w:p>
            <w:pPr>
              <w:spacing w:line="360" w:lineRule="auto"/>
              <w:ind w:firstLine="480" w:firstLineChars="200"/>
              <w:rPr>
                <w:rFonts w:ascii="Times New Roman" w:hAnsi="Times New Roman" w:cs="Times New Roman"/>
                <w:color w:val="auto"/>
                <w:kern w:val="0"/>
                <w:sz w:val="24"/>
                <w:szCs w:val="24"/>
              </w:rPr>
            </w:pPr>
            <w:r>
              <w:rPr>
                <w:rFonts w:ascii="Times New Roman" w:hAnsi="Times New Roman" w:cs="Times New Roman"/>
                <w:color w:val="auto"/>
                <w:kern w:val="0"/>
                <w:sz w:val="24"/>
                <w:szCs w:val="24"/>
              </w:rPr>
              <w:t>（1）评价等级</w:t>
            </w:r>
          </w:p>
          <w:p>
            <w:pPr>
              <w:spacing w:line="360" w:lineRule="auto"/>
              <w:ind w:firstLine="480" w:firstLineChars="200"/>
              <w:jc w:val="left"/>
              <w:rPr>
                <w:rFonts w:ascii="Times New Roman" w:hAnsi="Times New Roman" w:cs="Times New Roman"/>
                <w:b/>
                <w:bCs/>
                <w:color w:val="auto"/>
                <w:szCs w:val="21"/>
              </w:rPr>
            </w:pPr>
            <w:r>
              <w:rPr>
                <w:rFonts w:ascii="Times New Roman" w:hAnsi="Times New Roman" w:cs="Times New Roman"/>
                <w:color w:val="auto"/>
                <w:sz w:val="24"/>
                <w:szCs w:val="24"/>
              </w:rPr>
              <w:t>《环境影响评价技术导则 地下水环境》（HJ610-2016）中，将建设项目的地下水环境敏感程度分为敏感、较敏感、不敏感三级，分级原则见表</w:t>
            </w:r>
            <w:r>
              <w:rPr>
                <w:rFonts w:hint="eastAsia" w:cs="Times New Roman"/>
                <w:color w:val="auto"/>
                <w:sz w:val="24"/>
                <w:szCs w:val="24"/>
                <w:lang w:val="en-US" w:eastAsia="zh-CN"/>
              </w:rPr>
              <w:t>7-18</w:t>
            </w:r>
            <w:r>
              <w:rPr>
                <w:rFonts w:ascii="Times New Roman" w:hAnsi="Times New Roman" w:cs="Times New Roman"/>
                <w:color w:val="auto"/>
                <w:sz w:val="24"/>
                <w:szCs w:val="24"/>
              </w:rPr>
              <w:t>。</w:t>
            </w:r>
            <w:r>
              <w:rPr>
                <w:rFonts w:ascii="Times New Roman" w:hAnsi="Times New Roman" w:cs="Times New Roman"/>
                <w:color w:val="auto"/>
                <w:kern w:val="0"/>
                <w:sz w:val="24"/>
                <w:szCs w:val="24"/>
              </w:rPr>
              <w:t>地下水评价等级见表7-</w:t>
            </w:r>
            <w:r>
              <w:rPr>
                <w:rFonts w:hint="eastAsia" w:cs="Times New Roman"/>
                <w:color w:val="auto"/>
                <w:kern w:val="0"/>
                <w:sz w:val="24"/>
                <w:szCs w:val="24"/>
                <w:lang w:val="en-US" w:eastAsia="zh-CN"/>
              </w:rPr>
              <w:t>19</w:t>
            </w:r>
            <w:r>
              <w:rPr>
                <w:rFonts w:ascii="Times New Roman" w:hAnsi="Times New Roman" w:cs="Times New Roman"/>
                <w:color w:val="auto"/>
                <w:kern w:val="0"/>
                <w:sz w:val="24"/>
                <w:szCs w:val="24"/>
              </w:rPr>
              <w:t>。</w:t>
            </w:r>
          </w:p>
          <w:p>
            <w:pPr>
              <w:jc w:val="center"/>
              <w:rPr>
                <w:b/>
                <w:bCs/>
                <w:color w:val="auto"/>
                <w:szCs w:val="21"/>
              </w:rPr>
            </w:pPr>
            <w:r>
              <w:rPr>
                <w:rFonts w:ascii="Times New Roman" w:hAnsi="Times New Roman" w:cs="Times New Roman"/>
                <w:b/>
                <w:bCs/>
                <w:color w:val="auto"/>
                <w:szCs w:val="21"/>
              </w:rPr>
              <w:t>表7-1</w:t>
            </w:r>
            <w:r>
              <w:rPr>
                <w:rFonts w:hint="eastAsia" w:cs="Times New Roman"/>
                <w:b/>
                <w:bCs/>
                <w:color w:val="auto"/>
                <w:szCs w:val="21"/>
                <w:lang w:val="en-US" w:eastAsia="zh-CN"/>
              </w:rPr>
              <w:t>8</w:t>
            </w:r>
            <w:r>
              <w:rPr>
                <w:rFonts w:ascii="Times New Roman" w:hAnsi="Times New Roman" w:cs="Times New Roman"/>
                <w:b/>
                <w:bCs/>
                <w:color w:val="auto"/>
                <w:szCs w:val="21"/>
              </w:rPr>
              <w:t xml:space="preserve"> 项目选址敏感程度</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7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80" w:type="dxa"/>
                  <w:noWrap w:val="0"/>
                  <w:vAlign w:val="center"/>
                </w:tcPr>
                <w:p>
                  <w:pPr>
                    <w:jc w:val="center"/>
                    <w:rPr>
                      <w:color w:val="auto"/>
                      <w:szCs w:val="21"/>
                    </w:rPr>
                  </w:pPr>
                  <w:r>
                    <w:rPr>
                      <w:rFonts w:ascii="Times New Roman" w:hAnsi="Times New Roman" w:cs="Times New Roman"/>
                      <w:color w:val="auto"/>
                      <w:szCs w:val="21"/>
                    </w:rPr>
                    <w:t>分级</w:t>
                  </w:r>
                </w:p>
              </w:tc>
              <w:tc>
                <w:tcPr>
                  <w:tcW w:w="7413" w:type="dxa"/>
                  <w:noWrap w:val="0"/>
                  <w:vAlign w:val="center"/>
                </w:tcPr>
                <w:p>
                  <w:pPr>
                    <w:jc w:val="center"/>
                    <w:rPr>
                      <w:color w:val="auto"/>
                      <w:szCs w:val="21"/>
                    </w:rPr>
                  </w:pPr>
                  <w:r>
                    <w:rPr>
                      <w:rFonts w:ascii="Times New Roman" w:hAnsi="Times New Roman" w:cs="Times New Roman"/>
                      <w:color w:val="auto"/>
                      <w:szCs w:val="21"/>
                    </w:rPr>
                    <w:t>项目场地的地下水环境敏感特征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80" w:type="dxa"/>
                  <w:noWrap w:val="0"/>
                  <w:vAlign w:val="center"/>
                </w:tcPr>
                <w:p>
                  <w:pPr>
                    <w:jc w:val="center"/>
                    <w:rPr>
                      <w:color w:val="auto"/>
                      <w:szCs w:val="21"/>
                    </w:rPr>
                  </w:pPr>
                  <w:r>
                    <w:rPr>
                      <w:rFonts w:ascii="Times New Roman" w:hAnsi="Times New Roman" w:cs="Times New Roman"/>
                      <w:color w:val="auto"/>
                      <w:szCs w:val="21"/>
                    </w:rPr>
                    <w:t>敏感</w:t>
                  </w:r>
                </w:p>
              </w:tc>
              <w:tc>
                <w:tcPr>
                  <w:tcW w:w="7413" w:type="dxa"/>
                  <w:noWrap w:val="0"/>
                  <w:vAlign w:val="center"/>
                </w:tcPr>
                <w:p>
                  <w:pPr>
                    <w:jc w:val="center"/>
                    <w:rPr>
                      <w:color w:val="auto"/>
                      <w:szCs w:val="21"/>
                    </w:rPr>
                  </w:pPr>
                  <w:r>
                    <w:rPr>
                      <w:rFonts w:ascii="Times New Roman" w:hAnsi="Times New Roman" w:cs="Times New Roman"/>
                      <w:color w:val="auto"/>
                      <w:szCs w:val="21"/>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80" w:type="dxa"/>
                  <w:noWrap w:val="0"/>
                  <w:vAlign w:val="center"/>
                </w:tcPr>
                <w:p>
                  <w:pPr>
                    <w:jc w:val="center"/>
                    <w:rPr>
                      <w:color w:val="auto"/>
                      <w:szCs w:val="21"/>
                    </w:rPr>
                  </w:pPr>
                  <w:r>
                    <w:rPr>
                      <w:rFonts w:ascii="Times New Roman" w:hAnsi="Times New Roman" w:cs="Times New Roman"/>
                      <w:color w:val="auto"/>
                      <w:szCs w:val="21"/>
                    </w:rPr>
                    <w:t>较敏感</w:t>
                  </w:r>
                </w:p>
              </w:tc>
              <w:tc>
                <w:tcPr>
                  <w:tcW w:w="7413" w:type="dxa"/>
                  <w:noWrap w:val="0"/>
                  <w:vAlign w:val="center"/>
                </w:tcPr>
                <w:p>
                  <w:pPr>
                    <w:jc w:val="center"/>
                    <w:rPr>
                      <w:color w:val="auto"/>
                      <w:szCs w:val="21"/>
                    </w:rPr>
                  </w:pPr>
                  <w:r>
                    <w:rPr>
                      <w:rFonts w:ascii="Times New Roman" w:hAnsi="Times New Roman" w:cs="Times New Roman"/>
                      <w:color w:val="auto"/>
                      <w:szCs w:val="21"/>
                    </w:rPr>
                    <w:t>集中式饮用水源地（包括已建成的在用、备用、应急水源地，在建和规划的水源地）准保护区以外的补给径流区；未划定准保护区的集中式饮用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80" w:type="dxa"/>
                  <w:noWrap w:val="0"/>
                  <w:vAlign w:val="center"/>
                </w:tcPr>
                <w:p>
                  <w:pPr>
                    <w:jc w:val="center"/>
                    <w:rPr>
                      <w:color w:val="auto"/>
                      <w:szCs w:val="21"/>
                    </w:rPr>
                  </w:pPr>
                  <w:r>
                    <w:rPr>
                      <w:rFonts w:ascii="Times New Roman" w:hAnsi="Times New Roman" w:cs="Times New Roman"/>
                      <w:color w:val="auto"/>
                      <w:szCs w:val="21"/>
                    </w:rPr>
                    <w:t>不敏感</w:t>
                  </w:r>
                </w:p>
              </w:tc>
              <w:tc>
                <w:tcPr>
                  <w:tcW w:w="7413" w:type="dxa"/>
                  <w:noWrap w:val="0"/>
                  <w:vAlign w:val="center"/>
                </w:tcPr>
                <w:p>
                  <w:pPr>
                    <w:jc w:val="center"/>
                    <w:rPr>
                      <w:color w:val="auto"/>
                      <w:szCs w:val="21"/>
                    </w:rPr>
                  </w:pPr>
                  <w:r>
                    <w:rPr>
                      <w:rFonts w:ascii="Times New Roman" w:hAnsi="Times New Roman" w:cs="Times New Roman"/>
                      <w:color w:val="auto"/>
                      <w:szCs w:val="21"/>
                    </w:rPr>
                    <w:t>上述地区之外的其它地区</w:t>
                  </w:r>
                </w:p>
              </w:tc>
            </w:tr>
          </w:tbl>
          <w:p>
            <w:pPr>
              <w:spacing w:line="360" w:lineRule="auto"/>
              <w:jc w:val="center"/>
              <w:rPr>
                <w:rFonts w:hint="eastAsia" w:ascii="Times New Roman" w:hAnsi="Times New Roman" w:cs="Times New Roman"/>
                <w:b/>
                <w:color w:val="auto"/>
                <w:kern w:val="0"/>
                <w:szCs w:val="24"/>
              </w:rPr>
            </w:pPr>
            <w:r>
              <w:rPr>
                <w:rFonts w:hint="eastAsia" w:ascii="Times New Roman" w:hAnsi="Times New Roman" w:cs="Times New Roman"/>
                <w:b/>
                <w:color w:val="auto"/>
                <w:kern w:val="0"/>
                <w:szCs w:val="24"/>
              </w:rPr>
              <w:t>表7-</w:t>
            </w:r>
            <w:r>
              <w:rPr>
                <w:rFonts w:ascii="Times New Roman" w:hAnsi="Times New Roman" w:cs="Times New Roman"/>
                <w:b/>
                <w:color w:val="auto"/>
                <w:kern w:val="0"/>
                <w:szCs w:val="24"/>
              </w:rPr>
              <w:t>1</w:t>
            </w:r>
            <w:r>
              <w:rPr>
                <w:rFonts w:hint="eastAsia" w:cs="Times New Roman"/>
                <w:b/>
                <w:color w:val="auto"/>
                <w:kern w:val="0"/>
                <w:szCs w:val="24"/>
                <w:lang w:val="en-US" w:eastAsia="zh-CN"/>
              </w:rPr>
              <w:t>9</w:t>
            </w:r>
            <w:r>
              <w:rPr>
                <w:rFonts w:hint="eastAsia" w:ascii="Times New Roman" w:hAnsi="Times New Roman" w:cs="Times New Roman"/>
                <w:b/>
                <w:color w:val="auto"/>
                <w:kern w:val="0"/>
                <w:szCs w:val="24"/>
              </w:rPr>
              <w:t xml:space="preserve"> 评价等级分级表</w:t>
            </w:r>
          </w:p>
          <w:tbl>
            <w:tblPr>
              <w:tblStyle w:val="22"/>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4"/>
              <w:gridCol w:w="2171"/>
              <w:gridCol w:w="2172"/>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exact"/>
                <w:jc w:val="center"/>
              </w:trPr>
              <w:tc>
                <w:tcPr>
                  <w:tcW w:w="2184" w:type="dxa"/>
                  <w:noWrap w:val="0"/>
                  <w:vAlign w:val="top"/>
                </w:tcPr>
                <w:p>
                  <w:pPr>
                    <w:spacing w:line="289" w:lineRule="exact"/>
                    <w:ind w:left="670" w:right="-20"/>
                    <w:rPr>
                      <w:rFonts w:ascii="宋体" w:hAnsi="宋体" w:cs="微软雅黑"/>
                      <w:color w:val="auto"/>
                      <w:szCs w:val="21"/>
                    </w:rPr>
                  </w:pPr>
                  <w:r>
                    <w:rPr>
                      <w:rFonts w:ascii="宋体" w:hAnsi="宋体" w:cs="微软雅黑"/>
                      <w:color w:val="auto"/>
                      <w:szCs w:val="21"/>
                    </w:rPr>
                    <w:t>敏感</w:t>
                  </w:r>
                  <w:r>
                    <w:rPr>
                      <w:rFonts w:ascii="宋体" w:hAnsi="宋体" w:cs="微软雅黑"/>
                      <w:color w:val="auto"/>
                      <w:spacing w:val="-2"/>
                      <w:szCs w:val="21"/>
                    </w:rPr>
                    <w:t>程</w:t>
                  </w:r>
                  <w:r>
                    <w:rPr>
                      <w:rFonts w:ascii="宋体" w:hAnsi="宋体" w:cs="微软雅黑"/>
                      <w:color w:val="auto"/>
                      <w:szCs w:val="21"/>
                    </w:rPr>
                    <w:t>度</w:t>
                  </w:r>
                </w:p>
              </w:tc>
              <w:tc>
                <w:tcPr>
                  <w:tcW w:w="2171" w:type="dxa"/>
                  <w:noWrap w:val="0"/>
                  <w:vAlign w:val="top"/>
                </w:tcPr>
                <w:p>
                  <w:pPr>
                    <w:spacing w:line="289" w:lineRule="exact"/>
                    <w:ind w:left="652" w:right="-20"/>
                    <w:rPr>
                      <w:rFonts w:ascii="宋体" w:hAnsi="宋体" w:cs="微软雅黑"/>
                      <w:color w:val="auto"/>
                      <w:szCs w:val="21"/>
                    </w:rPr>
                  </w:pPr>
                  <w:r>
                    <w:rPr>
                      <w:rFonts w:ascii="宋体" w:hAnsi="宋体" w:cs="微软雅黑"/>
                      <w:color w:val="auto"/>
                      <w:szCs w:val="21"/>
                    </w:rPr>
                    <w:t>Ⅰ类</w:t>
                  </w:r>
                  <w:r>
                    <w:rPr>
                      <w:rFonts w:ascii="宋体" w:hAnsi="宋体" w:cs="微软雅黑"/>
                      <w:color w:val="auto"/>
                      <w:spacing w:val="-2"/>
                      <w:szCs w:val="21"/>
                    </w:rPr>
                    <w:t>项</w:t>
                  </w:r>
                  <w:r>
                    <w:rPr>
                      <w:rFonts w:ascii="宋体" w:hAnsi="宋体" w:cs="微软雅黑"/>
                      <w:color w:val="auto"/>
                      <w:szCs w:val="21"/>
                    </w:rPr>
                    <w:t>目</w:t>
                  </w:r>
                </w:p>
              </w:tc>
              <w:tc>
                <w:tcPr>
                  <w:tcW w:w="2172" w:type="dxa"/>
                  <w:noWrap w:val="0"/>
                  <w:vAlign w:val="top"/>
                </w:tcPr>
                <w:p>
                  <w:pPr>
                    <w:spacing w:line="289" w:lineRule="exact"/>
                    <w:ind w:left="652" w:right="-20"/>
                    <w:rPr>
                      <w:rFonts w:ascii="宋体" w:hAnsi="宋体" w:cs="微软雅黑"/>
                      <w:color w:val="auto"/>
                      <w:szCs w:val="21"/>
                    </w:rPr>
                  </w:pPr>
                  <w:r>
                    <w:rPr>
                      <w:rFonts w:ascii="宋体" w:hAnsi="宋体" w:cs="微软雅黑"/>
                      <w:color w:val="auto"/>
                      <w:szCs w:val="21"/>
                    </w:rPr>
                    <w:t>Ⅱ类</w:t>
                  </w:r>
                  <w:r>
                    <w:rPr>
                      <w:rFonts w:ascii="宋体" w:hAnsi="宋体" w:cs="微软雅黑"/>
                      <w:color w:val="auto"/>
                      <w:spacing w:val="-2"/>
                      <w:szCs w:val="21"/>
                    </w:rPr>
                    <w:t>项</w:t>
                  </w:r>
                  <w:r>
                    <w:rPr>
                      <w:rFonts w:ascii="宋体" w:hAnsi="宋体" w:cs="微软雅黑"/>
                      <w:color w:val="auto"/>
                      <w:szCs w:val="21"/>
                    </w:rPr>
                    <w:t>目</w:t>
                  </w:r>
                </w:p>
              </w:tc>
              <w:tc>
                <w:tcPr>
                  <w:tcW w:w="2172" w:type="dxa"/>
                  <w:noWrap w:val="0"/>
                  <w:vAlign w:val="top"/>
                </w:tcPr>
                <w:p>
                  <w:pPr>
                    <w:spacing w:line="289" w:lineRule="exact"/>
                    <w:ind w:left="652" w:right="-20"/>
                    <w:rPr>
                      <w:rFonts w:ascii="宋体" w:hAnsi="宋体" w:cs="微软雅黑"/>
                      <w:color w:val="auto"/>
                      <w:szCs w:val="21"/>
                    </w:rPr>
                  </w:pPr>
                  <w:r>
                    <w:rPr>
                      <w:rFonts w:ascii="宋体" w:hAnsi="宋体" w:cs="微软雅黑"/>
                      <w:color w:val="auto"/>
                      <w:szCs w:val="21"/>
                    </w:rPr>
                    <w:t>Ⅲ类</w:t>
                  </w:r>
                  <w:r>
                    <w:rPr>
                      <w:rFonts w:ascii="宋体" w:hAnsi="宋体" w:cs="微软雅黑"/>
                      <w:color w:val="auto"/>
                      <w:spacing w:val="-2"/>
                      <w:szCs w:val="21"/>
                    </w:rPr>
                    <w:t>项</w:t>
                  </w:r>
                  <w:r>
                    <w:rPr>
                      <w:rFonts w:ascii="宋体" w:hAnsi="宋体" w:cs="微软雅黑"/>
                      <w:color w:val="auto"/>
                      <w:szCs w:val="21"/>
                    </w:rPr>
                    <w:t>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exact"/>
                <w:jc w:val="center"/>
              </w:trPr>
              <w:tc>
                <w:tcPr>
                  <w:tcW w:w="2184" w:type="dxa"/>
                  <w:noWrap w:val="0"/>
                  <w:vAlign w:val="top"/>
                </w:tcPr>
                <w:p>
                  <w:pPr>
                    <w:spacing w:line="287" w:lineRule="exact"/>
                    <w:ind w:left="845" w:right="803"/>
                    <w:jc w:val="center"/>
                    <w:rPr>
                      <w:rFonts w:ascii="宋体" w:hAnsi="宋体" w:cs="微软雅黑"/>
                      <w:color w:val="auto"/>
                      <w:szCs w:val="21"/>
                    </w:rPr>
                  </w:pPr>
                  <w:r>
                    <w:rPr>
                      <w:rFonts w:ascii="宋体" w:hAnsi="宋体" w:cs="微软雅黑"/>
                      <w:color w:val="auto"/>
                      <w:szCs w:val="21"/>
                    </w:rPr>
                    <w:t>敏感</w:t>
                  </w:r>
                </w:p>
              </w:tc>
              <w:tc>
                <w:tcPr>
                  <w:tcW w:w="2171" w:type="dxa"/>
                  <w:noWrap w:val="0"/>
                  <w:vAlign w:val="top"/>
                </w:tcPr>
                <w:p>
                  <w:pPr>
                    <w:spacing w:line="287" w:lineRule="exact"/>
                    <w:ind w:left="930" w:right="910"/>
                    <w:jc w:val="center"/>
                    <w:rPr>
                      <w:rFonts w:ascii="宋体" w:hAnsi="宋体" w:cs="微软雅黑"/>
                      <w:color w:val="auto"/>
                      <w:szCs w:val="21"/>
                    </w:rPr>
                  </w:pPr>
                  <w:r>
                    <w:rPr>
                      <w:rFonts w:ascii="宋体" w:hAnsi="宋体" w:cs="微软雅黑"/>
                      <w:color w:val="auto"/>
                      <w:szCs w:val="21"/>
                    </w:rPr>
                    <w:t>一</w:t>
                  </w:r>
                </w:p>
              </w:tc>
              <w:tc>
                <w:tcPr>
                  <w:tcW w:w="2172" w:type="dxa"/>
                  <w:noWrap w:val="0"/>
                  <w:vAlign w:val="top"/>
                </w:tcPr>
                <w:p>
                  <w:pPr>
                    <w:spacing w:line="287" w:lineRule="exact"/>
                    <w:ind w:left="931" w:right="910"/>
                    <w:jc w:val="center"/>
                    <w:rPr>
                      <w:rFonts w:ascii="宋体" w:hAnsi="宋体" w:cs="微软雅黑"/>
                      <w:color w:val="auto"/>
                      <w:szCs w:val="21"/>
                    </w:rPr>
                  </w:pPr>
                  <w:r>
                    <w:rPr>
                      <w:rFonts w:ascii="宋体" w:hAnsi="宋体" w:cs="微软雅黑"/>
                      <w:color w:val="auto"/>
                      <w:szCs w:val="21"/>
                    </w:rPr>
                    <w:t>一</w:t>
                  </w:r>
                </w:p>
              </w:tc>
              <w:tc>
                <w:tcPr>
                  <w:tcW w:w="2172" w:type="dxa"/>
                  <w:noWrap w:val="0"/>
                  <w:vAlign w:val="top"/>
                </w:tcPr>
                <w:p>
                  <w:pPr>
                    <w:spacing w:line="287" w:lineRule="exact"/>
                    <w:ind w:left="931" w:right="916"/>
                    <w:jc w:val="center"/>
                    <w:rPr>
                      <w:rFonts w:ascii="宋体" w:hAnsi="宋体" w:cs="微软雅黑"/>
                      <w:color w:val="auto"/>
                      <w:szCs w:val="21"/>
                    </w:rPr>
                  </w:pPr>
                  <w:r>
                    <w:rPr>
                      <w:rFonts w:ascii="宋体" w:hAnsi="宋体" w:cs="微软雅黑"/>
                      <w:color w:val="auto"/>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exact"/>
                <w:jc w:val="center"/>
              </w:trPr>
              <w:tc>
                <w:tcPr>
                  <w:tcW w:w="2184" w:type="dxa"/>
                  <w:noWrap w:val="0"/>
                  <w:vAlign w:val="top"/>
                </w:tcPr>
                <w:p>
                  <w:pPr>
                    <w:spacing w:line="287" w:lineRule="exact"/>
                    <w:ind w:left="739" w:right="697"/>
                    <w:jc w:val="center"/>
                    <w:rPr>
                      <w:rFonts w:ascii="宋体" w:hAnsi="宋体" w:cs="微软雅黑"/>
                      <w:color w:val="auto"/>
                      <w:szCs w:val="21"/>
                    </w:rPr>
                  </w:pPr>
                  <w:r>
                    <w:rPr>
                      <w:rFonts w:ascii="宋体" w:hAnsi="宋体" w:cs="微软雅黑"/>
                      <w:color w:val="auto"/>
                      <w:szCs w:val="21"/>
                    </w:rPr>
                    <w:t>较敏感</w:t>
                  </w:r>
                </w:p>
              </w:tc>
              <w:tc>
                <w:tcPr>
                  <w:tcW w:w="2171" w:type="dxa"/>
                  <w:noWrap w:val="0"/>
                  <w:vAlign w:val="top"/>
                </w:tcPr>
                <w:p>
                  <w:pPr>
                    <w:spacing w:line="287" w:lineRule="exact"/>
                    <w:ind w:left="930" w:right="910"/>
                    <w:jc w:val="center"/>
                    <w:rPr>
                      <w:rFonts w:ascii="宋体" w:hAnsi="宋体" w:cs="微软雅黑"/>
                      <w:color w:val="auto"/>
                      <w:szCs w:val="21"/>
                    </w:rPr>
                  </w:pPr>
                  <w:r>
                    <w:rPr>
                      <w:rFonts w:ascii="宋体" w:hAnsi="宋体" w:cs="微软雅黑"/>
                      <w:color w:val="auto"/>
                      <w:szCs w:val="21"/>
                    </w:rPr>
                    <w:t>一</w:t>
                  </w:r>
                </w:p>
              </w:tc>
              <w:tc>
                <w:tcPr>
                  <w:tcW w:w="2172" w:type="dxa"/>
                  <w:noWrap w:val="0"/>
                  <w:vAlign w:val="top"/>
                </w:tcPr>
                <w:p>
                  <w:pPr>
                    <w:spacing w:line="287" w:lineRule="exact"/>
                    <w:ind w:left="931" w:right="910"/>
                    <w:jc w:val="center"/>
                    <w:rPr>
                      <w:rFonts w:ascii="宋体" w:hAnsi="宋体" w:cs="微软雅黑"/>
                      <w:color w:val="auto"/>
                      <w:szCs w:val="21"/>
                    </w:rPr>
                  </w:pPr>
                  <w:r>
                    <w:rPr>
                      <w:rFonts w:ascii="宋体" w:hAnsi="宋体" w:cs="微软雅黑"/>
                      <w:color w:val="auto"/>
                      <w:szCs w:val="21"/>
                    </w:rPr>
                    <w:t>二</w:t>
                  </w:r>
                </w:p>
              </w:tc>
              <w:tc>
                <w:tcPr>
                  <w:tcW w:w="2172" w:type="dxa"/>
                  <w:noWrap w:val="0"/>
                  <w:vAlign w:val="top"/>
                </w:tcPr>
                <w:p>
                  <w:pPr>
                    <w:spacing w:line="287" w:lineRule="exact"/>
                    <w:ind w:left="931" w:right="916"/>
                    <w:jc w:val="center"/>
                    <w:rPr>
                      <w:rFonts w:ascii="宋体" w:hAnsi="宋体" w:cs="微软雅黑"/>
                      <w:color w:val="auto"/>
                      <w:szCs w:val="21"/>
                    </w:rPr>
                  </w:pPr>
                  <w:r>
                    <w:rPr>
                      <w:rFonts w:ascii="宋体" w:hAnsi="宋体" w:cs="微软雅黑"/>
                      <w:color w:val="auto"/>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exact"/>
                <w:jc w:val="center"/>
              </w:trPr>
              <w:tc>
                <w:tcPr>
                  <w:tcW w:w="2184" w:type="dxa"/>
                  <w:noWrap w:val="0"/>
                  <w:vAlign w:val="top"/>
                </w:tcPr>
                <w:p>
                  <w:pPr>
                    <w:spacing w:line="287" w:lineRule="exact"/>
                    <w:ind w:left="739" w:right="697"/>
                    <w:jc w:val="center"/>
                    <w:rPr>
                      <w:rFonts w:ascii="宋体" w:hAnsi="宋体" w:cs="微软雅黑"/>
                      <w:color w:val="auto"/>
                      <w:szCs w:val="21"/>
                    </w:rPr>
                  </w:pPr>
                  <w:r>
                    <w:rPr>
                      <w:rFonts w:ascii="宋体" w:hAnsi="宋体" w:cs="微软雅黑"/>
                      <w:color w:val="auto"/>
                      <w:szCs w:val="21"/>
                    </w:rPr>
                    <w:t>不敏感</w:t>
                  </w:r>
                </w:p>
              </w:tc>
              <w:tc>
                <w:tcPr>
                  <w:tcW w:w="2171" w:type="dxa"/>
                  <w:noWrap w:val="0"/>
                  <w:vAlign w:val="top"/>
                </w:tcPr>
                <w:p>
                  <w:pPr>
                    <w:spacing w:line="287" w:lineRule="exact"/>
                    <w:ind w:left="930" w:right="910"/>
                    <w:jc w:val="center"/>
                    <w:rPr>
                      <w:rFonts w:ascii="宋体" w:hAnsi="宋体" w:cs="微软雅黑"/>
                      <w:color w:val="auto"/>
                      <w:szCs w:val="21"/>
                    </w:rPr>
                  </w:pPr>
                  <w:r>
                    <w:rPr>
                      <w:rFonts w:ascii="宋体" w:hAnsi="宋体" w:cs="微软雅黑"/>
                      <w:color w:val="auto"/>
                      <w:szCs w:val="21"/>
                    </w:rPr>
                    <w:t>二</w:t>
                  </w:r>
                </w:p>
              </w:tc>
              <w:tc>
                <w:tcPr>
                  <w:tcW w:w="2172" w:type="dxa"/>
                  <w:noWrap w:val="0"/>
                  <w:vAlign w:val="top"/>
                </w:tcPr>
                <w:p>
                  <w:pPr>
                    <w:spacing w:line="287" w:lineRule="exact"/>
                    <w:ind w:left="931" w:right="910"/>
                    <w:jc w:val="center"/>
                    <w:rPr>
                      <w:rFonts w:ascii="宋体" w:hAnsi="宋体" w:cs="微软雅黑"/>
                      <w:color w:val="auto"/>
                      <w:szCs w:val="21"/>
                    </w:rPr>
                  </w:pPr>
                  <w:r>
                    <w:rPr>
                      <w:rFonts w:ascii="宋体" w:hAnsi="宋体" w:cs="微软雅黑"/>
                      <w:color w:val="auto"/>
                      <w:szCs w:val="21"/>
                    </w:rPr>
                    <w:t>三</w:t>
                  </w:r>
                </w:p>
              </w:tc>
              <w:tc>
                <w:tcPr>
                  <w:tcW w:w="2172" w:type="dxa"/>
                  <w:noWrap w:val="0"/>
                  <w:vAlign w:val="top"/>
                </w:tcPr>
                <w:p>
                  <w:pPr>
                    <w:spacing w:line="287" w:lineRule="exact"/>
                    <w:ind w:left="931" w:right="916"/>
                    <w:jc w:val="center"/>
                    <w:rPr>
                      <w:rFonts w:ascii="宋体" w:hAnsi="宋体" w:cs="微软雅黑"/>
                      <w:color w:val="auto"/>
                      <w:szCs w:val="21"/>
                    </w:rPr>
                  </w:pPr>
                  <w:r>
                    <w:rPr>
                      <w:rFonts w:ascii="宋体" w:hAnsi="宋体" w:cs="微软雅黑"/>
                      <w:color w:val="auto"/>
                      <w:szCs w:val="21"/>
                    </w:rPr>
                    <w:t>三</w:t>
                  </w:r>
                </w:p>
              </w:tc>
            </w:tr>
          </w:tbl>
          <w:p>
            <w:pPr>
              <w:spacing w:line="360" w:lineRule="auto"/>
              <w:ind w:firstLine="480" w:firstLineChars="20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根据《环境影响评价技术导则  地下水环境》（HJ610-2016）附录A，本项目属于城镇基础设施及房地产中的第155项“废旧资源（含生物质）加工、再生利用”中的其他。因此确定地下水环境影响评价项目类别为Ⅳ类。Ⅳ类建设项目不需开展地下水环境影响评价</w:t>
            </w:r>
            <w:r>
              <w:rPr>
                <w:rFonts w:ascii="Times New Roman" w:hAnsi="Times New Roman" w:cs="Times New Roman"/>
                <w:color w:val="auto"/>
                <w:kern w:val="0"/>
                <w:sz w:val="24"/>
                <w:szCs w:val="24"/>
              </w:rPr>
              <w:t>。</w:t>
            </w:r>
          </w:p>
          <w:p>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cs="Times New Roman"/>
                <w:color w:val="auto"/>
                <w:kern w:val="0"/>
                <w:sz w:val="24"/>
                <w:szCs w:val="24"/>
                <w:lang w:eastAsia="zh-CN"/>
              </w:rPr>
              <w:t>厂区采用雨污分流排放体制，地面进行硬化处理，沉淀池作防渗处理，正常情况下对地下水环境影响较小。</w:t>
            </w:r>
          </w:p>
          <w:p>
            <w:pPr>
              <w:rPr>
                <w:rFonts w:hint="eastAsia" w:ascii="Times New Roman" w:hAnsi="Times New Roman"/>
                <w:b/>
                <w:color w:val="auto"/>
                <w:sz w:val="28"/>
                <w:szCs w:val="28"/>
              </w:rPr>
            </w:pPr>
            <w:r>
              <w:rPr>
                <w:rFonts w:hint="eastAsia" w:ascii="Times New Roman" w:hAnsi="Times New Roman"/>
                <w:b/>
                <w:color w:val="auto"/>
                <w:sz w:val="28"/>
                <w:szCs w:val="28"/>
              </w:rPr>
              <w:t>7环境风险分析及防范措施</w:t>
            </w:r>
          </w:p>
          <w:p>
            <w:pPr>
              <w:pStyle w:val="12"/>
              <w:adjustRightInd w:val="0"/>
              <w:spacing w:line="360" w:lineRule="auto"/>
              <w:ind w:left="0" w:leftChars="0"/>
              <w:rPr>
                <w:rFonts w:ascii="Times New Roman" w:hAnsi="Times New Roman"/>
                <w:b/>
                <w:bCs/>
                <w:color w:val="auto"/>
                <w:sz w:val="24"/>
              </w:rPr>
            </w:pPr>
            <w:r>
              <w:rPr>
                <w:rFonts w:ascii="Times New Roman" w:hAnsi="Times New Roman"/>
                <w:b/>
                <w:bCs/>
                <w:color w:val="auto"/>
                <w:sz w:val="24"/>
              </w:rPr>
              <w:t>7.1</w:t>
            </w:r>
            <w:r>
              <w:rPr>
                <w:rFonts w:hint="eastAsia" w:ascii="Times New Roman" w:hAnsi="Times New Roman"/>
                <w:b/>
                <w:bCs/>
                <w:color w:val="auto"/>
                <w:sz w:val="24"/>
              </w:rPr>
              <w:t xml:space="preserve"> </w:t>
            </w:r>
            <w:r>
              <w:rPr>
                <w:rFonts w:ascii="Times New Roman" w:hAnsi="Times New Roman"/>
                <w:b/>
                <w:bCs/>
                <w:color w:val="auto"/>
                <w:sz w:val="24"/>
              </w:rPr>
              <w:t>环境风险评价目的</w:t>
            </w:r>
          </w:p>
          <w:p>
            <w:pPr>
              <w:pStyle w:val="33"/>
              <w:rPr>
                <w:rFonts w:hint="eastAsia" w:ascii="Times New Roman" w:hAnsi="Times New Roman" w:cs="Times New Roman"/>
                <w:color w:val="auto"/>
                <w:kern w:val="0"/>
                <w:szCs w:val="24"/>
              </w:rPr>
            </w:pPr>
            <w:r>
              <w:rPr>
                <w:rFonts w:hint="eastAsia" w:ascii="Times New Roman" w:hAnsi="Times New Roman" w:cs="Times New Roman"/>
                <w:color w:val="auto"/>
                <w:lang w:bidi="ar"/>
              </w:rPr>
              <w:t>环</w:t>
            </w:r>
            <w:r>
              <w:rPr>
                <w:rFonts w:hint="eastAsia" w:ascii="Times New Roman" w:hAnsi="Times New Roman" w:cs="Times New Roman"/>
                <w:color w:val="auto"/>
                <w:kern w:val="0"/>
                <w:szCs w:val="24"/>
              </w:rPr>
              <w:t>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33"/>
              <w:rPr>
                <w:rFonts w:ascii="Times New Roman" w:hAnsi="Times New Roman" w:cs="Times New Roman"/>
                <w:color w:val="auto"/>
                <w:kern w:val="0"/>
                <w:szCs w:val="24"/>
              </w:rPr>
            </w:pPr>
            <w:r>
              <w:rPr>
                <w:rFonts w:hint="eastAsia" w:ascii="Times New Roman" w:hAnsi="Times New Roman" w:cs="Times New Roman"/>
                <w:color w:val="auto"/>
                <w:kern w:val="0"/>
                <w:szCs w:val="24"/>
              </w:rPr>
              <w:t>评价工作程序见图7-1：</w:t>
            </w:r>
          </w:p>
          <w:p>
            <w:pPr>
              <w:pStyle w:val="33"/>
              <w:jc w:val="center"/>
              <w:rPr>
                <w:color w:val="auto"/>
              </w:rPr>
            </w:pPr>
            <w:r>
              <w:rPr>
                <w:color w:val="auto"/>
              </w:rPr>
              <w:drawing>
                <wp:inline distT="0" distB="0" distL="114300" distR="114300">
                  <wp:extent cx="3844290" cy="3998595"/>
                  <wp:effectExtent l="0" t="0" r="3810" b="190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3"/>
                          <a:stretch>
                            <a:fillRect/>
                          </a:stretch>
                        </pic:blipFill>
                        <pic:spPr>
                          <a:xfrm>
                            <a:off x="0" y="0"/>
                            <a:ext cx="3844290" cy="3998595"/>
                          </a:xfrm>
                          <a:prstGeom prst="rect">
                            <a:avLst/>
                          </a:prstGeom>
                          <a:noFill/>
                          <a:ln>
                            <a:noFill/>
                          </a:ln>
                        </pic:spPr>
                      </pic:pic>
                    </a:graphicData>
                  </a:graphic>
                </wp:inline>
              </w:drawing>
            </w:r>
          </w:p>
          <w:p>
            <w:pPr>
              <w:spacing w:line="360" w:lineRule="auto"/>
              <w:ind w:firstLine="422" w:firstLineChars="200"/>
              <w:jc w:val="center"/>
              <w:rPr>
                <w:rFonts w:hint="eastAsia"/>
                <w:b/>
                <w:bCs/>
                <w:color w:val="auto"/>
                <w:kern w:val="0"/>
                <w:szCs w:val="21"/>
              </w:rPr>
            </w:pPr>
            <w:r>
              <w:rPr>
                <w:rFonts w:hint="eastAsia" w:ascii="宋体" w:hAnsi="宋体"/>
                <w:b/>
                <w:bCs/>
                <w:color w:val="auto"/>
                <w:kern w:val="0"/>
              </w:rPr>
              <w:t>图</w:t>
            </w:r>
            <w:r>
              <w:rPr>
                <w:rFonts w:hint="eastAsia"/>
                <w:b/>
                <w:bCs/>
                <w:color w:val="auto"/>
                <w:kern w:val="0"/>
              </w:rPr>
              <w:t xml:space="preserve">7-1  </w:t>
            </w:r>
            <w:r>
              <w:rPr>
                <w:rFonts w:hint="eastAsia" w:ascii="宋体" w:hAnsi="宋体"/>
                <w:b/>
                <w:bCs/>
                <w:color w:val="auto"/>
                <w:kern w:val="0"/>
              </w:rPr>
              <w:t>评价工作程序</w:t>
            </w:r>
          </w:p>
          <w:p>
            <w:pPr>
              <w:pStyle w:val="12"/>
              <w:adjustRightInd w:val="0"/>
              <w:ind w:left="0" w:leftChars="0"/>
              <w:rPr>
                <w:rFonts w:ascii="Times New Roman" w:hAnsi="Times New Roman"/>
                <w:b/>
                <w:bCs/>
                <w:color w:val="auto"/>
                <w:sz w:val="24"/>
              </w:rPr>
            </w:pPr>
            <w:r>
              <w:rPr>
                <w:rFonts w:ascii="Times New Roman" w:hAnsi="Times New Roman"/>
                <w:b/>
                <w:bCs/>
                <w:color w:val="auto"/>
                <w:sz w:val="24"/>
              </w:rPr>
              <w:t>7.2风险识别</w:t>
            </w:r>
          </w:p>
          <w:p>
            <w:pPr>
              <w:pStyle w:val="12"/>
              <w:adjustRightInd w:val="0"/>
              <w:spacing w:after="0" w:line="360" w:lineRule="auto"/>
              <w:rPr>
                <w:rFonts w:ascii="Times New Roman" w:hAnsi="Times New Roman"/>
                <w:color w:val="auto"/>
                <w:sz w:val="24"/>
              </w:rPr>
            </w:pPr>
            <w:r>
              <w:rPr>
                <w:rFonts w:hint="eastAsia" w:ascii="Times New Roman" w:hAnsi="Times New Roman"/>
                <w:color w:val="auto"/>
                <w:sz w:val="24"/>
              </w:rPr>
              <w:t>（1）</w:t>
            </w:r>
            <w:r>
              <w:rPr>
                <w:rFonts w:ascii="Times New Roman" w:hAnsi="Times New Roman"/>
                <w:color w:val="auto"/>
                <w:sz w:val="24"/>
              </w:rPr>
              <w:t>物质危险性识别</w:t>
            </w:r>
          </w:p>
          <w:p>
            <w:pPr>
              <w:pStyle w:val="64"/>
              <w:ind w:firstLine="480"/>
              <w:rPr>
                <w:rFonts w:hint="default" w:ascii="Times New Roman" w:hAnsi="Times New Roman" w:eastAsia="宋体" w:cs="Times New Roman"/>
                <w:b w:val="0"/>
                <w:color w:val="auto"/>
                <w:kern w:val="2"/>
                <w:sz w:val="24"/>
                <w:szCs w:val="24"/>
              </w:rPr>
            </w:pPr>
            <w:r>
              <w:rPr>
                <w:rFonts w:hint="default" w:ascii="Times New Roman" w:hAnsi="Times New Roman" w:eastAsia="宋体" w:cs="Times New Roman"/>
                <w:color w:val="auto"/>
                <w:sz w:val="24"/>
                <w:szCs w:val="24"/>
                <w:lang w:bidi="ar"/>
              </w:rPr>
              <w:t xml:space="preserve"> </w:t>
            </w:r>
            <w:r>
              <w:rPr>
                <w:rFonts w:hint="default" w:ascii="Times New Roman" w:hAnsi="Times New Roman" w:eastAsia="宋体" w:cs="Times New Roman"/>
                <w:b w:val="0"/>
                <w:color w:val="auto"/>
                <w:kern w:val="2"/>
                <w:sz w:val="24"/>
                <w:szCs w:val="24"/>
              </w:rPr>
              <w:t>本项目炭窑炭化过程中产生的木煤气，为易燃易爆有毒气体，具有较大的潜在危险性。</w:t>
            </w:r>
            <w:r>
              <w:rPr>
                <w:rFonts w:hint="default" w:ascii="Times New Roman" w:hAnsi="Times New Roman" w:eastAsia="宋体" w:cs="Times New Roman"/>
                <w:b w:val="0"/>
                <w:color w:val="auto"/>
                <w:kern w:val="2"/>
                <w:sz w:val="24"/>
                <w:szCs w:val="24"/>
                <w:u w:val="single"/>
              </w:rPr>
              <w:t>另外项目产生副产品木焦油、木醋液中含有多种有毒物质。在突发性的事故状态下，如不采取有效措施，一旦发生火灾、爆炸、泄漏等事故，势必将危及人群和周围自然环境</w:t>
            </w:r>
            <w:r>
              <w:rPr>
                <w:rFonts w:hint="default" w:ascii="Times New Roman" w:hAnsi="Times New Roman" w:eastAsia="宋体" w:cs="Times New Roman"/>
                <w:b w:val="0"/>
                <w:color w:val="auto"/>
                <w:kern w:val="2"/>
                <w:sz w:val="24"/>
                <w:szCs w:val="24"/>
              </w:rPr>
              <w:t>。根据《危险化学品名录》（2015）以及《危险化学品重大危险源辨识》（GB18218-2014），</w:t>
            </w:r>
            <w:r>
              <w:rPr>
                <w:rFonts w:hint="eastAsia" w:cs="Times New Roman"/>
                <w:b w:val="0"/>
                <w:color w:val="auto"/>
                <w:kern w:val="2"/>
                <w:sz w:val="24"/>
                <w:szCs w:val="24"/>
                <w:lang w:eastAsia="zh-CN"/>
              </w:rPr>
              <w:t>本</w:t>
            </w:r>
            <w:r>
              <w:rPr>
                <w:rFonts w:hint="default" w:ascii="Times New Roman" w:hAnsi="Times New Roman" w:eastAsia="宋体" w:cs="Times New Roman"/>
                <w:b w:val="0"/>
                <w:color w:val="auto"/>
                <w:kern w:val="2"/>
                <w:sz w:val="24"/>
                <w:szCs w:val="24"/>
              </w:rPr>
              <w:t>项目主要环境风险因子见下表7-</w:t>
            </w:r>
            <w:r>
              <w:rPr>
                <w:rFonts w:hint="eastAsia" w:cs="Times New Roman"/>
                <w:b w:val="0"/>
                <w:color w:val="auto"/>
                <w:kern w:val="2"/>
                <w:sz w:val="24"/>
                <w:szCs w:val="24"/>
                <w:lang w:val="en-US" w:eastAsia="zh-CN"/>
              </w:rPr>
              <w:t>20</w:t>
            </w:r>
            <w:r>
              <w:rPr>
                <w:rFonts w:hint="default" w:ascii="Times New Roman" w:hAnsi="Times New Roman" w:eastAsia="宋体" w:cs="Times New Roman"/>
                <w:b w:val="0"/>
                <w:color w:val="auto"/>
                <w:kern w:val="2"/>
                <w:sz w:val="24"/>
                <w:szCs w:val="24"/>
              </w:rPr>
              <w:t>。</w:t>
            </w:r>
          </w:p>
          <w:p>
            <w:pPr>
              <w:pStyle w:val="43"/>
              <w:rPr>
                <w:rFonts w:eastAsiaTheme="minorEastAsia"/>
                <w:color w:val="auto"/>
                <w:sz w:val="21"/>
                <w:szCs w:val="21"/>
              </w:rPr>
            </w:pPr>
            <w:r>
              <w:rPr>
                <w:rFonts w:hAnsiTheme="minorEastAsia" w:eastAsiaTheme="minorEastAsia"/>
                <w:color w:val="auto"/>
                <w:sz w:val="21"/>
                <w:szCs w:val="21"/>
              </w:rPr>
              <w:t>表</w:t>
            </w:r>
            <w:r>
              <w:rPr>
                <w:rFonts w:eastAsiaTheme="minorEastAsia"/>
                <w:color w:val="auto"/>
                <w:sz w:val="21"/>
                <w:szCs w:val="21"/>
              </w:rPr>
              <w:t>7-</w:t>
            </w:r>
            <w:r>
              <w:rPr>
                <w:rFonts w:hint="eastAsia" w:eastAsiaTheme="minorEastAsia"/>
                <w:color w:val="auto"/>
                <w:sz w:val="21"/>
                <w:szCs w:val="21"/>
                <w:lang w:val="en-US" w:eastAsia="zh-CN"/>
              </w:rPr>
              <w:t>20</w:t>
            </w:r>
            <w:r>
              <w:rPr>
                <w:rFonts w:eastAsiaTheme="minorEastAsia"/>
                <w:color w:val="auto"/>
                <w:sz w:val="21"/>
                <w:szCs w:val="21"/>
              </w:rPr>
              <w:t xml:space="preserve"> </w:t>
            </w:r>
            <w:r>
              <w:rPr>
                <w:rFonts w:hAnsiTheme="minorEastAsia" w:eastAsiaTheme="minorEastAsia"/>
                <w:color w:val="auto"/>
                <w:sz w:val="21"/>
                <w:szCs w:val="21"/>
              </w:rPr>
              <w:t>项目</w:t>
            </w:r>
            <w:r>
              <w:rPr>
                <w:rFonts w:eastAsiaTheme="minorEastAsia"/>
                <w:color w:val="auto"/>
                <w:sz w:val="21"/>
                <w:szCs w:val="21"/>
              </w:rPr>
              <w:t xml:space="preserve"> </w:t>
            </w:r>
            <w:r>
              <w:rPr>
                <w:rFonts w:hAnsiTheme="minorEastAsia" w:eastAsiaTheme="minorEastAsia"/>
                <w:color w:val="auto"/>
                <w:sz w:val="21"/>
                <w:szCs w:val="21"/>
              </w:rPr>
              <w:t>环境风险因子及其危险性一览表</w:t>
            </w:r>
          </w:p>
          <w:tbl>
            <w:tblPr>
              <w:tblStyle w:val="23"/>
              <w:tblW w:w="8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6"/>
              <w:gridCol w:w="2216"/>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722" w:type="dxa"/>
                  <w:gridSpan w:val="2"/>
                  <w:vAlign w:val="center"/>
                </w:tcPr>
                <w:p>
                  <w:pPr>
                    <w:spacing w:line="240" w:lineRule="atLeast"/>
                    <w:ind w:firstLine="0" w:firstLineChars="0"/>
                    <w:jc w:val="center"/>
                    <w:rPr>
                      <w:color w:val="auto"/>
                      <w:sz w:val="21"/>
                      <w:szCs w:val="21"/>
                    </w:rPr>
                  </w:pPr>
                  <w:r>
                    <w:rPr>
                      <w:rFonts w:hint="eastAsia"/>
                      <w:color w:val="auto"/>
                      <w:sz w:val="21"/>
                      <w:szCs w:val="21"/>
                    </w:rPr>
                    <w:t>类别名称</w:t>
                  </w:r>
                </w:p>
              </w:tc>
              <w:tc>
                <w:tcPr>
                  <w:tcW w:w="3917" w:type="dxa"/>
                  <w:vAlign w:val="center"/>
                </w:tcPr>
                <w:p>
                  <w:pPr>
                    <w:spacing w:line="240" w:lineRule="atLeast"/>
                    <w:ind w:firstLine="0" w:firstLineChars="0"/>
                    <w:jc w:val="center"/>
                    <w:rPr>
                      <w:color w:val="auto"/>
                      <w:sz w:val="21"/>
                      <w:szCs w:val="21"/>
                    </w:rPr>
                  </w:pPr>
                  <w:r>
                    <w:rPr>
                      <w:rFonts w:hint="eastAsia"/>
                      <w:color w:val="auto"/>
                      <w:sz w:val="21"/>
                      <w:szCs w:val="21"/>
                    </w:rPr>
                    <w:t>风险特性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506" w:type="dxa"/>
                  <w:vAlign w:val="center"/>
                </w:tcPr>
                <w:p>
                  <w:pPr>
                    <w:spacing w:line="240" w:lineRule="atLeast"/>
                    <w:ind w:firstLine="0" w:firstLineChars="0"/>
                    <w:jc w:val="center"/>
                    <w:rPr>
                      <w:color w:val="auto"/>
                      <w:sz w:val="21"/>
                      <w:szCs w:val="21"/>
                    </w:rPr>
                  </w:pPr>
                  <w:r>
                    <w:rPr>
                      <w:rFonts w:hint="eastAsia"/>
                      <w:color w:val="auto"/>
                      <w:sz w:val="21"/>
                      <w:szCs w:val="21"/>
                    </w:rPr>
                    <w:t>副产物</w:t>
                  </w:r>
                </w:p>
              </w:tc>
              <w:tc>
                <w:tcPr>
                  <w:tcW w:w="2216" w:type="dxa"/>
                  <w:vAlign w:val="center"/>
                </w:tcPr>
                <w:p>
                  <w:pPr>
                    <w:spacing w:line="240" w:lineRule="atLeast"/>
                    <w:ind w:firstLine="0" w:firstLineChars="0"/>
                    <w:jc w:val="center"/>
                    <w:rPr>
                      <w:color w:val="auto"/>
                      <w:sz w:val="21"/>
                      <w:szCs w:val="21"/>
                    </w:rPr>
                  </w:pPr>
                  <w:r>
                    <w:rPr>
                      <w:rFonts w:hint="eastAsia"/>
                      <w:color w:val="auto"/>
                      <w:sz w:val="21"/>
                      <w:szCs w:val="21"/>
                    </w:rPr>
                    <w:t>木煤气</w:t>
                  </w:r>
                </w:p>
              </w:tc>
              <w:tc>
                <w:tcPr>
                  <w:tcW w:w="3917" w:type="dxa"/>
                  <w:vAlign w:val="center"/>
                </w:tcPr>
                <w:p>
                  <w:pPr>
                    <w:spacing w:line="240" w:lineRule="atLeast"/>
                    <w:ind w:firstLine="0" w:firstLineChars="0"/>
                    <w:jc w:val="center"/>
                    <w:rPr>
                      <w:color w:val="auto"/>
                      <w:sz w:val="21"/>
                      <w:szCs w:val="21"/>
                    </w:rPr>
                  </w:pPr>
                  <w:r>
                    <w:rPr>
                      <w:rFonts w:hint="eastAsia"/>
                      <w:color w:val="auto"/>
                      <w:sz w:val="21"/>
                      <w:szCs w:val="21"/>
                    </w:rPr>
                    <w:t>易燃易爆有毒气体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506" w:type="dxa"/>
                  <w:vAlign w:val="center"/>
                </w:tcPr>
                <w:p>
                  <w:pPr>
                    <w:spacing w:line="240" w:lineRule="atLeast"/>
                    <w:ind w:firstLine="0" w:firstLineChars="0"/>
                    <w:jc w:val="center"/>
                    <w:rPr>
                      <w:color w:val="auto"/>
                      <w:sz w:val="21"/>
                      <w:szCs w:val="21"/>
                    </w:rPr>
                  </w:pPr>
                  <w:r>
                    <w:rPr>
                      <w:rFonts w:hint="eastAsia"/>
                      <w:color w:val="auto"/>
                      <w:sz w:val="21"/>
                      <w:szCs w:val="21"/>
                    </w:rPr>
                    <w:t>副产物</w:t>
                  </w:r>
                </w:p>
              </w:tc>
              <w:tc>
                <w:tcPr>
                  <w:tcW w:w="2216" w:type="dxa"/>
                  <w:vAlign w:val="center"/>
                </w:tcPr>
                <w:p>
                  <w:pPr>
                    <w:spacing w:line="240" w:lineRule="atLeast"/>
                    <w:ind w:firstLine="0" w:firstLineChars="0"/>
                    <w:jc w:val="center"/>
                    <w:rPr>
                      <w:color w:val="auto"/>
                      <w:sz w:val="21"/>
                      <w:szCs w:val="21"/>
                    </w:rPr>
                  </w:pPr>
                  <w:r>
                    <w:rPr>
                      <w:rFonts w:hint="eastAsia"/>
                      <w:color w:val="auto"/>
                      <w:sz w:val="21"/>
                      <w:szCs w:val="21"/>
                    </w:rPr>
                    <w:t>木焦油</w:t>
                  </w:r>
                </w:p>
              </w:tc>
              <w:tc>
                <w:tcPr>
                  <w:tcW w:w="3917" w:type="dxa"/>
                  <w:vAlign w:val="center"/>
                </w:tcPr>
                <w:p>
                  <w:pPr>
                    <w:spacing w:line="240" w:lineRule="atLeast"/>
                    <w:ind w:firstLine="0" w:firstLineChars="0"/>
                    <w:jc w:val="center"/>
                    <w:rPr>
                      <w:color w:val="auto"/>
                      <w:sz w:val="21"/>
                      <w:szCs w:val="21"/>
                    </w:rPr>
                  </w:pPr>
                  <w:r>
                    <w:rPr>
                      <w:rFonts w:hint="eastAsia"/>
                      <w:color w:val="auto"/>
                      <w:sz w:val="21"/>
                      <w:szCs w:val="21"/>
                    </w:rPr>
                    <w:t>有毒液体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06" w:type="dxa"/>
                  <w:vAlign w:val="center"/>
                </w:tcPr>
                <w:p>
                  <w:pPr>
                    <w:spacing w:line="240" w:lineRule="atLeast"/>
                    <w:ind w:firstLine="0" w:firstLineChars="0"/>
                    <w:jc w:val="center"/>
                    <w:rPr>
                      <w:color w:val="auto"/>
                      <w:sz w:val="21"/>
                      <w:szCs w:val="21"/>
                    </w:rPr>
                  </w:pPr>
                  <w:r>
                    <w:rPr>
                      <w:rFonts w:hint="eastAsia"/>
                      <w:color w:val="auto"/>
                      <w:sz w:val="21"/>
                      <w:szCs w:val="21"/>
                    </w:rPr>
                    <w:t>副产物</w:t>
                  </w:r>
                </w:p>
              </w:tc>
              <w:tc>
                <w:tcPr>
                  <w:tcW w:w="2216" w:type="dxa"/>
                  <w:vAlign w:val="center"/>
                </w:tcPr>
                <w:p>
                  <w:pPr>
                    <w:spacing w:line="240" w:lineRule="atLeast"/>
                    <w:ind w:firstLine="0" w:firstLineChars="0"/>
                    <w:jc w:val="center"/>
                    <w:rPr>
                      <w:color w:val="auto"/>
                      <w:sz w:val="21"/>
                      <w:szCs w:val="21"/>
                    </w:rPr>
                  </w:pPr>
                  <w:r>
                    <w:rPr>
                      <w:rFonts w:hint="eastAsia"/>
                      <w:color w:val="auto"/>
                      <w:sz w:val="21"/>
                      <w:szCs w:val="21"/>
                    </w:rPr>
                    <w:t>木醋液</w:t>
                  </w:r>
                </w:p>
              </w:tc>
              <w:tc>
                <w:tcPr>
                  <w:tcW w:w="3917" w:type="dxa"/>
                  <w:vAlign w:val="center"/>
                </w:tcPr>
                <w:p>
                  <w:pPr>
                    <w:spacing w:line="240" w:lineRule="atLeast"/>
                    <w:ind w:firstLine="0" w:firstLineChars="0"/>
                    <w:jc w:val="center"/>
                    <w:rPr>
                      <w:color w:val="auto"/>
                      <w:sz w:val="21"/>
                      <w:szCs w:val="21"/>
                    </w:rPr>
                  </w:pPr>
                  <w:r>
                    <w:rPr>
                      <w:rFonts w:hint="eastAsia"/>
                      <w:color w:val="auto"/>
                      <w:sz w:val="21"/>
                      <w:szCs w:val="21"/>
                    </w:rPr>
                    <w:t>有毒液体</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sz w:val="24"/>
                <w:szCs w:val="28"/>
              </w:rPr>
            </w:pPr>
            <w:r>
              <w:rPr>
                <w:rFonts w:hint="eastAsia"/>
                <w:color w:val="auto"/>
                <w:sz w:val="24"/>
                <w:szCs w:val="28"/>
              </w:rPr>
              <w:t>其理化性质及毒性见下表7-</w:t>
            </w:r>
            <w:r>
              <w:rPr>
                <w:rFonts w:hint="eastAsia"/>
                <w:color w:val="auto"/>
                <w:sz w:val="24"/>
                <w:szCs w:val="28"/>
                <w:lang w:val="en-US" w:eastAsia="zh-CN"/>
              </w:rPr>
              <w:t>21</w:t>
            </w:r>
            <w:r>
              <w:rPr>
                <w:rFonts w:hint="eastAsia"/>
                <w:color w:val="auto"/>
                <w:sz w:val="24"/>
                <w:szCs w:val="28"/>
              </w:rPr>
              <w:t>。</w:t>
            </w:r>
          </w:p>
          <w:p>
            <w:pPr>
              <w:ind w:firstLine="0" w:firstLineChars="0"/>
              <w:jc w:val="center"/>
              <w:rPr>
                <w:rFonts w:hint="eastAsia"/>
                <w:b/>
                <w:color w:val="auto"/>
                <w:sz w:val="21"/>
                <w:szCs w:val="21"/>
              </w:rPr>
            </w:pPr>
          </w:p>
          <w:p>
            <w:pPr>
              <w:ind w:firstLine="0" w:firstLineChars="0"/>
              <w:jc w:val="center"/>
              <w:rPr>
                <w:rFonts w:hint="eastAsia"/>
                <w:b/>
                <w:color w:val="auto"/>
                <w:sz w:val="21"/>
                <w:szCs w:val="21"/>
              </w:rPr>
            </w:pPr>
          </w:p>
          <w:p>
            <w:pPr>
              <w:ind w:firstLine="0" w:firstLineChars="0"/>
              <w:jc w:val="center"/>
              <w:rPr>
                <w:b/>
                <w:color w:val="auto"/>
                <w:sz w:val="21"/>
                <w:szCs w:val="21"/>
              </w:rPr>
            </w:pPr>
            <w:r>
              <w:rPr>
                <w:rFonts w:hint="eastAsia"/>
                <w:b/>
                <w:color w:val="auto"/>
                <w:sz w:val="21"/>
                <w:szCs w:val="21"/>
              </w:rPr>
              <w:t>表7-</w:t>
            </w:r>
            <w:r>
              <w:rPr>
                <w:rFonts w:hint="eastAsia"/>
                <w:b/>
                <w:color w:val="auto"/>
                <w:sz w:val="21"/>
                <w:szCs w:val="21"/>
                <w:lang w:val="en-US" w:eastAsia="zh-CN"/>
              </w:rPr>
              <w:t>21</w:t>
            </w:r>
            <w:r>
              <w:rPr>
                <w:rFonts w:hint="eastAsia"/>
                <w:b/>
                <w:color w:val="auto"/>
                <w:sz w:val="21"/>
                <w:szCs w:val="21"/>
              </w:rPr>
              <w:t xml:space="preserve"> 主要危险物有害因素的特性表</w:t>
            </w:r>
          </w:p>
          <w:tbl>
            <w:tblPr>
              <w:tblStyle w:val="23"/>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737"/>
              <w:gridCol w:w="1916"/>
              <w:gridCol w:w="5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Align w:val="center"/>
                </w:tcPr>
                <w:p>
                  <w:pPr>
                    <w:spacing w:line="240" w:lineRule="atLeast"/>
                    <w:ind w:firstLine="0" w:firstLineChars="0"/>
                    <w:rPr>
                      <w:color w:val="auto"/>
                      <w:sz w:val="21"/>
                      <w:szCs w:val="21"/>
                      <w:u w:val="none"/>
                    </w:rPr>
                  </w:pPr>
                  <w:r>
                    <w:rPr>
                      <w:rFonts w:hint="eastAsia"/>
                      <w:color w:val="auto"/>
                      <w:sz w:val="21"/>
                      <w:szCs w:val="21"/>
                      <w:u w:val="none"/>
                    </w:rPr>
                    <w:t>编号</w:t>
                  </w:r>
                </w:p>
              </w:tc>
              <w:tc>
                <w:tcPr>
                  <w:tcW w:w="737" w:type="dxa"/>
                  <w:vAlign w:val="center"/>
                </w:tcPr>
                <w:p>
                  <w:pPr>
                    <w:spacing w:line="240" w:lineRule="atLeast"/>
                    <w:ind w:firstLine="0" w:firstLineChars="0"/>
                    <w:rPr>
                      <w:color w:val="auto"/>
                      <w:sz w:val="21"/>
                      <w:szCs w:val="21"/>
                      <w:u w:val="none"/>
                    </w:rPr>
                  </w:pPr>
                  <w:r>
                    <w:rPr>
                      <w:rFonts w:hint="eastAsia"/>
                      <w:color w:val="auto"/>
                      <w:sz w:val="21"/>
                      <w:szCs w:val="21"/>
                      <w:u w:val="none"/>
                    </w:rPr>
                    <w:t>物质名称</w:t>
                  </w:r>
                </w:p>
              </w:tc>
              <w:tc>
                <w:tcPr>
                  <w:tcW w:w="1916" w:type="dxa"/>
                  <w:vAlign w:val="center"/>
                </w:tcPr>
                <w:p>
                  <w:pPr>
                    <w:spacing w:line="240" w:lineRule="atLeast"/>
                    <w:ind w:firstLine="0" w:firstLineChars="0"/>
                    <w:rPr>
                      <w:color w:val="auto"/>
                      <w:sz w:val="21"/>
                      <w:szCs w:val="21"/>
                      <w:u w:val="none"/>
                    </w:rPr>
                  </w:pPr>
                  <w:r>
                    <w:rPr>
                      <w:rFonts w:hint="eastAsia"/>
                      <w:color w:val="auto"/>
                      <w:sz w:val="21"/>
                      <w:szCs w:val="21"/>
                      <w:u w:val="none"/>
                    </w:rPr>
                    <w:t>形状</w:t>
                  </w:r>
                </w:p>
              </w:tc>
              <w:tc>
                <w:tcPr>
                  <w:tcW w:w="5382" w:type="dxa"/>
                  <w:vAlign w:val="center"/>
                </w:tcPr>
                <w:p>
                  <w:pPr>
                    <w:spacing w:line="240" w:lineRule="atLeast"/>
                    <w:ind w:firstLine="0" w:firstLineChars="0"/>
                    <w:rPr>
                      <w:color w:val="auto"/>
                      <w:sz w:val="21"/>
                      <w:szCs w:val="21"/>
                      <w:u w:val="none"/>
                    </w:rPr>
                  </w:pPr>
                  <w:r>
                    <w:rPr>
                      <w:rFonts w:hint="eastAsia"/>
                      <w:color w:val="auto"/>
                      <w:sz w:val="21"/>
                      <w:szCs w:val="21"/>
                      <w:u w:val="none"/>
                    </w:rPr>
                    <w:t>危险特征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Align w:val="center"/>
                </w:tcPr>
                <w:p>
                  <w:pPr>
                    <w:spacing w:line="240" w:lineRule="atLeast"/>
                    <w:ind w:firstLine="0" w:firstLineChars="0"/>
                    <w:rPr>
                      <w:color w:val="auto"/>
                      <w:sz w:val="21"/>
                      <w:szCs w:val="21"/>
                      <w:u w:val="none"/>
                    </w:rPr>
                  </w:pPr>
                  <w:r>
                    <w:rPr>
                      <w:color w:val="auto"/>
                      <w:sz w:val="21"/>
                      <w:szCs w:val="21"/>
                      <w:u w:val="none"/>
                    </w:rPr>
                    <w:t>1</w:t>
                  </w:r>
                </w:p>
              </w:tc>
              <w:tc>
                <w:tcPr>
                  <w:tcW w:w="737" w:type="dxa"/>
                  <w:vAlign w:val="center"/>
                </w:tcPr>
                <w:p>
                  <w:pPr>
                    <w:spacing w:line="240" w:lineRule="atLeast"/>
                    <w:ind w:firstLine="0" w:firstLineChars="0"/>
                    <w:rPr>
                      <w:color w:val="auto"/>
                      <w:sz w:val="21"/>
                      <w:szCs w:val="21"/>
                      <w:u w:val="none"/>
                    </w:rPr>
                  </w:pPr>
                  <w:r>
                    <w:rPr>
                      <w:rFonts w:hint="eastAsia"/>
                      <w:color w:val="auto"/>
                      <w:sz w:val="21"/>
                      <w:szCs w:val="21"/>
                      <w:u w:val="none"/>
                    </w:rPr>
                    <w:t>木煤气</w:t>
                  </w:r>
                </w:p>
              </w:tc>
              <w:tc>
                <w:tcPr>
                  <w:tcW w:w="1916" w:type="dxa"/>
                  <w:vAlign w:val="center"/>
                </w:tcPr>
                <w:p>
                  <w:pPr>
                    <w:spacing w:line="240" w:lineRule="atLeast"/>
                    <w:ind w:firstLine="0" w:firstLineChars="0"/>
                    <w:rPr>
                      <w:color w:val="auto"/>
                      <w:sz w:val="21"/>
                      <w:szCs w:val="21"/>
                      <w:u w:val="none"/>
                    </w:rPr>
                  </w:pPr>
                  <w:r>
                    <w:rPr>
                      <w:rFonts w:hint="eastAsia"/>
                      <w:color w:val="auto"/>
                      <w:u w:val="none"/>
                    </w:rPr>
                    <w:t>气体，一氧化</w:t>
                  </w:r>
                  <w:r>
                    <w:rPr>
                      <w:color w:val="auto"/>
                      <w:u w:val="none"/>
                    </w:rPr>
                    <w:t xml:space="preserve"> </w:t>
                  </w:r>
                  <w:r>
                    <w:rPr>
                      <w:rFonts w:hint="eastAsia"/>
                      <w:color w:val="auto"/>
                      <w:u w:val="none"/>
                    </w:rPr>
                    <w:t>炭、氢气、甲烷、氮气等混</w:t>
                  </w:r>
                  <w:r>
                    <w:rPr>
                      <w:color w:val="auto"/>
                      <w:u w:val="none"/>
                    </w:rPr>
                    <w:t xml:space="preserve"> </w:t>
                  </w:r>
                  <w:r>
                    <w:rPr>
                      <w:rFonts w:hint="eastAsia"/>
                      <w:color w:val="auto"/>
                      <w:u w:val="none"/>
                    </w:rPr>
                    <w:t>合物。</w:t>
                  </w:r>
                </w:p>
              </w:tc>
              <w:tc>
                <w:tcPr>
                  <w:tcW w:w="5382" w:type="dxa"/>
                  <w:vAlign w:val="center"/>
                </w:tcPr>
                <w:p>
                  <w:pPr>
                    <w:spacing w:line="240" w:lineRule="atLeast"/>
                    <w:ind w:firstLine="480"/>
                    <w:rPr>
                      <w:color w:val="auto"/>
                      <w:sz w:val="21"/>
                      <w:szCs w:val="21"/>
                      <w:u w:val="none"/>
                    </w:rPr>
                  </w:pPr>
                  <w:r>
                    <w:rPr>
                      <w:rFonts w:hint="eastAsia"/>
                      <w:color w:val="auto"/>
                      <w:u w:val="none"/>
                    </w:rPr>
                    <w:t>危险货物编号</w:t>
                  </w:r>
                  <w:r>
                    <w:rPr>
                      <w:color w:val="auto"/>
                      <w:u w:val="none"/>
                    </w:rPr>
                    <w:t>23030</w:t>
                  </w:r>
                  <w:r>
                    <w:rPr>
                      <w:rFonts w:hint="eastAsia"/>
                      <w:color w:val="auto"/>
                      <w:u w:val="none"/>
                    </w:rPr>
                    <w:t>。在血液中与血红蛋白结合而造成组织缺血，即俗称的煤气中毒。急性中毒：轻度中毒者出现头痛、头晕、耳鸣、心悸、恶心、呕吐、无力，血液炭氧血红蛋白浓度可高于</w:t>
                  </w:r>
                  <w:r>
                    <w:rPr>
                      <w:color w:val="auto"/>
                      <w:u w:val="none"/>
                    </w:rPr>
                    <w:t>10</w:t>
                  </w:r>
                  <w:r>
                    <w:rPr>
                      <w:rFonts w:hint="eastAsia"/>
                      <w:color w:val="auto"/>
                      <w:u w:val="none"/>
                    </w:rPr>
                    <w:t>﹪；度中毒者除上述症状外，还有皮肤黏膜呈樱红色、脉快、烦躁、步态不稳、浅至中度昏迷，血液炭氧血红蛋白浓度可高于</w:t>
                  </w:r>
                  <w:r>
                    <w:rPr>
                      <w:color w:val="auto"/>
                      <w:u w:val="none"/>
                    </w:rPr>
                    <w:t xml:space="preserve"> 30</w:t>
                  </w:r>
                  <w:r>
                    <w:rPr>
                      <w:rFonts w:hint="eastAsia"/>
                      <w:color w:val="auto"/>
                      <w:u w:val="none"/>
                    </w:rPr>
                    <w:t>﹪；重度患者深度昏迷、瞳孔缩小、肌张力增强、频繁抽搐、大小便失禁、休克、肺水</w:t>
                  </w:r>
                  <w:r>
                    <w:rPr>
                      <w:color w:val="auto"/>
                      <w:u w:val="none"/>
                    </w:rPr>
                    <w:t xml:space="preserve"> </w:t>
                  </w:r>
                  <w:r>
                    <w:rPr>
                      <w:rFonts w:hint="eastAsia"/>
                      <w:color w:val="auto"/>
                      <w:u w:val="none"/>
                    </w:rPr>
                    <w:t>肿、严重心肌损害等，血液炭氧血红蛋白可高于</w:t>
                  </w:r>
                  <w:r>
                    <w:rPr>
                      <w:color w:val="auto"/>
                      <w:u w:val="none"/>
                    </w:rPr>
                    <w:t>50</w:t>
                  </w:r>
                  <w:r>
                    <w:rPr>
                      <w:rFonts w:hint="eastAsia"/>
                      <w:color w:val="auto"/>
                      <w:u w:val="none"/>
                    </w:rPr>
                    <w:t>﹪。部分患者昏迷苏醒后，约经</w:t>
                  </w:r>
                  <w:r>
                    <w:rPr>
                      <w:color w:val="auto"/>
                      <w:u w:val="none"/>
                    </w:rPr>
                    <w:t xml:space="preserve"> 2</w:t>
                  </w:r>
                  <w:r>
                    <w:rPr>
                      <w:rFonts w:hint="eastAsia"/>
                      <w:color w:val="auto"/>
                      <w:u w:val="none"/>
                    </w:rPr>
                    <w:t>～</w:t>
                  </w:r>
                  <w:r>
                    <w:rPr>
                      <w:color w:val="auto"/>
                      <w:u w:val="none"/>
                    </w:rPr>
                    <w:t xml:space="preserve">60 </w:t>
                  </w:r>
                  <w:r>
                    <w:rPr>
                      <w:rFonts w:hint="eastAsia"/>
                      <w:color w:val="auto"/>
                      <w:u w:val="none"/>
                    </w:rPr>
                    <w:t>天的症状和解期后，又可能出现迟发性脑病，以意识精神障碍、锥体系或锥体外系损害为主。慢性影响：能否造成慢性</w:t>
                  </w:r>
                  <w:r>
                    <w:rPr>
                      <w:color w:val="auto"/>
                      <w:u w:val="none"/>
                    </w:rPr>
                    <w:t xml:space="preserve"> </w:t>
                  </w:r>
                  <w:r>
                    <w:rPr>
                      <w:rFonts w:hint="eastAsia"/>
                      <w:color w:val="auto"/>
                      <w:u w:val="none"/>
                    </w:rPr>
                    <w:t>中毒及对心</w:t>
                  </w:r>
                  <w:r>
                    <w:rPr>
                      <w:color w:val="auto"/>
                      <w:u w:val="none"/>
                    </w:rPr>
                    <w:t xml:space="preserve"> </w:t>
                  </w:r>
                  <w:r>
                    <w:rPr>
                      <w:rFonts w:hint="eastAsia"/>
                      <w:color w:val="auto"/>
                      <w:u w:val="none"/>
                    </w:rPr>
                    <w:t>血管影响无定论。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Align w:val="center"/>
                </w:tcPr>
                <w:p>
                  <w:pPr>
                    <w:spacing w:line="240" w:lineRule="atLeast"/>
                    <w:ind w:firstLine="0" w:firstLineChars="0"/>
                    <w:rPr>
                      <w:color w:val="auto"/>
                      <w:sz w:val="21"/>
                      <w:szCs w:val="21"/>
                      <w:u w:val="none"/>
                    </w:rPr>
                  </w:pPr>
                  <w:r>
                    <w:rPr>
                      <w:color w:val="auto"/>
                      <w:sz w:val="21"/>
                      <w:szCs w:val="21"/>
                      <w:u w:val="none"/>
                    </w:rPr>
                    <w:t>2</w:t>
                  </w:r>
                </w:p>
              </w:tc>
              <w:tc>
                <w:tcPr>
                  <w:tcW w:w="737" w:type="dxa"/>
                  <w:vAlign w:val="center"/>
                </w:tcPr>
                <w:p>
                  <w:pPr>
                    <w:spacing w:line="240" w:lineRule="atLeast"/>
                    <w:ind w:firstLine="0" w:firstLineChars="0"/>
                    <w:rPr>
                      <w:color w:val="auto"/>
                      <w:sz w:val="21"/>
                      <w:szCs w:val="21"/>
                      <w:u w:val="none"/>
                    </w:rPr>
                  </w:pPr>
                  <w:r>
                    <w:rPr>
                      <w:rFonts w:hint="eastAsia"/>
                      <w:color w:val="auto"/>
                      <w:sz w:val="21"/>
                      <w:szCs w:val="21"/>
                      <w:u w:val="none"/>
                    </w:rPr>
                    <w:t>木焦油</w:t>
                  </w:r>
                </w:p>
              </w:tc>
              <w:tc>
                <w:tcPr>
                  <w:tcW w:w="1916" w:type="dxa"/>
                  <w:vAlign w:val="center"/>
                </w:tcPr>
                <w:p>
                  <w:pPr>
                    <w:spacing w:line="240" w:lineRule="atLeast"/>
                    <w:ind w:firstLine="0" w:firstLineChars="0"/>
                    <w:rPr>
                      <w:color w:val="auto"/>
                      <w:sz w:val="21"/>
                      <w:szCs w:val="21"/>
                      <w:u w:val="none"/>
                    </w:rPr>
                  </w:pPr>
                  <w:r>
                    <w:rPr>
                      <w:rFonts w:hint="eastAsia"/>
                      <w:color w:val="auto"/>
                      <w:u w:val="none"/>
                    </w:rPr>
                    <w:t>液体，主要成分</w:t>
                  </w:r>
                  <w:r>
                    <w:rPr>
                      <w:color w:val="auto"/>
                      <w:u w:val="none"/>
                    </w:rPr>
                    <w:t xml:space="preserve"> </w:t>
                  </w:r>
                  <w:r>
                    <w:rPr>
                      <w:rFonts w:hint="eastAsia"/>
                      <w:color w:val="auto"/>
                      <w:u w:val="none"/>
                    </w:rPr>
                    <w:t>为烃类、酚类、</w:t>
                  </w:r>
                  <w:r>
                    <w:rPr>
                      <w:color w:val="auto"/>
                      <w:u w:val="none"/>
                    </w:rPr>
                    <w:t xml:space="preserve"> </w:t>
                  </w:r>
                  <w:r>
                    <w:rPr>
                      <w:rFonts w:hint="eastAsia"/>
                      <w:color w:val="auto"/>
                      <w:u w:val="none"/>
                    </w:rPr>
                    <w:t>酸类</w:t>
                  </w:r>
                  <w:r>
                    <w:rPr>
                      <w:color w:val="auto"/>
                      <w:u w:val="none"/>
                    </w:rPr>
                    <w:t xml:space="preserve"> </w:t>
                  </w:r>
                  <w:r>
                    <w:rPr>
                      <w:rFonts w:hint="eastAsia"/>
                      <w:color w:val="auto"/>
                      <w:u w:val="none"/>
                    </w:rPr>
                    <w:t>等化合</w:t>
                  </w:r>
                  <w:r>
                    <w:rPr>
                      <w:color w:val="auto"/>
                      <w:u w:val="none"/>
                    </w:rPr>
                    <w:t xml:space="preserve"> </w:t>
                  </w:r>
                  <w:r>
                    <w:rPr>
                      <w:rFonts w:hint="eastAsia"/>
                      <w:color w:val="auto"/>
                      <w:u w:val="none"/>
                    </w:rPr>
                    <w:t>物。</w:t>
                  </w:r>
                </w:p>
              </w:tc>
              <w:tc>
                <w:tcPr>
                  <w:tcW w:w="5382" w:type="dxa"/>
                  <w:vAlign w:val="center"/>
                </w:tcPr>
                <w:p>
                  <w:pPr>
                    <w:spacing w:line="240" w:lineRule="atLeast"/>
                    <w:ind w:firstLine="0" w:firstLineChars="0"/>
                    <w:rPr>
                      <w:color w:val="auto"/>
                      <w:sz w:val="21"/>
                      <w:szCs w:val="21"/>
                      <w:u w:val="none"/>
                    </w:rPr>
                  </w:pPr>
                  <w:r>
                    <w:rPr>
                      <w:rFonts w:hint="eastAsia"/>
                      <w:color w:val="auto"/>
                      <w:u w:val="none"/>
                    </w:rPr>
                    <w:t>危险货物编号</w:t>
                  </w:r>
                  <w:r>
                    <w:rPr>
                      <w:color w:val="auto"/>
                      <w:u w:val="none"/>
                    </w:rPr>
                    <w:t xml:space="preserve"> 32192</w:t>
                  </w:r>
                  <w:r>
                    <w:rPr>
                      <w:rFonts w:hint="eastAsia"/>
                      <w:color w:val="auto"/>
                      <w:u w:val="none"/>
                    </w:rPr>
                    <w:t>。</w:t>
                  </w:r>
                  <w:r>
                    <w:rPr>
                      <w:color w:val="auto"/>
                      <w:u w:val="none"/>
                    </w:rPr>
                    <w:t xml:space="preserve"> </w:t>
                  </w:r>
                  <w:r>
                    <w:rPr>
                      <w:rFonts w:hint="eastAsia"/>
                      <w:color w:val="auto"/>
                      <w:u w:val="none"/>
                    </w:rPr>
                    <w:t>燃点</w:t>
                  </w:r>
                  <w:r>
                    <w:rPr>
                      <w:color w:val="auto"/>
                      <w:u w:val="none"/>
                    </w:rPr>
                    <w:t xml:space="preserve"> 84~86</w:t>
                  </w:r>
                  <w:r>
                    <w:rPr>
                      <w:rFonts w:hint="eastAsia" w:ascii="宋体" w:hAnsi="宋体" w:cs="宋体"/>
                      <w:color w:val="auto"/>
                      <w:u w:val="none"/>
                    </w:rPr>
                    <w:t>℃</w:t>
                  </w:r>
                  <w:r>
                    <w:rPr>
                      <w:rFonts w:hint="eastAsia"/>
                      <w:color w:val="auto"/>
                      <w:u w:val="none"/>
                    </w:rPr>
                    <w:t>。</w:t>
                  </w:r>
                  <w:r>
                    <w:rPr>
                      <w:color w:val="auto"/>
                      <w:u w:val="none"/>
                    </w:rPr>
                    <w:t xml:space="preserve"> </w:t>
                  </w:r>
                  <w:r>
                    <w:rPr>
                      <w:rFonts w:hint="eastAsia"/>
                      <w:color w:val="auto"/>
                      <w:u w:val="none"/>
                    </w:rPr>
                    <w:t>木杂酚油是木焦油的主要成分，有烟味，有腐蚀性。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Align w:val="center"/>
                </w:tcPr>
                <w:p>
                  <w:pPr>
                    <w:spacing w:line="240" w:lineRule="atLeast"/>
                    <w:ind w:firstLine="0" w:firstLineChars="0"/>
                    <w:rPr>
                      <w:color w:val="auto"/>
                      <w:sz w:val="21"/>
                      <w:szCs w:val="21"/>
                      <w:u w:val="none"/>
                    </w:rPr>
                  </w:pPr>
                  <w:r>
                    <w:rPr>
                      <w:color w:val="auto"/>
                      <w:sz w:val="21"/>
                      <w:szCs w:val="21"/>
                      <w:u w:val="none"/>
                    </w:rPr>
                    <w:t>3</w:t>
                  </w:r>
                </w:p>
              </w:tc>
              <w:tc>
                <w:tcPr>
                  <w:tcW w:w="737" w:type="dxa"/>
                  <w:vAlign w:val="center"/>
                </w:tcPr>
                <w:p>
                  <w:pPr>
                    <w:spacing w:line="240" w:lineRule="atLeast"/>
                    <w:ind w:firstLine="0" w:firstLineChars="0"/>
                    <w:rPr>
                      <w:color w:val="auto"/>
                      <w:sz w:val="21"/>
                      <w:szCs w:val="21"/>
                      <w:u w:val="none"/>
                    </w:rPr>
                  </w:pPr>
                  <w:r>
                    <w:rPr>
                      <w:rFonts w:hint="eastAsia"/>
                      <w:color w:val="auto"/>
                      <w:sz w:val="21"/>
                      <w:szCs w:val="21"/>
                      <w:u w:val="none"/>
                    </w:rPr>
                    <w:t>木醋液</w:t>
                  </w:r>
                </w:p>
              </w:tc>
              <w:tc>
                <w:tcPr>
                  <w:tcW w:w="1916" w:type="dxa"/>
                  <w:vAlign w:val="center"/>
                </w:tcPr>
                <w:p>
                  <w:pPr>
                    <w:spacing w:line="240" w:lineRule="atLeast"/>
                    <w:ind w:firstLine="0" w:firstLineChars="0"/>
                    <w:rPr>
                      <w:color w:val="auto"/>
                      <w:sz w:val="21"/>
                      <w:szCs w:val="21"/>
                      <w:u w:val="none"/>
                    </w:rPr>
                  </w:pPr>
                  <w:r>
                    <w:rPr>
                      <w:rFonts w:hint="eastAsia"/>
                      <w:color w:val="auto"/>
                      <w:u w:val="none"/>
                    </w:rPr>
                    <w:t>液体，主要成分</w:t>
                  </w:r>
                  <w:r>
                    <w:rPr>
                      <w:color w:val="auto"/>
                      <w:u w:val="none"/>
                    </w:rPr>
                    <w:t xml:space="preserve"> </w:t>
                  </w:r>
                  <w:r>
                    <w:rPr>
                      <w:rFonts w:hint="eastAsia"/>
                      <w:color w:val="auto"/>
                      <w:u w:val="none"/>
                    </w:rPr>
                    <w:t>为水、乙酸、酚</w:t>
                  </w:r>
                  <w:r>
                    <w:rPr>
                      <w:color w:val="auto"/>
                      <w:u w:val="none"/>
                    </w:rPr>
                    <w:t xml:space="preserve"> </w:t>
                  </w:r>
                  <w:r>
                    <w:rPr>
                      <w:rFonts w:hint="eastAsia"/>
                      <w:color w:val="auto"/>
                      <w:u w:val="none"/>
                    </w:rPr>
                    <w:t>类、</w:t>
                  </w:r>
                  <w:r>
                    <w:rPr>
                      <w:color w:val="auto"/>
                      <w:u w:val="none"/>
                    </w:rPr>
                    <w:t xml:space="preserve"> </w:t>
                  </w:r>
                  <w:r>
                    <w:rPr>
                      <w:rFonts w:hint="eastAsia"/>
                      <w:color w:val="auto"/>
                      <w:u w:val="none"/>
                    </w:rPr>
                    <w:t>酮类等化</w:t>
                  </w:r>
                  <w:r>
                    <w:rPr>
                      <w:color w:val="auto"/>
                      <w:u w:val="none"/>
                    </w:rPr>
                    <w:t xml:space="preserve"> </w:t>
                  </w:r>
                  <w:r>
                    <w:rPr>
                      <w:rFonts w:hint="eastAsia"/>
                      <w:color w:val="auto"/>
                      <w:u w:val="none"/>
                    </w:rPr>
                    <w:t>合物。</w:t>
                  </w:r>
                  <w:r>
                    <w:rPr>
                      <w:color w:val="auto"/>
                      <w:u w:val="none"/>
                    </w:rPr>
                    <w:t xml:space="preserve"> </w:t>
                  </w:r>
                  <w:r>
                    <w:rPr>
                      <w:rFonts w:hint="eastAsia"/>
                      <w:color w:val="auto"/>
                      <w:u w:val="none"/>
                    </w:rPr>
                    <w:t>其中水</w:t>
                  </w:r>
                  <w:r>
                    <w:rPr>
                      <w:color w:val="auto"/>
                      <w:u w:val="none"/>
                    </w:rPr>
                    <w:t xml:space="preserve"> </w:t>
                  </w:r>
                  <w:r>
                    <w:rPr>
                      <w:rFonts w:hint="eastAsia"/>
                      <w:color w:val="auto"/>
                      <w:u w:val="none"/>
                    </w:rPr>
                    <w:t>分含量</w:t>
                  </w:r>
                  <w:r>
                    <w:rPr>
                      <w:color w:val="auto"/>
                      <w:u w:val="none"/>
                    </w:rPr>
                    <w:t xml:space="preserve"> 90%</w:t>
                  </w:r>
                  <w:r>
                    <w:rPr>
                      <w:rFonts w:hint="eastAsia"/>
                      <w:color w:val="auto"/>
                      <w:u w:val="none"/>
                    </w:rPr>
                    <w:t>左</w:t>
                  </w:r>
                  <w:r>
                    <w:rPr>
                      <w:color w:val="auto"/>
                      <w:u w:val="none"/>
                    </w:rPr>
                    <w:t xml:space="preserve"> </w:t>
                  </w:r>
                  <w:r>
                    <w:rPr>
                      <w:rFonts w:hint="eastAsia"/>
                      <w:color w:val="auto"/>
                      <w:u w:val="none"/>
                    </w:rPr>
                    <w:t>右。</w:t>
                  </w:r>
                </w:p>
              </w:tc>
              <w:tc>
                <w:tcPr>
                  <w:tcW w:w="5382" w:type="dxa"/>
                  <w:vAlign w:val="center"/>
                </w:tcPr>
                <w:p>
                  <w:pPr>
                    <w:spacing w:line="240" w:lineRule="atLeast"/>
                    <w:ind w:firstLine="0" w:firstLineChars="0"/>
                    <w:rPr>
                      <w:color w:val="auto"/>
                      <w:sz w:val="21"/>
                      <w:szCs w:val="21"/>
                      <w:u w:val="none"/>
                    </w:rPr>
                  </w:pPr>
                  <w:r>
                    <w:rPr>
                      <w:rFonts w:hint="eastAsia"/>
                      <w:color w:val="auto"/>
                      <w:u w:val="none"/>
                    </w:rPr>
                    <w:t>无相关资料。</w:t>
                  </w:r>
                  <w:r>
                    <w:rPr>
                      <w:color w:val="auto"/>
                      <w:u w:val="none"/>
                    </w:rPr>
                    <w:t xml:space="preserve"> </w:t>
                  </w:r>
                  <w:r>
                    <w:rPr>
                      <w:rFonts w:hint="eastAsia"/>
                      <w:color w:val="auto"/>
                      <w:u w:val="none"/>
                    </w:rPr>
                    <w:t>由于其中含乙酸、</w:t>
                  </w:r>
                  <w:r>
                    <w:rPr>
                      <w:color w:val="auto"/>
                      <w:u w:val="none"/>
                    </w:rPr>
                    <w:t xml:space="preserve"> </w:t>
                  </w:r>
                  <w:r>
                    <w:rPr>
                      <w:rFonts w:hint="eastAsia"/>
                      <w:color w:val="auto"/>
                      <w:u w:val="none"/>
                    </w:rPr>
                    <w:t>酚类、</w:t>
                  </w:r>
                  <w:r>
                    <w:rPr>
                      <w:color w:val="auto"/>
                      <w:u w:val="none"/>
                    </w:rPr>
                    <w:t xml:space="preserve"> </w:t>
                  </w:r>
                  <w:r>
                    <w:rPr>
                      <w:rFonts w:hint="eastAsia"/>
                      <w:color w:val="auto"/>
                      <w:u w:val="none"/>
                    </w:rPr>
                    <w:t>酮类等化合物，使其具有一定的腐蚀性和毒性。</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color w:val="auto"/>
                <w:sz w:val="24"/>
                <w:szCs w:val="24"/>
              </w:rPr>
              <w:t>根据《危险化学品重大危险源辨识》（GB18218-20</w:t>
            </w:r>
            <w:r>
              <w:rPr>
                <w:rFonts w:hint="eastAsia"/>
                <w:color w:val="auto"/>
                <w:sz w:val="24"/>
                <w:szCs w:val="24"/>
              </w:rPr>
              <w:t>1</w:t>
            </w:r>
            <w:r>
              <w:rPr>
                <w:rFonts w:hint="eastAsia"/>
                <w:color w:val="auto"/>
                <w:sz w:val="24"/>
                <w:szCs w:val="24"/>
                <w:lang w:val="en-US" w:eastAsia="zh-CN"/>
              </w:rPr>
              <w:t>8</w:t>
            </w:r>
            <w:r>
              <w:rPr>
                <w:color w:val="auto"/>
                <w:sz w:val="24"/>
                <w:szCs w:val="24"/>
              </w:rPr>
              <w:t>）和</w:t>
            </w:r>
            <w:r>
              <w:rPr>
                <w:rFonts w:ascii="宋体" w:hAnsi="宋体"/>
                <w:color w:val="auto"/>
                <w:sz w:val="24"/>
                <w:szCs w:val="24"/>
              </w:rPr>
              <w:t>《建设项目环境风险评价技术导则》（</w:t>
            </w:r>
            <w:r>
              <w:rPr>
                <w:color w:val="auto"/>
                <w:sz w:val="24"/>
                <w:szCs w:val="24"/>
              </w:rPr>
              <w:t>HJ/T169-2</w:t>
            </w:r>
            <w:r>
              <w:rPr>
                <w:rFonts w:hint="eastAsia"/>
                <w:color w:val="auto"/>
                <w:sz w:val="24"/>
                <w:szCs w:val="24"/>
              </w:rPr>
              <w:t>018</w:t>
            </w:r>
            <w:r>
              <w:rPr>
                <w:rFonts w:ascii="宋体" w:hAnsi="宋体"/>
                <w:color w:val="auto"/>
                <w:sz w:val="24"/>
                <w:szCs w:val="24"/>
              </w:rPr>
              <w:t>）</w:t>
            </w:r>
            <w:r>
              <w:rPr>
                <w:color w:val="auto"/>
                <w:sz w:val="24"/>
                <w:szCs w:val="24"/>
              </w:rPr>
              <w:t>，在具有环境风险的生产单元内达到和超过重大危险源辨别标准规定的临界量时，将作为事故重大危险源。本项的重大危险源辨别见下表 。</w:t>
            </w:r>
          </w:p>
          <w:p>
            <w:pPr>
              <w:ind w:firstLine="0" w:firstLineChars="0"/>
              <w:jc w:val="center"/>
              <w:rPr>
                <w:b/>
                <w:color w:val="auto"/>
                <w:sz w:val="21"/>
                <w:szCs w:val="21"/>
              </w:rPr>
            </w:pPr>
            <w:r>
              <w:rPr>
                <w:rFonts w:hint="eastAsia"/>
                <w:b/>
                <w:color w:val="auto"/>
                <w:sz w:val="21"/>
                <w:szCs w:val="21"/>
              </w:rPr>
              <w:t>表7-</w:t>
            </w:r>
            <w:r>
              <w:rPr>
                <w:rFonts w:hint="eastAsia"/>
                <w:b/>
                <w:color w:val="auto"/>
                <w:sz w:val="21"/>
                <w:szCs w:val="21"/>
                <w:lang w:val="en-US" w:eastAsia="zh-CN"/>
              </w:rPr>
              <w:t>22</w:t>
            </w:r>
            <w:r>
              <w:rPr>
                <w:rFonts w:hint="eastAsia"/>
                <w:b/>
                <w:color w:val="auto"/>
                <w:sz w:val="21"/>
                <w:szCs w:val="21"/>
              </w:rPr>
              <w:t xml:space="preserve"> 项目重大危险源辨别表</w:t>
            </w:r>
          </w:p>
          <w:tbl>
            <w:tblPr>
              <w:tblStyle w:val="23"/>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443"/>
              <w:gridCol w:w="2887"/>
              <w:gridCol w:w="1443"/>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442" w:type="dxa"/>
                  <w:vAlign w:val="center"/>
                </w:tcPr>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危险单</w:t>
                  </w:r>
                </w:p>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元名称</w:t>
                  </w:r>
                </w:p>
              </w:tc>
              <w:tc>
                <w:tcPr>
                  <w:tcW w:w="1443" w:type="dxa"/>
                  <w:vAlign w:val="center"/>
                </w:tcPr>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w:t>
                  </w:r>
                </w:p>
              </w:tc>
              <w:tc>
                <w:tcPr>
                  <w:tcW w:w="2887" w:type="dxa"/>
                  <w:vAlign w:val="center"/>
                </w:tcPr>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最大</w:t>
                  </w:r>
                  <w:r>
                    <w:rPr>
                      <w:rFonts w:hint="default" w:ascii="Times New Roman" w:hAnsi="Times New Roman" w:eastAsia="宋体" w:cs="Times New Roman"/>
                      <w:color w:val="auto"/>
                      <w:sz w:val="21"/>
                      <w:szCs w:val="21"/>
                    </w:rPr>
                    <w:t>储存量（t）</w:t>
                  </w:r>
                </w:p>
              </w:tc>
              <w:tc>
                <w:tcPr>
                  <w:tcW w:w="1443" w:type="dxa"/>
                  <w:vAlign w:val="center"/>
                </w:tcPr>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临界量（t）</w:t>
                  </w:r>
                </w:p>
              </w:tc>
              <w:tc>
                <w:tcPr>
                  <w:tcW w:w="1443" w:type="dxa"/>
                  <w:vAlign w:val="center"/>
                </w:tcPr>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42" w:type="dxa"/>
                  <w:vAlign w:val="center"/>
                </w:tcPr>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w:t>
                  </w:r>
                </w:p>
              </w:tc>
              <w:tc>
                <w:tcPr>
                  <w:tcW w:w="1443" w:type="dxa"/>
                  <w:vAlign w:val="center"/>
                </w:tcPr>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木煤气</w:t>
                  </w:r>
                </w:p>
              </w:tc>
              <w:tc>
                <w:tcPr>
                  <w:tcW w:w="2887" w:type="dxa"/>
                  <w:vAlign w:val="center"/>
                </w:tcPr>
                <w:p>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w:t>
                  </w:r>
                </w:p>
              </w:tc>
              <w:tc>
                <w:tcPr>
                  <w:tcW w:w="1443" w:type="dxa"/>
                  <w:vAlign w:val="center"/>
                </w:tcPr>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443" w:type="dxa"/>
                  <w:vAlign w:val="center"/>
                </w:tcPr>
                <w:p>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b/>
                <w:bCs/>
                <w:color w:val="auto"/>
                <w:sz w:val="24"/>
              </w:rPr>
            </w:pPr>
            <w:r>
              <w:rPr>
                <w:rFonts w:hint="eastAsia" w:ascii="Times New Roman" w:hAnsi="Times New Roman" w:cs="Times New Roman"/>
                <w:color w:val="auto"/>
                <w:sz w:val="24"/>
                <w:szCs w:val="24"/>
              </w:rPr>
              <w:t>由上表可知，</w:t>
            </w:r>
            <w:r>
              <w:rPr>
                <w:rFonts w:ascii="Times New Roman" w:hAnsi="Times New Roman" w:cs="Times New Roman"/>
                <w:color w:val="auto"/>
                <w:sz w:val="24"/>
                <w:szCs w:val="24"/>
              </w:rPr>
              <w:t>本项目不存在重大危险源。本项目可能发生的风险事故为木煤气泄漏导致的火灾、爆炸或中毒事故。根据同类企业的调查，本项目最大可信事故为木煤气泄漏导致的火灾和爆炸事故。</w:t>
            </w:r>
          </w:p>
          <w:p>
            <w:pPr>
              <w:pStyle w:val="12"/>
              <w:adjustRightInd w:val="0"/>
              <w:spacing w:line="360" w:lineRule="auto"/>
              <w:ind w:left="0" w:leftChars="0"/>
              <w:rPr>
                <w:rFonts w:hint="eastAsia" w:ascii="Times New Roman" w:hAnsi="Times New Roman"/>
                <w:b/>
                <w:bCs/>
                <w:color w:val="auto"/>
                <w:sz w:val="24"/>
              </w:rPr>
            </w:pPr>
            <w:r>
              <w:rPr>
                <w:rFonts w:ascii="Times New Roman" w:hAnsi="Times New Roman"/>
                <w:b/>
                <w:bCs/>
                <w:color w:val="auto"/>
                <w:sz w:val="24"/>
              </w:rPr>
              <w:t>7.3</w:t>
            </w:r>
            <w:r>
              <w:rPr>
                <w:rFonts w:hint="eastAsia" w:ascii="Times New Roman" w:hAnsi="Times New Roman"/>
                <w:b/>
                <w:bCs/>
                <w:color w:val="auto"/>
                <w:sz w:val="24"/>
              </w:rPr>
              <w:t>评价等级</w:t>
            </w:r>
            <w:r>
              <w:rPr>
                <w:rFonts w:ascii="Times New Roman" w:hAnsi="Times New Roman"/>
                <w:b/>
                <w:bCs/>
                <w:color w:val="auto"/>
                <w:sz w:val="24"/>
              </w:rPr>
              <w:t>的确定</w:t>
            </w:r>
          </w:p>
          <w:p>
            <w:pPr>
              <w:spacing w:line="360" w:lineRule="auto"/>
              <w:ind w:firstLine="480" w:firstLineChars="200"/>
              <w:rPr>
                <w:color w:val="auto"/>
                <w:sz w:val="24"/>
                <w:szCs w:val="24"/>
              </w:rPr>
            </w:pPr>
            <w:r>
              <w:rPr>
                <w:rFonts w:hint="eastAsia" w:ascii="宋体" w:hAnsi="宋体"/>
                <w:color w:val="auto"/>
                <w:sz w:val="24"/>
                <w:szCs w:val="24"/>
              </w:rPr>
              <w:t>（1）危险物质及工艺系统危险性（</w:t>
            </w:r>
            <w:r>
              <w:rPr>
                <w:rFonts w:hint="eastAsia"/>
                <w:color w:val="auto"/>
                <w:sz w:val="24"/>
                <w:szCs w:val="24"/>
              </w:rPr>
              <w:t>P</w:t>
            </w:r>
            <w:r>
              <w:rPr>
                <w:rFonts w:hint="eastAsia" w:ascii="宋体" w:hAnsi="宋体"/>
                <w:color w:val="auto"/>
                <w:sz w:val="24"/>
                <w:szCs w:val="24"/>
              </w:rPr>
              <w:t>）的分级</w:t>
            </w:r>
          </w:p>
          <w:p>
            <w:pPr>
              <w:spacing w:line="360" w:lineRule="auto"/>
              <w:ind w:firstLine="480" w:firstLineChars="200"/>
              <w:rPr>
                <w:color w:val="auto"/>
                <w:sz w:val="24"/>
                <w:szCs w:val="24"/>
              </w:rPr>
            </w:pPr>
            <w:r>
              <w:rPr>
                <w:rFonts w:hint="eastAsia"/>
                <w:color w:val="auto"/>
                <w:sz w:val="24"/>
                <w:szCs w:val="24"/>
              </w:rPr>
              <w:t>1</w:t>
            </w:r>
            <w:r>
              <w:rPr>
                <w:rFonts w:hint="eastAsia" w:ascii="宋体" w:hAnsi="宋体"/>
                <w:color w:val="auto"/>
                <w:sz w:val="24"/>
                <w:szCs w:val="24"/>
              </w:rPr>
              <w:t>、危险物质数量与临界量比值（</w:t>
            </w:r>
            <w:r>
              <w:rPr>
                <w:rFonts w:hint="eastAsia"/>
                <w:color w:val="auto"/>
                <w:sz w:val="24"/>
                <w:szCs w:val="24"/>
              </w:rPr>
              <w:t>Q</w:t>
            </w:r>
            <w:r>
              <w:rPr>
                <w:rFonts w:hint="eastAsia" w:ascii="宋体" w:hAnsi="宋体"/>
                <w:color w:val="auto"/>
                <w:sz w:val="24"/>
                <w:szCs w:val="24"/>
              </w:rPr>
              <w:t>）</w:t>
            </w:r>
          </w:p>
          <w:p>
            <w:pPr>
              <w:spacing w:line="360" w:lineRule="auto"/>
              <w:ind w:firstLine="480" w:firstLineChars="200"/>
              <w:rPr>
                <w:color w:val="auto"/>
                <w:sz w:val="24"/>
                <w:szCs w:val="24"/>
              </w:rPr>
            </w:pPr>
            <w:r>
              <w:rPr>
                <w:rFonts w:ascii="宋体" w:hAnsi="宋体"/>
                <w:color w:val="auto"/>
                <w:sz w:val="24"/>
                <w:szCs w:val="24"/>
              </w:rPr>
              <w:t>根据《建设项目环境风险评价技术导则》（</w:t>
            </w:r>
            <w:r>
              <w:rPr>
                <w:color w:val="auto"/>
                <w:sz w:val="24"/>
                <w:szCs w:val="24"/>
              </w:rPr>
              <w:t>HJ</w:t>
            </w:r>
            <w:r>
              <w:rPr>
                <w:rFonts w:hint="eastAsia"/>
                <w:color w:val="auto"/>
                <w:sz w:val="24"/>
                <w:szCs w:val="24"/>
                <w:lang w:val="en-US" w:eastAsia="zh-CN"/>
              </w:rPr>
              <w:t xml:space="preserve"> </w:t>
            </w:r>
            <w:r>
              <w:rPr>
                <w:color w:val="auto"/>
                <w:sz w:val="24"/>
                <w:szCs w:val="24"/>
              </w:rPr>
              <w:t>169-2</w:t>
            </w:r>
            <w:r>
              <w:rPr>
                <w:rFonts w:hint="eastAsia"/>
                <w:color w:val="auto"/>
                <w:sz w:val="24"/>
                <w:szCs w:val="24"/>
              </w:rPr>
              <w:t>018</w:t>
            </w:r>
            <w:r>
              <w:rPr>
                <w:rFonts w:ascii="宋体" w:hAnsi="宋体"/>
                <w:color w:val="auto"/>
                <w:sz w:val="24"/>
                <w:szCs w:val="24"/>
              </w:rPr>
              <w:t>）</w:t>
            </w:r>
            <w:r>
              <w:rPr>
                <w:rFonts w:hint="eastAsia" w:ascii="宋体" w:hAnsi="宋体"/>
                <w:color w:val="auto"/>
                <w:sz w:val="24"/>
                <w:szCs w:val="24"/>
              </w:rPr>
              <w:t>附录</w:t>
            </w:r>
            <w:r>
              <w:rPr>
                <w:rFonts w:hint="eastAsia"/>
                <w:color w:val="auto"/>
                <w:sz w:val="24"/>
                <w:szCs w:val="24"/>
              </w:rPr>
              <w:t>C</w:t>
            </w:r>
            <w:r>
              <w:rPr>
                <w:rFonts w:hint="eastAsia" w:ascii="宋体" w:hAnsi="宋体"/>
                <w:color w:val="auto"/>
                <w:sz w:val="24"/>
                <w:szCs w:val="24"/>
              </w:rPr>
              <w:t>、</w:t>
            </w:r>
            <w:r>
              <w:rPr>
                <w:rFonts w:ascii="宋体" w:hAnsi="宋体"/>
                <w:color w:val="auto"/>
                <w:sz w:val="24"/>
                <w:szCs w:val="24"/>
              </w:rPr>
              <w:t>《企业突发环境事件风险分级方法（发布稿）》（</w:t>
            </w:r>
            <w:r>
              <w:rPr>
                <w:color w:val="auto"/>
                <w:sz w:val="24"/>
                <w:szCs w:val="24"/>
              </w:rPr>
              <w:t>HJ 941-2018</w:t>
            </w:r>
            <w:r>
              <w:rPr>
                <w:rFonts w:ascii="宋体" w:hAnsi="宋体"/>
                <w:color w:val="auto"/>
                <w:sz w:val="24"/>
                <w:szCs w:val="24"/>
              </w:rPr>
              <w:t>）附录</w:t>
            </w:r>
            <w:r>
              <w:rPr>
                <w:rFonts w:hint="eastAsia"/>
                <w:color w:val="auto"/>
                <w:sz w:val="24"/>
                <w:szCs w:val="24"/>
              </w:rPr>
              <w:t>A</w:t>
            </w:r>
            <w:r>
              <w:rPr>
                <w:rFonts w:ascii="宋体" w:hAnsi="宋体"/>
                <w:color w:val="auto"/>
                <w:sz w:val="24"/>
                <w:szCs w:val="24"/>
              </w:rPr>
              <w:t>和《危险化学品重大危险源辨识》（</w:t>
            </w:r>
            <w:r>
              <w:rPr>
                <w:color w:val="auto"/>
                <w:sz w:val="24"/>
                <w:szCs w:val="24"/>
              </w:rPr>
              <w:t>GB18218-2018</w:t>
            </w:r>
            <w:r>
              <w:rPr>
                <w:rFonts w:ascii="宋体" w:hAnsi="宋体"/>
                <w:color w:val="auto"/>
                <w:sz w:val="24"/>
                <w:szCs w:val="24"/>
              </w:rPr>
              <w:t>）中关于物质临界量</w:t>
            </w:r>
            <w:r>
              <w:rPr>
                <w:rFonts w:hint="eastAsia" w:ascii="宋体" w:hAnsi="宋体"/>
                <w:color w:val="auto"/>
                <w:sz w:val="24"/>
                <w:szCs w:val="24"/>
              </w:rPr>
              <w:t>计算</w:t>
            </w:r>
            <w:r>
              <w:rPr>
                <w:rFonts w:hint="eastAsia"/>
                <w:color w:val="auto"/>
                <w:sz w:val="24"/>
                <w:szCs w:val="24"/>
              </w:rPr>
              <w:t>P</w:t>
            </w:r>
            <w:r>
              <w:rPr>
                <w:rFonts w:hint="eastAsia" w:ascii="宋体" w:hAnsi="宋体"/>
                <w:color w:val="auto"/>
                <w:sz w:val="24"/>
                <w:szCs w:val="24"/>
              </w:rPr>
              <w:t>值。</w:t>
            </w:r>
          </w:p>
          <w:p>
            <w:pPr>
              <w:spacing w:line="360" w:lineRule="auto"/>
              <w:ind w:firstLine="480" w:firstLineChars="200"/>
              <w:rPr>
                <w:color w:val="auto"/>
                <w:sz w:val="24"/>
                <w:szCs w:val="24"/>
              </w:rPr>
            </w:pPr>
            <w:r>
              <w:rPr>
                <w:rFonts w:ascii="宋体" w:hAnsi="宋体"/>
                <w:color w:val="auto"/>
                <w:sz w:val="24"/>
                <w:szCs w:val="24"/>
              </w:rPr>
              <w:t>当存在</w:t>
            </w:r>
            <w:r>
              <w:rPr>
                <w:rFonts w:hint="eastAsia" w:ascii="宋体" w:hAnsi="宋体"/>
                <w:color w:val="auto"/>
                <w:sz w:val="24"/>
                <w:szCs w:val="24"/>
              </w:rPr>
              <w:t>多种</w:t>
            </w:r>
            <w:r>
              <w:rPr>
                <w:rFonts w:ascii="宋体" w:hAnsi="宋体"/>
                <w:color w:val="auto"/>
                <w:sz w:val="24"/>
                <w:szCs w:val="24"/>
              </w:rPr>
              <w:t>危险物质时，</w:t>
            </w:r>
            <w:r>
              <w:rPr>
                <w:rFonts w:hint="eastAsia" w:ascii="宋体" w:hAnsi="宋体"/>
                <w:color w:val="auto"/>
                <w:sz w:val="24"/>
                <w:szCs w:val="24"/>
              </w:rPr>
              <w:t>按下列式子计算物质总量与其临界量比值</w:t>
            </w:r>
            <w:r>
              <w:rPr>
                <w:rFonts w:hint="eastAsia"/>
                <w:color w:val="auto"/>
                <w:sz w:val="24"/>
                <w:szCs w:val="24"/>
              </w:rPr>
              <w:t>Q</w:t>
            </w:r>
            <w:r>
              <w:rPr>
                <w:rFonts w:ascii="宋体" w:hAnsi="宋体"/>
                <w:color w:val="auto"/>
                <w:sz w:val="24"/>
                <w:szCs w:val="24"/>
              </w:rPr>
              <w:t>。</w:t>
            </w:r>
          </w:p>
          <w:p>
            <w:pPr>
              <w:spacing w:line="360" w:lineRule="auto"/>
              <w:ind w:firstLine="480" w:firstLineChars="200"/>
              <w:jc w:val="center"/>
              <w:rPr>
                <w:color w:val="auto"/>
                <w:sz w:val="24"/>
                <w:szCs w:val="24"/>
              </w:rPr>
            </w:pPr>
            <w:r>
              <w:rPr>
                <w:color w:val="auto"/>
                <w:position w:val="-30"/>
                <w:sz w:val="24"/>
                <w:szCs w:val="24"/>
              </w:rPr>
              <w:object>
                <v:shape id="_x0000_i1030" o:spt="75" type="#_x0000_t75" style="height:34pt;width:123pt;" o:ole="t" filled="f" o:preferrelative="t" stroked="f" coordsize="21600,21600">
                  <v:path/>
                  <v:fill on="f" alignshape="1" focussize="0,0"/>
                  <v:stroke on="f"/>
                  <v:imagedata r:id="rId25" o:title=""/>
                  <o:lock v:ext="edit" aspectratio="t"/>
                  <w10:wrap type="none"/>
                  <w10:anchorlock/>
                </v:shape>
                <o:OLEObject Type="Embed" ProgID="Equation.3" ShapeID="_x0000_i1030" DrawAspect="Content" ObjectID="_1468075730" r:id="rId24">
                  <o:LockedField>false</o:LockedField>
                </o:OLEObject>
              </w:object>
            </w:r>
          </w:p>
          <w:p>
            <w:pPr>
              <w:spacing w:line="360" w:lineRule="auto"/>
              <w:ind w:firstLine="480" w:firstLineChars="200"/>
              <w:rPr>
                <w:color w:val="auto"/>
                <w:sz w:val="24"/>
                <w:szCs w:val="24"/>
              </w:rPr>
            </w:pPr>
            <w:r>
              <w:rPr>
                <w:rFonts w:ascii="宋体" w:hAnsi="宋体"/>
                <w:color w:val="auto"/>
                <w:sz w:val="24"/>
                <w:szCs w:val="24"/>
              </w:rPr>
              <w:t>式中：</w:t>
            </w:r>
            <w:r>
              <w:rPr>
                <w:color w:val="auto"/>
                <w:sz w:val="24"/>
                <w:szCs w:val="24"/>
              </w:rPr>
              <w:t>q 1</w:t>
            </w:r>
            <w:r>
              <w:rPr>
                <w:rFonts w:ascii="宋体" w:hAnsi="宋体"/>
                <w:color w:val="auto"/>
                <w:sz w:val="24"/>
                <w:szCs w:val="24"/>
              </w:rPr>
              <w:t>、</w:t>
            </w:r>
            <w:r>
              <w:rPr>
                <w:color w:val="auto"/>
                <w:sz w:val="24"/>
                <w:szCs w:val="24"/>
              </w:rPr>
              <w:t>q 2</w:t>
            </w:r>
            <w:r>
              <w:rPr>
                <w:rFonts w:ascii="宋体" w:hAnsi="宋体"/>
                <w:color w:val="auto"/>
                <w:sz w:val="24"/>
                <w:szCs w:val="24"/>
              </w:rPr>
              <w:t>、</w:t>
            </w:r>
            <w:r>
              <w:rPr>
                <w:color w:val="auto"/>
                <w:sz w:val="24"/>
                <w:szCs w:val="24"/>
              </w:rPr>
              <w:t>…</w:t>
            </w:r>
            <w:r>
              <w:rPr>
                <w:rFonts w:hint="eastAsia"/>
                <w:color w:val="auto"/>
                <w:sz w:val="24"/>
                <w:szCs w:val="24"/>
              </w:rPr>
              <w:t>.</w:t>
            </w:r>
            <w:r>
              <w:rPr>
                <w:color w:val="auto"/>
                <w:sz w:val="24"/>
                <w:szCs w:val="24"/>
              </w:rPr>
              <w:t>q n ——</w:t>
            </w:r>
            <w:r>
              <w:rPr>
                <w:rFonts w:ascii="宋体" w:hAnsi="宋体"/>
                <w:color w:val="auto"/>
                <w:sz w:val="24"/>
                <w:szCs w:val="24"/>
              </w:rPr>
              <w:t>每种危险</w:t>
            </w:r>
            <w:r>
              <w:rPr>
                <w:rFonts w:hint="eastAsia" w:ascii="宋体" w:hAnsi="宋体"/>
                <w:color w:val="auto"/>
                <w:sz w:val="24"/>
                <w:szCs w:val="24"/>
              </w:rPr>
              <w:t>物质的最大存在总量</w:t>
            </w:r>
            <w:r>
              <w:rPr>
                <w:rFonts w:ascii="宋体" w:hAnsi="宋体"/>
                <w:color w:val="auto"/>
                <w:sz w:val="24"/>
                <w:szCs w:val="24"/>
              </w:rPr>
              <w:t>，</w:t>
            </w:r>
            <w:r>
              <w:rPr>
                <w:color w:val="auto"/>
                <w:sz w:val="24"/>
                <w:szCs w:val="24"/>
              </w:rPr>
              <w:t>t</w:t>
            </w:r>
            <w:r>
              <w:rPr>
                <w:rFonts w:ascii="宋体" w:hAnsi="宋体"/>
                <w:color w:val="auto"/>
                <w:sz w:val="24"/>
                <w:szCs w:val="24"/>
              </w:rPr>
              <w:t>；</w:t>
            </w:r>
          </w:p>
          <w:p>
            <w:pPr>
              <w:spacing w:line="360" w:lineRule="auto"/>
              <w:ind w:firstLine="1200" w:firstLineChars="500"/>
              <w:rPr>
                <w:color w:val="auto"/>
                <w:sz w:val="24"/>
                <w:szCs w:val="24"/>
              </w:rPr>
            </w:pPr>
            <w:r>
              <w:rPr>
                <w:color w:val="auto"/>
                <w:sz w:val="24"/>
                <w:szCs w:val="24"/>
              </w:rPr>
              <w:t>Q 1</w:t>
            </w:r>
            <w:r>
              <w:rPr>
                <w:rFonts w:ascii="宋体" w:hAnsi="宋体"/>
                <w:color w:val="auto"/>
                <w:sz w:val="24"/>
                <w:szCs w:val="24"/>
              </w:rPr>
              <w:t>、</w:t>
            </w:r>
            <w:r>
              <w:rPr>
                <w:color w:val="auto"/>
                <w:sz w:val="24"/>
                <w:szCs w:val="24"/>
              </w:rPr>
              <w:t>Q 2</w:t>
            </w:r>
            <w:r>
              <w:rPr>
                <w:rFonts w:ascii="宋体" w:hAnsi="宋体"/>
                <w:color w:val="auto"/>
                <w:sz w:val="24"/>
                <w:szCs w:val="24"/>
              </w:rPr>
              <w:t>、</w:t>
            </w:r>
            <w:r>
              <w:rPr>
                <w:color w:val="auto"/>
                <w:sz w:val="24"/>
                <w:szCs w:val="24"/>
              </w:rPr>
              <w:t>…</w:t>
            </w:r>
            <w:r>
              <w:rPr>
                <w:rFonts w:hint="eastAsia"/>
                <w:color w:val="auto"/>
                <w:sz w:val="24"/>
                <w:szCs w:val="24"/>
              </w:rPr>
              <w:t>.</w:t>
            </w:r>
            <w:r>
              <w:rPr>
                <w:color w:val="auto"/>
                <w:sz w:val="24"/>
                <w:szCs w:val="24"/>
              </w:rPr>
              <w:t>Q n ——</w:t>
            </w:r>
            <w:r>
              <w:rPr>
                <w:rFonts w:hint="eastAsia" w:ascii="宋体" w:hAnsi="宋体"/>
                <w:color w:val="auto"/>
                <w:sz w:val="24"/>
                <w:szCs w:val="24"/>
              </w:rPr>
              <w:t>每种危险物质</w:t>
            </w:r>
            <w:r>
              <w:rPr>
                <w:rFonts w:ascii="宋体" w:hAnsi="宋体"/>
                <w:color w:val="auto"/>
                <w:sz w:val="24"/>
                <w:szCs w:val="24"/>
              </w:rPr>
              <w:t>的临界量，</w:t>
            </w:r>
            <w:r>
              <w:rPr>
                <w:color w:val="auto"/>
                <w:sz w:val="24"/>
                <w:szCs w:val="24"/>
              </w:rPr>
              <w:t>t</w:t>
            </w:r>
            <w:r>
              <w:rPr>
                <w:rFonts w:ascii="宋体" w:hAnsi="宋体"/>
                <w:color w:val="auto"/>
                <w:sz w:val="24"/>
                <w:szCs w:val="24"/>
              </w:rPr>
              <w:t>。</w:t>
            </w:r>
          </w:p>
          <w:p>
            <w:pPr>
              <w:spacing w:line="360" w:lineRule="auto"/>
              <w:ind w:firstLine="480" w:firstLineChars="200"/>
              <w:rPr>
                <w:color w:val="auto"/>
                <w:sz w:val="24"/>
                <w:szCs w:val="24"/>
              </w:rPr>
            </w:pPr>
            <w:r>
              <w:rPr>
                <w:rFonts w:hint="eastAsia" w:ascii="宋体" w:hAnsi="宋体"/>
                <w:color w:val="auto"/>
                <w:sz w:val="24"/>
                <w:szCs w:val="24"/>
              </w:rPr>
              <w:t>当</w:t>
            </w:r>
            <w:r>
              <w:rPr>
                <w:rFonts w:hint="eastAsia"/>
                <w:color w:val="auto"/>
                <w:sz w:val="24"/>
                <w:szCs w:val="24"/>
              </w:rPr>
              <w:t>Q</w:t>
            </w:r>
            <w:r>
              <w:rPr>
                <w:rFonts w:hint="eastAsia" w:ascii="宋体" w:hAnsi="宋体"/>
                <w:color w:val="auto"/>
                <w:sz w:val="24"/>
                <w:szCs w:val="24"/>
              </w:rPr>
              <w:t>＜</w:t>
            </w:r>
            <w:r>
              <w:rPr>
                <w:rFonts w:hint="eastAsia"/>
                <w:color w:val="auto"/>
                <w:sz w:val="24"/>
                <w:szCs w:val="24"/>
              </w:rPr>
              <w:t>1</w:t>
            </w:r>
            <w:r>
              <w:rPr>
                <w:rFonts w:hint="eastAsia" w:ascii="宋体" w:hAnsi="宋体"/>
                <w:color w:val="auto"/>
                <w:sz w:val="24"/>
                <w:szCs w:val="24"/>
              </w:rPr>
              <w:t>时，该项目环境风险潜势为</w:t>
            </w:r>
            <w:r>
              <w:rPr>
                <w:rFonts w:hint="eastAsia"/>
                <w:color w:val="auto"/>
                <w:sz w:val="24"/>
                <w:szCs w:val="24"/>
              </w:rPr>
              <w:t>I</w:t>
            </w:r>
            <w:r>
              <w:rPr>
                <w:rFonts w:hint="eastAsia" w:ascii="宋体" w:hAnsi="宋体"/>
                <w:color w:val="auto"/>
                <w:sz w:val="24"/>
                <w:szCs w:val="24"/>
              </w:rPr>
              <w:t>。</w:t>
            </w:r>
          </w:p>
          <w:p>
            <w:pPr>
              <w:spacing w:line="360" w:lineRule="auto"/>
              <w:ind w:firstLine="480" w:firstLineChars="200"/>
              <w:rPr>
                <w:color w:val="auto"/>
                <w:sz w:val="24"/>
                <w:szCs w:val="24"/>
              </w:rPr>
            </w:pPr>
            <w:r>
              <w:rPr>
                <w:rFonts w:hint="eastAsia" w:ascii="宋体" w:hAnsi="宋体"/>
                <w:color w:val="auto"/>
                <w:sz w:val="24"/>
                <w:szCs w:val="24"/>
              </w:rPr>
              <w:t>当</w:t>
            </w:r>
            <w:r>
              <w:rPr>
                <w:rFonts w:hint="eastAsia"/>
                <w:color w:val="auto"/>
                <w:sz w:val="24"/>
                <w:szCs w:val="24"/>
              </w:rPr>
              <w:t>Q</w:t>
            </w:r>
            <w:r>
              <w:rPr>
                <w:rFonts w:hint="eastAsia" w:ascii="宋体" w:hAnsi="宋体"/>
                <w:color w:val="auto"/>
                <w:sz w:val="24"/>
                <w:szCs w:val="24"/>
              </w:rPr>
              <w:t>≥</w:t>
            </w:r>
            <w:r>
              <w:rPr>
                <w:rFonts w:hint="eastAsia"/>
                <w:color w:val="auto"/>
                <w:sz w:val="24"/>
                <w:szCs w:val="24"/>
              </w:rPr>
              <w:t>1</w:t>
            </w:r>
            <w:r>
              <w:rPr>
                <w:rFonts w:hint="eastAsia" w:ascii="宋体" w:hAnsi="宋体"/>
                <w:color w:val="auto"/>
                <w:sz w:val="24"/>
                <w:szCs w:val="24"/>
              </w:rPr>
              <w:t>时，将</w:t>
            </w:r>
            <w:r>
              <w:rPr>
                <w:rFonts w:hint="eastAsia"/>
                <w:color w:val="auto"/>
                <w:sz w:val="24"/>
                <w:szCs w:val="24"/>
              </w:rPr>
              <w:t>Q</w:t>
            </w:r>
            <w:r>
              <w:rPr>
                <w:rFonts w:hint="eastAsia" w:ascii="宋体" w:hAnsi="宋体"/>
                <w:color w:val="auto"/>
                <w:sz w:val="24"/>
                <w:szCs w:val="24"/>
              </w:rPr>
              <w:t>值划分为：（</w:t>
            </w:r>
            <w:r>
              <w:rPr>
                <w:rFonts w:hint="eastAsia"/>
                <w:color w:val="auto"/>
                <w:sz w:val="24"/>
                <w:szCs w:val="24"/>
              </w:rPr>
              <w:t>1</w:t>
            </w:r>
            <w:r>
              <w:rPr>
                <w:rFonts w:hint="eastAsia" w:ascii="宋体" w:hAnsi="宋体"/>
                <w:color w:val="auto"/>
                <w:sz w:val="24"/>
                <w:szCs w:val="24"/>
              </w:rPr>
              <w:t>）</w:t>
            </w:r>
            <w:r>
              <w:rPr>
                <w:rFonts w:hint="eastAsia"/>
                <w:color w:val="auto"/>
                <w:sz w:val="24"/>
                <w:szCs w:val="24"/>
              </w:rPr>
              <w:t>1</w:t>
            </w:r>
            <w:r>
              <w:rPr>
                <w:rFonts w:hint="eastAsia" w:ascii="宋体" w:hAnsi="宋体"/>
                <w:color w:val="auto"/>
                <w:sz w:val="24"/>
                <w:szCs w:val="24"/>
              </w:rPr>
              <w:t>≤</w:t>
            </w:r>
            <w:r>
              <w:rPr>
                <w:rFonts w:hint="eastAsia"/>
                <w:color w:val="auto"/>
                <w:sz w:val="24"/>
                <w:szCs w:val="24"/>
              </w:rPr>
              <w:t>Q</w:t>
            </w:r>
            <w:r>
              <w:rPr>
                <w:rFonts w:hint="eastAsia" w:ascii="宋体" w:hAnsi="宋体"/>
                <w:color w:val="auto"/>
                <w:sz w:val="24"/>
                <w:szCs w:val="24"/>
              </w:rPr>
              <w:t>＜</w:t>
            </w:r>
            <w:r>
              <w:rPr>
                <w:rFonts w:hint="eastAsia"/>
                <w:color w:val="auto"/>
                <w:sz w:val="24"/>
                <w:szCs w:val="24"/>
              </w:rPr>
              <w:t>10</w:t>
            </w:r>
            <w:r>
              <w:rPr>
                <w:rFonts w:hint="eastAsia" w:ascii="宋体" w:hAnsi="宋体"/>
                <w:color w:val="auto"/>
                <w:sz w:val="24"/>
                <w:szCs w:val="24"/>
              </w:rPr>
              <w:t>；（</w:t>
            </w:r>
            <w:r>
              <w:rPr>
                <w:rFonts w:hint="eastAsia"/>
                <w:color w:val="auto"/>
                <w:sz w:val="24"/>
                <w:szCs w:val="24"/>
              </w:rPr>
              <w:t>2</w:t>
            </w:r>
            <w:r>
              <w:rPr>
                <w:rFonts w:hint="eastAsia" w:ascii="宋体" w:hAnsi="宋体"/>
                <w:color w:val="auto"/>
                <w:sz w:val="24"/>
                <w:szCs w:val="24"/>
              </w:rPr>
              <w:t>）</w:t>
            </w:r>
            <w:r>
              <w:rPr>
                <w:rFonts w:hint="eastAsia"/>
                <w:color w:val="auto"/>
                <w:sz w:val="24"/>
                <w:szCs w:val="24"/>
              </w:rPr>
              <w:t>10</w:t>
            </w:r>
            <w:r>
              <w:rPr>
                <w:rFonts w:hint="eastAsia" w:ascii="宋体" w:hAnsi="宋体"/>
                <w:color w:val="auto"/>
                <w:sz w:val="24"/>
                <w:szCs w:val="24"/>
              </w:rPr>
              <w:t>≤</w:t>
            </w:r>
            <w:r>
              <w:rPr>
                <w:rFonts w:hint="eastAsia"/>
                <w:color w:val="auto"/>
                <w:sz w:val="24"/>
                <w:szCs w:val="24"/>
              </w:rPr>
              <w:t>Q</w:t>
            </w:r>
            <w:r>
              <w:rPr>
                <w:rFonts w:hint="eastAsia" w:ascii="宋体" w:hAnsi="宋体"/>
                <w:color w:val="auto"/>
                <w:sz w:val="24"/>
                <w:szCs w:val="24"/>
              </w:rPr>
              <w:t>＜</w:t>
            </w:r>
            <w:r>
              <w:rPr>
                <w:rFonts w:hint="eastAsia"/>
                <w:color w:val="auto"/>
                <w:sz w:val="24"/>
                <w:szCs w:val="24"/>
              </w:rPr>
              <w:t>100</w:t>
            </w:r>
            <w:r>
              <w:rPr>
                <w:rFonts w:hint="eastAsia" w:ascii="宋体" w:hAnsi="宋体"/>
                <w:color w:val="auto"/>
                <w:sz w:val="24"/>
                <w:szCs w:val="24"/>
              </w:rPr>
              <w:t>；（</w:t>
            </w:r>
            <w:r>
              <w:rPr>
                <w:rFonts w:hint="eastAsia"/>
                <w:color w:val="auto"/>
                <w:sz w:val="24"/>
                <w:szCs w:val="24"/>
              </w:rPr>
              <w:t>3</w:t>
            </w:r>
            <w:r>
              <w:rPr>
                <w:rFonts w:hint="eastAsia" w:ascii="宋体" w:hAnsi="宋体"/>
                <w:color w:val="auto"/>
                <w:sz w:val="24"/>
                <w:szCs w:val="24"/>
              </w:rPr>
              <w:t>）</w:t>
            </w:r>
            <w:r>
              <w:rPr>
                <w:rFonts w:hint="eastAsia"/>
                <w:color w:val="auto"/>
                <w:sz w:val="24"/>
                <w:szCs w:val="24"/>
              </w:rPr>
              <w:t>Q</w:t>
            </w:r>
            <w:r>
              <w:rPr>
                <w:rFonts w:hint="eastAsia" w:ascii="宋体" w:hAnsi="宋体"/>
                <w:color w:val="auto"/>
                <w:sz w:val="24"/>
                <w:szCs w:val="24"/>
              </w:rPr>
              <w:t>≥</w:t>
            </w:r>
            <w:r>
              <w:rPr>
                <w:rFonts w:hint="eastAsia"/>
                <w:color w:val="auto"/>
                <w:sz w:val="24"/>
                <w:szCs w:val="24"/>
              </w:rPr>
              <w:t>100</w:t>
            </w:r>
            <w:r>
              <w:rPr>
                <w:rFonts w:hint="eastAsia" w:ascii="宋体" w:hAnsi="宋体"/>
                <w:color w:val="auto"/>
                <w:sz w:val="24"/>
                <w:szCs w:val="24"/>
              </w:rPr>
              <w:t>。</w:t>
            </w:r>
          </w:p>
          <w:p>
            <w:pPr>
              <w:snapToGrid w:val="0"/>
              <w:spacing w:line="360" w:lineRule="auto"/>
              <w:contextualSpacing/>
              <w:jc w:val="center"/>
              <w:rPr>
                <w:b/>
                <w:bCs/>
                <w:color w:val="auto"/>
                <w:szCs w:val="21"/>
              </w:rPr>
            </w:pPr>
            <w:r>
              <w:rPr>
                <w:rFonts w:hint="eastAsia" w:ascii="宋体" w:hAnsi="宋体"/>
                <w:b/>
                <w:bCs/>
                <w:color w:val="auto"/>
              </w:rPr>
              <w:t>表7-</w:t>
            </w:r>
            <w:r>
              <w:rPr>
                <w:rFonts w:hint="eastAsia" w:ascii="宋体" w:hAnsi="宋体"/>
                <w:b/>
                <w:bCs/>
                <w:color w:val="auto"/>
                <w:lang w:val="en-US" w:eastAsia="zh-CN"/>
              </w:rPr>
              <w:t>23</w:t>
            </w:r>
            <w:r>
              <w:rPr>
                <w:rFonts w:hint="eastAsia" w:ascii="Times New Roman" w:hAnsi="Times New Roman"/>
                <w:color w:val="auto"/>
                <w:lang w:bidi="ar"/>
              </w:rPr>
              <w:t xml:space="preserve"> </w:t>
            </w:r>
            <w:r>
              <w:rPr>
                <w:rFonts w:ascii="宋体" w:hAnsi="宋体"/>
                <w:b/>
                <w:bCs/>
                <w:color w:val="auto"/>
              </w:rPr>
              <w:t>项目涉及的危险物质最大储存量及临界量</w:t>
            </w:r>
          </w:p>
          <w:tbl>
            <w:tblPr>
              <w:tblStyle w:val="22"/>
              <w:tblW w:w="86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34"/>
              <w:gridCol w:w="1276"/>
              <w:gridCol w:w="1559"/>
              <w:gridCol w:w="1276"/>
              <w:gridCol w:w="1276"/>
              <w:gridCol w:w="13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tcBorders>
                    <w:top w:val="single" w:color="auto" w:sz="12" w:space="0"/>
                    <w:left w:val="nil"/>
                    <w:bottom w:val="single" w:color="auto" w:sz="4" w:space="0"/>
                    <w:right w:val="single" w:color="auto" w:sz="4" w:space="0"/>
                  </w:tcBorders>
                  <w:noWrap w:val="0"/>
                  <w:vAlign w:val="center"/>
                </w:tcPr>
                <w:p>
                  <w:pPr>
                    <w:adjustRightInd w:val="0"/>
                    <w:snapToGrid w:val="0"/>
                    <w:jc w:val="center"/>
                    <w:rPr>
                      <w:b/>
                      <w:bCs/>
                      <w:color w:val="auto"/>
                    </w:rPr>
                  </w:pPr>
                  <w:r>
                    <w:rPr>
                      <w:b/>
                      <w:bCs/>
                      <w:color w:val="auto"/>
                    </w:rPr>
                    <w:t>序号</w:t>
                  </w:r>
                </w:p>
              </w:tc>
              <w:tc>
                <w:tcPr>
                  <w:tcW w:w="1134"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b/>
                      <w:bCs/>
                      <w:color w:val="auto"/>
                    </w:rPr>
                  </w:pPr>
                  <w:r>
                    <w:rPr>
                      <w:rFonts w:hint="eastAsia"/>
                      <w:b/>
                      <w:bCs/>
                      <w:color w:val="auto"/>
                    </w:rPr>
                    <w:t>功能单元</w:t>
                  </w:r>
                </w:p>
              </w:tc>
              <w:tc>
                <w:tcPr>
                  <w:tcW w:w="1276"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b/>
                      <w:bCs/>
                      <w:color w:val="auto"/>
                    </w:rPr>
                  </w:pPr>
                  <w:r>
                    <w:rPr>
                      <w:rFonts w:hint="eastAsia"/>
                      <w:b/>
                      <w:bCs/>
                      <w:color w:val="auto"/>
                    </w:rPr>
                    <w:t>危险化学品</w:t>
                  </w:r>
                </w:p>
              </w:tc>
              <w:tc>
                <w:tcPr>
                  <w:tcW w:w="1559"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b/>
                      <w:bCs/>
                      <w:color w:val="auto"/>
                    </w:rPr>
                  </w:pPr>
                  <w:r>
                    <w:rPr>
                      <w:b/>
                      <w:bCs/>
                      <w:color w:val="auto"/>
                    </w:rPr>
                    <w:t>最大储存量（t</w:t>
                  </w:r>
                  <w:r>
                    <w:rPr>
                      <w:rFonts w:ascii="宋体" w:hAnsi="宋体"/>
                      <w:b/>
                      <w:bCs/>
                      <w:color w:val="auto"/>
                    </w:rPr>
                    <w:t>）</w:t>
                  </w:r>
                </w:p>
              </w:tc>
              <w:tc>
                <w:tcPr>
                  <w:tcW w:w="1276"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b/>
                      <w:bCs/>
                      <w:color w:val="auto"/>
                    </w:rPr>
                  </w:pPr>
                  <w:r>
                    <w:rPr>
                      <w:b/>
                      <w:bCs/>
                      <w:color w:val="auto"/>
                    </w:rPr>
                    <w:t>临界量（t</w:t>
                  </w:r>
                  <w:r>
                    <w:rPr>
                      <w:rFonts w:ascii="宋体" w:hAnsi="宋体"/>
                      <w:b/>
                      <w:bCs/>
                      <w:color w:val="auto"/>
                    </w:rPr>
                    <w:t>）</w:t>
                  </w:r>
                </w:p>
              </w:tc>
              <w:tc>
                <w:tcPr>
                  <w:tcW w:w="1276"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b/>
                      <w:bCs/>
                      <w:color w:val="auto"/>
                    </w:rPr>
                  </w:pPr>
                  <w:r>
                    <w:rPr>
                      <w:b/>
                      <w:bCs/>
                      <w:color w:val="auto"/>
                    </w:rPr>
                    <w:t>q/Q</w:t>
                  </w:r>
                </w:p>
              </w:tc>
              <w:tc>
                <w:tcPr>
                  <w:tcW w:w="1331" w:type="dxa"/>
                  <w:tcBorders>
                    <w:top w:val="single" w:color="auto" w:sz="12" w:space="0"/>
                    <w:left w:val="single" w:color="auto" w:sz="4" w:space="0"/>
                    <w:bottom w:val="single" w:color="auto" w:sz="4" w:space="0"/>
                    <w:right w:val="nil"/>
                  </w:tcBorders>
                  <w:noWrap w:val="0"/>
                  <w:vAlign w:val="center"/>
                </w:tcPr>
                <w:p>
                  <w:pPr>
                    <w:adjustRightInd w:val="0"/>
                    <w:snapToGrid w:val="0"/>
                    <w:jc w:val="center"/>
                    <w:rPr>
                      <w:b/>
                      <w:bCs/>
                      <w:color w:val="auto"/>
                    </w:rPr>
                  </w:pPr>
                  <w:r>
                    <w:rPr>
                      <w:rFonts w:hint="eastAsia"/>
                      <w:b/>
                      <w:bCs/>
                      <w:color w:val="auto"/>
                    </w:rPr>
                    <w:t>是否</w:t>
                  </w:r>
                  <w:r>
                    <w:rPr>
                      <w:b/>
                      <w:bCs/>
                      <w:color w:val="auto"/>
                    </w:rPr>
                    <w:t>最大危险源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tcBorders>
                    <w:top w:val="single" w:color="auto" w:sz="4" w:space="0"/>
                    <w:left w:val="nil"/>
                    <w:bottom w:val="single" w:color="auto" w:sz="4" w:space="0"/>
                    <w:right w:val="single" w:color="auto" w:sz="4" w:space="0"/>
                  </w:tcBorders>
                  <w:noWrap w:val="0"/>
                  <w:vAlign w:val="center"/>
                </w:tcPr>
                <w:p>
                  <w:pPr>
                    <w:adjustRightInd w:val="0"/>
                    <w:snapToGrid w:val="0"/>
                    <w:jc w:val="center"/>
                    <w:rPr>
                      <w:color w:val="auto"/>
                    </w:rPr>
                  </w:pPr>
                  <w:r>
                    <w:rPr>
                      <w:color w:val="auto"/>
                    </w:rPr>
                    <w:t>1</w:t>
                  </w:r>
                </w:p>
              </w:tc>
              <w:tc>
                <w:tcPr>
                  <w:tcW w:w="1134" w:type="dxa"/>
                  <w:tcBorders>
                    <w:top w:val="single" w:color="auto" w:sz="4" w:space="0"/>
                    <w:left w:val="single" w:color="auto" w:sz="4" w:space="0"/>
                    <w:right w:val="single" w:color="auto" w:sz="4" w:space="0"/>
                  </w:tcBorders>
                  <w:noWrap w:val="0"/>
                  <w:vAlign w:val="center"/>
                </w:tcPr>
                <w:p>
                  <w:pPr>
                    <w:adjustRightInd w:val="0"/>
                    <w:snapToGrid w:val="0"/>
                    <w:jc w:val="center"/>
                    <w:rPr>
                      <w:rFonts w:hint="eastAsia" w:eastAsia="宋体"/>
                      <w:color w:val="auto"/>
                      <w:lang w:eastAsia="zh-CN"/>
                    </w:rPr>
                  </w:pPr>
                  <w:r>
                    <w:rPr>
                      <w:rFonts w:hint="eastAsia"/>
                      <w:color w:val="auto"/>
                      <w:lang w:eastAsia="zh-CN"/>
                    </w:rPr>
                    <w:t>炭化窑</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color w:val="auto"/>
                    </w:rPr>
                  </w:pPr>
                  <w:r>
                    <w:rPr>
                      <w:rFonts w:ascii="Times New Roman" w:cs="Times New Roman"/>
                      <w:color w:val="auto"/>
                      <w:sz w:val="21"/>
                      <w:szCs w:val="21"/>
                    </w:rPr>
                    <w:t>木煤气</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pStyle w:val="2"/>
                    <w:jc w:val="center"/>
                    <w:rPr>
                      <w:color w:val="auto"/>
                    </w:rPr>
                  </w:pPr>
                  <w:r>
                    <w:rPr>
                      <w:rFonts w:ascii="Times New Roman" w:cs="Times New Roman"/>
                      <w:color w:val="auto"/>
                      <w:sz w:val="21"/>
                      <w:szCs w:val="21"/>
                    </w:rPr>
                    <w:t>0.15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jc w:val="center"/>
                    <w:rPr>
                      <w:color w:val="auto"/>
                    </w:rPr>
                  </w:pPr>
                  <w:r>
                    <w:rPr>
                      <w:rFonts w:ascii="Times New Roman" w:cs="Times New Roman"/>
                      <w:color w:val="auto"/>
                      <w:sz w:val="21"/>
                      <w:szCs w:val="21"/>
                    </w:rPr>
                    <w:t>7.5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jc w:val="center"/>
                    <w:rPr>
                      <w:rFonts w:ascii="宋体" w:hAnsi="宋体"/>
                      <w:color w:val="auto"/>
                      <w:sz w:val="22"/>
                    </w:rPr>
                  </w:pPr>
                  <w:r>
                    <w:rPr>
                      <w:rFonts w:ascii="Times New Roman" w:cs="Times New Roman"/>
                      <w:color w:val="auto"/>
                      <w:sz w:val="21"/>
                      <w:szCs w:val="21"/>
                    </w:rPr>
                    <w:t>0.02</w:t>
                  </w:r>
                </w:p>
              </w:tc>
              <w:tc>
                <w:tcPr>
                  <w:tcW w:w="1331" w:type="dxa"/>
                  <w:vMerge w:val="restart"/>
                  <w:tcBorders>
                    <w:top w:val="single" w:color="auto" w:sz="4" w:space="0"/>
                    <w:left w:val="single" w:color="auto" w:sz="4" w:space="0"/>
                    <w:bottom w:val="single" w:color="auto" w:sz="4" w:space="0"/>
                    <w:right w:val="nil"/>
                  </w:tcBorders>
                  <w:noWrap w:val="0"/>
                  <w:vAlign w:val="center"/>
                </w:tcPr>
                <w:p>
                  <w:pPr>
                    <w:adjustRightInd w:val="0"/>
                    <w:snapToGrid w:val="0"/>
                    <w:jc w:val="center"/>
                    <w:rPr>
                      <w:rFonts w:hint="eastAsia"/>
                      <w:color w:val="auto"/>
                      <w:szCs w:val="21"/>
                    </w:rPr>
                  </w:pPr>
                  <w:r>
                    <w:rPr>
                      <w:color w:val="auto"/>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1" w:type="dxa"/>
                  <w:gridSpan w:val="5"/>
                  <w:tcBorders>
                    <w:top w:val="single" w:color="auto" w:sz="4" w:space="0"/>
                    <w:left w:val="nil"/>
                    <w:bottom w:val="single" w:color="auto" w:sz="12" w:space="0"/>
                    <w:right w:val="single" w:color="auto" w:sz="4" w:space="0"/>
                  </w:tcBorders>
                  <w:noWrap w:val="0"/>
                  <w:vAlign w:val="center"/>
                </w:tcPr>
                <w:p>
                  <w:pPr>
                    <w:adjustRightInd w:val="0"/>
                    <w:snapToGrid w:val="0"/>
                    <w:jc w:val="center"/>
                    <w:rPr>
                      <w:color w:val="auto"/>
                      <w:szCs w:val="21"/>
                    </w:rPr>
                  </w:pPr>
                  <w:r>
                    <w:rPr>
                      <w:color w:val="auto"/>
                    </w:rPr>
                    <w:t>总计（Σq</w:t>
                  </w:r>
                  <w:r>
                    <w:rPr>
                      <w:color w:val="auto"/>
                      <w:vertAlign w:val="subscript"/>
                    </w:rPr>
                    <w:t>n</w:t>
                  </w:r>
                  <w:r>
                    <w:rPr>
                      <w:color w:val="auto"/>
                    </w:rPr>
                    <w:t>/Q</w:t>
                  </w:r>
                  <w:r>
                    <w:rPr>
                      <w:color w:val="auto"/>
                      <w:vertAlign w:val="subscript"/>
                    </w:rPr>
                    <w:t>n</w:t>
                  </w:r>
                  <w:r>
                    <w:rPr>
                      <w:color w:val="auto"/>
                    </w:rPr>
                    <w:t>）</w:t>
                  </w:r>
                </w:p>
              </w:tc>
              <w:tc>
                <w:tcPr>
                  <w:tcW w:w="1276" w:type="dxa"/>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rPr>
                      <w:rFonts w:hint="default" w:eastAsia="宋体"/>
                      <w:color w:val="auto"/>
                      <w:lang w:val="en-US" w:eastAsia="zh-CN"/>
                    </w:rPr>
                  </w:pPr>
                  <w:r>
                    <w:rPr>
                      <w:color w:val="auto"/>
                    </w:rPr>
                    <w:t>0.</w:t>
                  </w:r>
                  <w:r>
                    <w:rPr>
                      <w:rFonts w:hint="eastAsia"/>
                      <w:color w:val="auto"/>
                      <w:lang w:val="en-US" w:eastAsia="zh-CN"/>
                    </w:rPr>
                    <w:t>02</w:t>
                  </w:r>
                </w:p>
              </w:tc>
              <w:tc>
                <w:tcPr>
                  <w:tcW w:w="1331" w:type="dxa"/>
                  <w:vMerge w:val="continue"/>
                  <w:tcBorders>
                    <w:top w:val="single" w:color="auto" w:sz="4" w:space="0"/>
                    <w:left w:val="single" w:color="auto" w:sz="4" w:space="0"/>
                    <w:bottom w:val="single" w:color="auto" w:sz="12" w:space="0"/>
                    <w:right w:val="nil"/>
                  </w:tcBorders>
                  <w:noWrap w:val="0"/>
                  <w:vAlign w:val="center"/>
                </w:tcPr>
                <w:p>
                  <w:pPr>
                    <w:rPr>
                      <w:rFonts w:cs="宋体"/>
                      <w:color w:val="auto"/>
                      <w:szCs w:val="21"/>
                    </w:rPr>
                  </w:pPr>
                </w:p>
              </w:tc>
            </w:tr>
          </w:tbl>
          <w:p>
            <w:pPr>
              <w:pStyle w:val="19"/>
              <w:widowControl w:val="0"/>
              <w:spacing w:before="0" w:beforeAutospacing="0" w:after="0" w:afterAutospacing="0" w:line="360" w:lineRule="auto"/>
              <w:ind w:firstLine="480" w:firstLineChars="200"/>
              <w:jc w:val="both"/>
              <w:rPr>
                <w:rFonts w:ascii="Times New Roman" w:hAnsi="Times New Roman"/>
                <w:color w:val="auto"/>
                <w:kern w:val="2"/>
                <w:szCs w:val="22"/>
                <w:lang w:bidi="ar"/>
              </w:rPr>
            </w:pPr>
            <w:r>
              <w:rPr>
                <w:rFonts w:hint="eastAsia" w:ascii="Times New Roman" w:hAnsi="Times New Roman"/>
                <w:color w:val="auto"/>
                <w:kern w:val="2"/>
                <w:szCs w:val="22"/>
                <w:lang w:bidi="ar"/>
              </w:rPr>
              <w:t>根据上表结果计算，本项目危险物质数量与临界量比值Q=</w:t>
            </w:r>
            <w:r>
              <w:rPr>
                <w:rFonts w:ascii="Times New Roman" w:hAnsi="Times New Roman"/>
                <w:color w:val="auto"/>
                <w:kern w:val="2"/>
                <w:szCs w:val="22"/>
                <w:lang w:bidi="ar"/>
              </w:rPr>
              <w:t>0.</w:t>
            </w:r>
            <w:r>
              <w:rPr>
                <w:rFonts w:hint="eastAsia" w:ascii="Times New Roman" w:hAnsi="Times New Roman"/>
                <w:color w:val="auto"/>
                <w:kern w:val="2"/>
                <w:szCs w:val="22"/>
                <w:lang w:val="en-US" w:eastAsia="zh-CN" w:bidi="ar"/>
              </w:rPr>
              <w:t>02</w:t>
            </w:r>
            <w:r>
              <w:rPr>
                <w:rFonts w:hint="eastAsia" w:ascii="Times New Roman" w:hAnsi="Times New Roman"/>
                <w:color w:val="auto"/>
                <w:kern w:val="2"/>
                <w:szCs w:val="22"/>
                <w:lang w:bidi="ar"/>
              </w:rPr>
              <w:t>＜1。因此，建设项目环境风险潜势为I。</w:t>
            </w:r>
          </w:p>
          <w:p>
            <w:pPr>
              <w:pStyle w:val="40"/>
              <w:rPr>
                <w:rFonts w:hAnsi="宋体"/>
                <w:color w:val="auto"/>
              </w:rPr>
            </w:pPr>
            <w:r>
              <w:rPr>
                <w:rFonts w:hint="eastAsia" w:ascii="宋体" w:hAnsi="宋体" w:cs="Calibri"/>
                <w:color w:val="auto"/>
              </w:rPr>
              <w:t>（</w:t>
            </w:r>
            <w:r>
              <w:rPr>
                <w:rFonts w:hAnsi="宋体" w:cs="Calibri"/>
                <w:color w:val="auto"/>
              </w:rPr>
              <w:t>2</w:t>
            </w:r>
            <w:r>
              <w:rPr>
                <w:rFonts w:hint="eastAsia" w:ascii="宋体" w:hAnsi="宋体" w:cs="Calibri"/>
                <w:color w:val="auto"/>
              </w:rPr>
              <w:t>）评价等级</w:t>
            </w:r>
          </w:p>
          <w:p>
            <w:pPr>
              <w:pStyle w:val="40"/>
              <w:rPr>
                <w:rFonts w:ascii="宋体" w:hAnsi="宋体"/>
                <w:b/>
                <w:bCs/>
                <w:color w:val="auto"/>
              </w:rPr>
            </w:pPr>
            <w:r>
              <w:rPr>
                <w:rFonts w:hint="eastAsia" w:ascii="宋体" w:hAnsi="宋体" w:cs="Calibri"/>
                <w:color w:val="auto"/>
              </w:rPr>
              <w:t>评价工作等级划分见下表</w:t>
            </w:r>
          </w:p>
          <w:p>
            <w:pPr>
              <w:autoSpaceDE w:val="0"/>
              <w:spacing w:line="360" w:lineRule="auto"/>
              <w:contextualSpacing/>
              <w:jc w:val="center"/>
              <w:rPr>
                <w:b/>
                <w:bCs/>
                <w:color w:val="auto"/>
              </w:rPr>
            </w:pPr>
            <w:r>
              <w:rPr>
                <w:rFonts w:ascii="宋体" w:hAnsi="宋体"/>
                <w:b/>
                <w:bCs/>
                <w:color w:val="auto"/>
              </w:rPr>
              <w:t>表</w:t>
            </w:r>
            <w:r>
              <w:rPr>
                <w:b/>
                <w:bCs/>
                <w:color w:val="auto"/>
              </w:rPr>
              <w:t>7-</w:t>
            </w:r>
            <w:r>
              <w:rPr>
                <w:rFonts w:hint="eastAsia"/>
                <w:b/>
                <w:bCs/>
                <w:color w:val="auto"/>
                <w:lang w:val="en-US" w:eastAsia="zh-CN"/>
              </w:rPr>
              <w:t>24</w:t>
            </w:r>
            <w:r>
              <w:rPr>
                <w:rFonts w:hint="eastAsia"/>
                <w:b/>
                <w:bCs/>
                <w:color w:val="auto"/>
              </w:rPr>
              <w:t xml:space="preserve"> </w:t>
            </w:r>
            <w:r>
              <w:rPr>
                <w:b/>
                <w:bCs/>
                <w:color w:val="auto"/>
              </w:rPr>
              <w:t xml:space="preserve"> </w:t>
            </w:r>
            <w:r>
              <w:rPr>
                <w:rFonts w:hint="eastAsia" w:ascii="宋体" w:hAnsi="宋体"/>
                <w:b/>
                <w:bCs/>
                <w:color w:val="auto"/>
              </w:rPr>
              <w:t>评价工作等级划分</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428"/>
              <w:gridCol w:w="1614"/>
              <w:gridCol w:w="1659"/>
              <w:gridCol w:w="2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72" w:type="dxa"/>
                  <w:tcBorders>
                    <w:top w:val="single" w:color="auto" w:sz="12" w:space="0"/>
                    <w:left w:val="nil"/>
                    <w:bottom w:val="single" w:color="auto" w:sz="4" w:space="0"/>
                    <w:right w:val="single" w:color="auto" w:sz="4" w:space="0"/>
                  </w:tcBorders>
                  <w:noWrap w:val="0"/>
                  <w:vAlign w:val="center"/>
                </w:tcPr>
                <w:p>
                  <w:pPr>
                    <w:snapToGrid w:val="0"/>
                    <w:jc w:val="center"/>
                    <w:rPr>
                      <w:b/>
                      <w:bCs/>
                      <w:color w:val="auto"/>
                    </w:rPr>
                  </w:pPr>
                  <w:r>
                    <w:rPr>
                      <w:rFonts w:hint="eastAsia"/>
                      <w:b/>
                      <w:bCs/>
                      <w:color w:val="auto"/>
                    </w:rPr>
                    <w:t>环境风险潜势</w:t>
                  </w:r>
                </w:p>
              </w:tc>
              <w:tc>
                <w:tcPr>
                  <w:tcW w:w="1428" w:type="dxa"/>
                  <w:tcBorders>
                    <w:top w:val="single" w:color="auto" w:sz="12" w:space="0"/>
                    <w:left w:val="single" w:color="auto" w:sz="4" w:space="0"/>
                    <w:bottom w:val="single" w:color="auto" w:sz="4" w:space="0"/>
                    <w:right w:val="single" w:color="auto" w:sz="4" w:space="0"/>
                  </w:tcBorders>
                  <w:noWrap w:val="0"/>
                  <w:vAlign w:val="center"/>
                </w:tcPr>
                <w:p>
                  <w:pPr>
                    <w:snapToGrid w:val="0"/>
                    <w:jc w:val="center"/>
                    <w:rPr>
                      <w:b/>
                      <w:bCs/>
                      <w:color w:val="auto"/>
                    </w:rPr>
                  </w:pPr>
                  <w:r>
                    <w:rPr>
                      <w:rFonts w:hint="eastAsia"/>
                      <w:b/>
                      <w:bCs/>
                      <w:color w:val="auto"/>
                    </w:rPr>
                    <w:t>IV</w:t>
                  </w:r>
                  <w:r>
                    <w:rPr>
                      <w:rFonts w:hint="eastAsia" w:ascii="宋体" w:hAnsi="宋体"/>
                      <w:b/>
                      <w:bCs/>
                      <w:color w:val="auto"/>
                    </w:rPr>
                    <w:t>、</w:t>
                  </w:r>
                  <w:r>
                    <w:rPr>
                      <w:rFonts w:hint="eastAsia"/>
                      <w:b/>
                      <w:bCs/>
                      <w:color w:val="auto"/>
                    </w:rPr>
                    <w:t>IV</w:t>
                  </w:r>
                  <w:r>
                    <w:rPr>
                      <w:rFonts w:hint="eastAsia"/>
                      <w:b/>
                      <w:bCs/>
                      <w:color w:val="auto"/>
                      <w:vertAlign w:val="superscript"/>
                    </w:rPr>
                    <w:t>+</w:t>
                  </w:r>
                </w:p>
              </w:tc>
              <w:tc>
                <w:tcPr>
                  <w:tcW w:w="1614" w:type="dxa"/>
                  <w:tcBorders>
                    <w:top w:val="single" w:color="auto" w:sz="12" w:space="0"/>
                    <w:left w:val="single" w:color="auto" w:sz="4" w:space="0"/>
                    <w:bottom w:val="single" w:color="auto" w:sz="4" w:space="0"/>
                    <w:right w:val="single" w:color="auto" w:sz="4" w:space="0"/>
                  </w:tcBorders>
                  <w:noWrap w:val="0"/>
                  <w:vAlign w:val="center"/>
                </w:tcPr>
                <w:p>
                  <w:pPr>
                    <w:snapToGrid w:val="0"/>
                    <w:jc w:val="center"/>
                    <w:rPr>
                      <w:b/>
                      <w:bCs/>
                      <w:color w:val="auto"/>
                    </w:rPr>
                  </w:pPr>
                  <w:r>
                    <w:rPr>
                      <w:rFonts w:hint="eastAsia"/>
                      <w:b/>
                      <w:bCs/>
                      <w:color w:val="auto"/>
                    </w:rPr>
                    <w:t>III</w:t>
                  </w:r>
                </w:p>
              </w:tc>
              <w:tc>
                <w:tcPr>
                  <w:tcW w:w="1659" w:type="dxa"/>
                  <w:tcBorders>
                    <w:top w:val="single" w:color="auto" w:sz="12" w:space="0"/>
                    <w:left w:val="single" w:color="auto" w:sz="4" w:space="0"/>
                    <w:bottom w:val="single" w:color="auto" w:sz="4" w:space="0"/>
                    <w:right w:val="single" w:color="auto" w:sz="4" w:space="0"/>
                  </w:tcBorders>
                  <w:noWrap w:val="0"/>
                  <w:vAlign w:val="center"/>
                </w:tcPr>
                <w:p>
                  <w:pPr>
                    <w:snapToGrid w:val="0"/>
                    <w:jc w:val="center"/>
                    <w:rPr>
                      <w:b/>
                      <w:bCs/>
                      <w:color w:val="auto"/>
                    </w:rPr>
                  </w:pPr>
                  <w:r>
                    <w:rPr>
                      <w:rFonts w:hint="eastAsia"/>
                      <w:b/>
                      <w:bCs/>
                      <w:color w:val="auto"/>
                    </w:rPr>
                    <w:t>II</w:t>
                  </w:r>
                </w:p>
              </w:tc>
              <w:tc>
                <w:tcPr>
                  <w:tcW w:w="2127" w:type="dxa"/>
                  <w:tcBorders>
                    <w:top w:val="single" w:color="auto" w:sz="12" w:space="0"/>
                    <w:left w:val="single" w:color="auto" w:sz="4" w:space="0"/>
                    <w:bottom w:val="single" w:color="auto" w:sz="4" w:space="0"/>
                    <w:right w:val="nil"/>
                  </w:tcBorders>
                  <w:noWrap w:val="0"/>
                  <w:vAlign w:val="center"/>
                </w:tcPr>
                <w:p>
                  <w:pPr>
                    <w:snapToGrid w:val="0"/>
                    <w:jc w:val="center"/>
                    <w:rPr>
                      <w:b/>
                      <w:bCs/>
                      <w:color w:val="auto"/>
                    </w:rPr>
                  </w:pPr>
                  <w:r>
                    <w:rPr>
                      <w:rFonts w:hint="eastAsia"/>
                      <w:b/>
                      <w:bCs/>
                      <w:color w:val="auto"/>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572" w:type="dxa"/>
                  <w:tcBorders>
                    <w:top w:val="single" w:color="auto" w:sz="4" w:space="0"/>
                    <w:left w:val="nil"/>
                    <w:bottom w:val="single" w:color="auto" w:sz="4" w:space="0"/>
                    <w:right w:val="single" w:color="auto" w:sz="4" w:space="0"/>
                  </w:tcBorders>
                  <w:noWrap w:val="0"/>
                  <w:vAlign w:val="center"/>
                </w:tcPr>
                <w:p>
                  <w:pPr>
                    <w:snapToGrid w:val="0"/>
                    <w:jc w:val="center"/>
                    <w:rPr>
                      <w:color w:val="auto"/>
                    </w:rPr>
                  </w:pPr>
                  <w:r>
                    <w:rPr>
                      <w:rFonts w:hint="eastAsia"/>
                      <w:b/>
                      <w:bCs/>
                      <w:color w:val="auto"/>
                    </w:rPr>
                    <w:t>评价工作等级</w:t>
                  </w:r>
                </w:p>
              </w:tc>
              <w:tc>
                <w:tcPr>
                  <w:tcW w:w="14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auto"/>
                    </w:rPr>
                  </w:pPr>
                  <w:r>
                    <w:rPr>
                      <w:rFonts w:hint="eastAsia"/>
                      <w:color w:val="auto"/>
                    </w:rPr>
                    <w:t>一</w:t>
                  </w:r>
                </w:p>
              </w:tc>
              <w:tc>
                <w:tcPr>
                  <w:tcW w:w="161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auto"/>
                    </w:rPr>
                  </w:pPr>
                  <w:r>
                    <w:rPr>
                      <w:rFonts w:hint="eastAsia"/>
                      <w:color w:val="auto"/>
                    </w:rPr>
                    <w:t>二</w:t>
                  </w:r>
                </w:p>
              </w:tc>
              <w:tc>
                <w:tcPr>
                  <w:tcW w:w="165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auto"/>
                    </w:rPr>
                  </w:pPr>
                  <w:r>
                    <w:rPr>
                      <w:rFonts w:hint="eastAsia"/>
                      <w:color w:val="auto"/>
                    </w:rPr>
                    <w:t>三</w:t>
                  </w:r>
                </w:p>
              </w:tc>
              <w:tc>
                <w:tcPr>
                  <w:tcW w:w="2127" w:type="dxa"/>
                  <w:tcBorders>
                    <w:top w:val="single" w:color="auto" w:sz="4" w:space="0"/>
                    <w:left w:val="single" w:color="auto" w:sz="4" w:space="0"/>
                    <w:bottom w:val="single" w:color="auto" w:sz="4" w:space="0"/>
                    <w:right w:val="nil"/>
                  </w:tcBorders>
                  <w:noWrap w:val="0"/>
                  <w:vAlign w:val="center"/>
                </w:tcPr>
                <w:p>
                  <w:pPr>
                    <w:snapToGrid w:val="0"/>
                    <w:jc w:val="center"/>
                    <w:rPr>
                      <w:color w:val="auto"/>
                    </w:rPr>
                  </w:pPr>
                  <w:r>
                    <w:rPr>
                      <w:rFonts w:hint="eastAsia"/>
                      <w:color w:val="auto"/>
                    </w:rPr>
                    <w:t>简单分析</w:t>
                  </w:r>
                  <w:r>
                    <w:rPr>
                      <w:rFonts w:hint="eastAsia"/>
                      <w:color w:val="auto"/>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400" w:type="dxa"/>
                  <w:gridSpan w:val="5"/>
                  <w:tcBorders>
                    <w:top w:val="single" w:color="auto" w:sz="4" w:space="0"/>
                    <w:left w:val="nil"/>
                    <w:bottom w:val="single" w:color="auto" w:sz="12" w:space="0"/>
                    <w:right w:val="nil"/>
                  </w:tcBorders>
                  <w:noWrap w:val="0"/>
                  <w:vAlign w:val="center"/>
                </w:tcPr>
                <w:p>
                  <w:pPr>
                    <w:snapToGrid w:val="0"/>
                    <w:jc w:val="left"/>
                    <w:rPr>
                      <w:color w:val="auto"/>
                    </w:rPr>
                  </w:pPr>
                  <w:r>
                    <w:rPr>
                      <w:rFonts w:hint="eastAsia"/>
                      <w:color w:val="auto"/>
                    </w:rPr>
                    <w:t>a</w:t>
                  </w:r>
                  <w:r>
                    <w:rPr>
                      <w:rFonts w:hint="eastAsia" w:ascii="宋体" w:hAnsi="宋体"/>
                      <w:color w:val="auto"/>
                    </w:rPr>
                    <w:t>是相对于详细评价工作内容而言，在描述危险物质、环境影响途径、环境危害后果，风险防范措施等方面给出定性的说明。</w:t>
                  </w:r>
                </w:p>
              </w:tc>
            </w:tr>
          </w:tbl>
          <w:p>
            <w:pPr>
              <w:pStyle w:val="40"/>
              <w:rPr>
                <w:rFonts w:ascii="宋体" w:hAnsi="宋体"/>
                <w:color w:val="auto"/>
              </w:rPr>
            </w:pPr>
            <w:r>
              <w:rPr>
                <w:rFonts w:hint="eastAsia" w:ascii="宋体" w:hAnsi="宋体" w:cs="Calibri"/>
                <w:color w:val="auto"/>
              </w:rPr>
              <w:t>环境风险评价工作等级划分为一级、二级、三级。根据建设项目涉及的物质及工艺系统危险性和所在地的环境敏感性确定环境风险潜势，按照上表确定评价工作等级。风险潜势为</w:t>
            </w:r>
            <w:r>
              <w:rPr>
                <w:rFonts w:hint="eastAsia" w:cs="Calibri"/>
                <w:color w:val="auto"/>
              </w:rPr>
              <w:t>IV</w:t>
            </w:r>
            <w:r>
              <w:rPr>
                <w:rFonts w:hint="eastAsia" w:ascii="宋体" w:hAnsi="宋体" w:cs="Calibri"/>
                <w:color w:val="auto"/>
              </w:rPr>
              <w:t>及以上，进行一级评价；风险潜势为</w:t>
            </w:r>
            <w:r>
              <w:rPr>
                <w:rFonts w:hint="eastAsia" w:cs="Calibri"/>
                <w:color w:val="auto"/>
              </w:rPr>
              <w:t>III</w:t>
            </w:r>
            <w:r>
              <w:rPr>
                <w:rFonts w:hint="eastAsia" w:ascii="宋体" w:hAnsi="宋体" w:cs="Calibri"/>
                <w:color w:val="auto"/>
              </w:rPr>
              <w:t>，进行二级评价；风险潜势为</w:t>
            </w:r>
            <w:r>
              <w:rPr>
                <w:rFonts w:hint="eastAsia" w:cs="Calibri"/>
                <w:color w:val="auto"/>
              </w:rPr>
              <w:t>II</w:t>
            </w:r>
            <w:r>
              <w:rPr>
                <w:rFonts w:hint="eastAsia" w:ascii="宋体" w:hAnsi="宋体" w:cs="Calibri"/>
                <w:color w:val="auto"/>
              </w:rPr>
              <w:t>，进行三级评价；风险潜势为</w:t>
            </w:r>
            <w:r>
              <w:rPr>
                <w:rFonts w:hint="eastAsia" w:cs="Calibri"/>
                <w:color w:val="auto"/>
              </w:rPr>
              <w:t>I</w:t>
            </w:r>
            <w:r>
              <w:rPr>
                <w:rFonts w:hint="eastAsia" w:ascii="宋体" w:hAnsi="宋体" w:cs="Calibri"/>
                <w:color w:val="auto"/>
              </w:rPr>
              <w:t>，可开展简单分析。由上表可知，本建设项目</w:t>
            </w:r>
            <w:r>
              <w:rPr>
                <w:rFonts w:ascii="宋体" w:hAnsi="宋体"/>
                <w:color w:val="auto"/>
              </w:rPr>
              <w:t>环境风险潜势</w:t>
            </w:r>
            <w:r>
              <w:rPr>
                <w:rFonts w:hint="eastAsia" w:ascii="宋体" w:hAnsi="宋体" w:cs="Calibri"/>
                <w:color w:val="auto"/>
              </w:rPr>
              <w:t>为</w:t>
            </w:r>
            <w:r>
              <w:rPr>
                <w:rFonts w:hint="eastAsia" w:cs="Calibri"/>
                <w:color w:val="auto"/>
              </w:rPr>
              <w:t>I</w:t>
            </w:r>
            <w:r>
              <w:rPr>
                <w:rFonts w:hint="eastAsia" w:ascii="宋体" w:hAnsi="宋体" w:cs="Calibri"/>
                <w:color w:val="auto"/>
              </w:rPr>
              <w:t>，故可开展简单分析</w:t>
            </w:r>
            <w:r>
              <w:rPr>
                <w:rFonts w:ascii="宋体" w:hAnsi="宋体"/>
                <w:color w:val="auto"/>
              </w:rPr>
              <w:t>。</w:t>
            </w:r>
          </w:p>
          <w:p>
            <w:pPr>
              <w:pStyle w:val="40"/>
              <w:rPr>
                <w:rFonts w:hint="eastAsia" w:ascii="宋体" w:hAnsi="宋体" w:eastAsiaTheme="minorEastAsia"/>
                <w:color w:val="auto"/>
                <w:u w:val="single"/>
                <w:lang w:val="en-US" w:eastAsia="zh-CN"/>
              </w:rPr>
            </w:pPr>
            <w:r>
              <w:rPr>
                <w:rFonts w:hint="eastAsia" w:ascii="宋体" w:hAnsi="宋体"/>
                <w:color w:val="auto"/>
                <w:u w:val="single"/>
                <w:lang w:eastAsia="zh-CN"/>
              </w:rPr>
              <w:t>根据</w:t>
            </w:r>
            <w:r>
              <w:rPr>
                <w:rFonts w:ascii="宋体" w:hAnsi="宋体"/>
                <w:color w:val="auto"/>
                <w:sz w:val="24"/>
                <w:szCs w:val="24"/>
                <w:u w:val="single"/>
              </w:rPr>
              <w:t>《建设项目环境风险评价技术导</w:t>
            </w:r>
            <w:r>
              <w:rPr>
                <w:rFonts w:hint="default" w:ascii="Times New Roman" w:hAnsi="Times New Roman" w:eastAsia="宋体" w:cs="Times New Roman"/>
                <w:color w:val="auto"/>
                <w:sz w:val="24"/>
                <w:szCs w:val="24"/>
                <w:u w:val="single"/>
              </w:rPr>
              <w:t>则》（HJ</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single"/>
              </w:rPr>
              <w:t>169-2018）</w:t>
            </w:r>
            <w:r>
              <w:rPr>
                <w:rFonts w:hint="default" w:ascii="Times New Roman" w:hAnsi="Times New Roman" w:eastAsia="宋体" w:cs="Times New Roman"/>
                <w:color w:val="auto"/>
                <w:sz w:val="24"/>
                <w:szCs w:val="24"/>
                <w:u w:val="single"/>
                <w:lang w:eastAsia="zh-CN"/>
              </w:rPr>
              <w:t>中</w:t>
            </w:r>
            <w:r>
              <w:rPr>
                <w:rFonts w:hint="default" w:ascii="Times New Roman" w:hAnsi="Times New Roman" w:eastAsia="宋体" w:cs="Times New Roman"/>
                <w:color w:val="auto"/>
                <w:sz w:val="24"/>
                <w:szCs w:val="24"/>
                <w:u w:val="single"/>
                <w:lang w:val="en-US" w:eastAsia="zh-CN"/>
              </w:rPr>
              <w:t>4.5评价范围规定要求“大气环境风险评价范围：一级、二级评价距建设项目边界一般不低于5km；三级评价距建设项目边界一般不低于3km”</w:t>
            </w:r>
            <w:r>
              <w:rPr>
                <w:rFonts w:hint="eastAsia" w:ascii="Times New Roman" w:hAnsi="Times New Roman" w:eastAsia="宋体" w:cs="Times New Roman"/>
                <w:color w:val="auto"/>
                <w:sz w:val="24"/>
                <w:szCs w:val="24"/>
                <w:u w:val="single"/>
                <w:lang w:val="en-US" w:eastAsia="zh-CN"/>
              </w:rPr>
              <w:t>。本项目风险评价工作等级为简单分析，因此</w:t>
            </w:r>
            <w:r>
              <w:rPr>
                <w:rFonts w:hint="default" w:ascii="Times New Roman" w:hAnsi="Times New Roman" w:cs="Times New Roman" w:eastAsiaTheme="minorEastAsia"/>
                <w:color w:val="auto"/>
                <w:sz w:val="24"/>
                <w:u w:val="single"/>
              </w:rPr>
              <w:t>环境风险评价范围</w:t>
            </w:r>
            <w:r>
              <w:rPr>
                <w:rFonts w:hint="eastAsia" w:ascii="Times New Roman" w:hAnsi="Times New Roman" w:cs="Times New Roman" w:eastAsiaTheme="minorEastAsia"/>
                <w:color w:val="auto"/>
                <w:sz w:val="24"/>
                <w:u w:val="single"/>
                <w:lang w:eastAsia="zh-CN"/>
              </w:rPr>
              <w:t>为本项目</w:t>
            </w:r>
            <w:r>
              <w:rPr>
                <w:rFonts w:hint="default" w:ascii="Times New Roman" w:hAnsi="Times New Roman" w:cs="Times New Roman" w:eastAsiaTheme="minorEastAsia"/>
                <w:color w:val="auto"/>
                <w:sz w:val="24"/>
                <w:u w:val="single"/>
              </w:rPr>
              <w:t>周围3.0km区域</w:t>
            </w:r>
            <w:r>
              <w:rPr>
                <w:rFonts w:hint="eastAsia" w:ascii="Times New Roman" w:hAnsi="Times New Roman" w:cs="Times New Roman" w:eastAsiaTheme="minorEastAsia"/>
                <w:color w:val="auto"/>
                <w:sz w:val="24"/>
                <w:u w:val="single"/>
                <w:lang w:eastAsia="zh-CN"/>
              </w:rPr>
              <w:t>。</w:t>
            </w:r>
          </w:p>
          <w:p>
            <w:pPr>
              <w:adjustRightInd w:val="0"/>
              <w:snapToGrid w:val="0"/>
              <w:spacing w:line="360" w:lineRule="auto"/>
              <w:rPr>
                <w:b/>
                <w:color w:val="auto"/>
                <w:sz w:val="24"/>
              </w:rPr>
            </w:pPr>
            <w:r>
              <w:rPr>
                <w:rFonts w:hint="eastAsia"/>
                <w:b/>
                <w:color w:val="auto"/>
                <w:sz w:val="24"/>
                <w:lang w:val="en-US" w:eastAsia="zh-CN"/>
              </w:rPr>
              <w:t>7.4</w:t>
            </w:r>
            <w:r>
              <w:rPr>
                <w:b/>
                <w:color w:val="auto"/>
                <w:sz w:val="24"/>
              </w:rPr>
              <w:t>环境风险类型及危害分析</w:t>
            </w:r>
          </w:p>
          <w:p>
            <w:pPr>
              <w:adjustRightInd w:val="0"/>
              <w:snapToGrid w:val="0"/>
              <w:spacing w:line="360" w:lineRule="auto"/>
              <w:ind w:firstLine="480" w:firstLineChars="200"/>
              <w:rPr>
                <w:color w:val="auto"/>
                <w:sz w:val="24"/>
              </w:rPr>
            </w:pPr>
            <w:r>
              <w:rPr>
                <w:color w:val="auto"/>
                <w:sz w:val="24"/>
              </w:rPr>
              <w:t>本项目原料和</w:t>
            </w:r>
            <w:r>
              <w:rPr>
                <w:rFonts w:hint="eastAsia"/>
                <w:color w:val="auto"/>
                <w:sz w:val="24"/>
                <w:lang w:eastAsia="zh-CN"/>
              </w:rPr>
              <w:t>机制木</w:t>
            </w:r>
            <w:r>
              <w:rPr>
                <w:color w:val="auto"/>
                <w:sz w:val="24"/>
              </w:rPr>
              <w:t>炭在厂区仓库内存放过程中，仓库有可能发生火灾的危害，危及工作人员和周围自然环境；炭化窑炭化过程中产生的木煤气，为易燃易爆有毒气体，具有较大的潜在危险性。根据《建设项目环境风险评价技术导则》（HJ/T 169-2018）附录A.1中的风险物质列表进行识别，本项目涉及的主要环境风险物质</w:t>
            </w:r>
            <w:r>
              <w:rPr>
                <w:rFonts w:hint="eastAsia"/>
                <w:color w:val="auto"/>
                <w:sz w:val="24"/>
                <w:lang w:eastAsia="zh-CN"/>
              </w:rPr>
              <w:t>为</w:t>
            </w:r>
            <w:r>
              <w:rPr>
                <w:color w:val="auto"/>
                <w:sz w:val="24"/>
              </w:rPr>
              <w:t>木煤气。</w:t>
            </w:r>
          </w:p>
          <w:p>
            <w:pPr>
              <w:adjustRightInd w:val="0"/>
              <w:snapToGrid w:val="0"/>
              <w:spacing w:line="360" w:lineRule="auto"/>
              <w:ind w:firstLine="480" w:firstLineChars="200"/>
              <w:rPr>
                <w:color w:val="auto"/>
                <w:sz w:val="24"/>
              </w:rPr>
            </w:pPr>
            <w:r>
              <w:rPr>
                <w:color w:val="auto"/>
                <w:sz w:val="24"/>
              </w:rPr>
              <w:t>项目可能发生的风险事件包括废气事故排放事件，木煤气泄漏事件，火灾爆炸次生环境事件</w:t>
            </w:r>
            <w:r>
              <w:rPr>
                <w:rFonts w:hint="eastAsia"/>
                <w:color w:val="auto"/>
                <w:sz w:val="24"/>
                <w:lang w:eastAsia="zh-CN"/>
              </w:rPr>
              <w:t>，</w:t>
            </w:r>
            <w:r>
              <w:rPr>
                <w:rFonts w:hAnsi="宋体" w:eastAsia="宋体"/>
                <w:color w:val="auto"/>
                <w:sz w:val="24"/>
                <w:u w:val="single"/>
              </w:rPr>
              <w:t>木焦油、木醋液泄漏的风险</w:t>
            </w:r>
            <w:r>
              <w:rPr>
                <w:color w:val="auto"/>
                <w:sz w:val="24"/>
              </w:rPr>
              <w:t>。</w:t>
            </w:r>
          </w:p>
          <w:p>
            <w:pPr>
              <w:adjustRightInd w:val="0"/>
              <w:snapToGrid w:val="0"/>
              <w:spacing w:line="360" w:lineRule="auto"/>
              <w:rPr>
                <w:b/>
                <w:color w:val="auto"/>
                <w:sz w:val="24"/>
              </w:rPr>
            </w:pPr>
            <w:r>
              <w:rPr>
                <w:rFonts w:hint="eastAsia"/>
                <w:b/>
                <w:color w:val="auto"/>
                <w:sz w:val="24"/>
                <w:lang w:val="en-US" w:eastAsia="zh-CN"/>
              </w:rPr>
              <w:t>7.5</w:t>
            </w:r>
            <w:r>
              <w:rPr>
                <w:b/>
                <w:color w:val="auto"/>
                <w:sz w:val="24"/>
              </w:rPr>
              <w:t>风险事故情形分析</w:t>
            </w:r>
          </w:p>
          <w:p>
            <w:pPr>
              <w:adjustRightInd w:val="0"/>
              <w:snapToGrid w:val="0"/>
              <w:spacing w:line="360" w:lineRule="auto"/>
              <w:ind w:firstLine="480" w:firstLineChars="200"/>
              <w:rPr>
                <w:color w:val="auto"/>
                <w:sz w:val="24"/>
              </w:rPr>
            </w:pPr>
            <w:r>
              <w:rPr>
                <w:color w:val="auto"/>
                <w:sz w:val="24"/>
              </w:rPr>
              <w:t>1）废气事故排放</w:t>
            </w:r>
          </w:p>
          <w:p>
            <w:pPr>
              <w:adjustRightInd w:val="0"/>
              <w:snapToGrid w:val="0"/>
              <w:spacing w:line="360" w:lineRule="auto"/>
              <w:ind w:firstLine="480" w:firstLineChars="200"/>
              <w:rPr>
                <w:color w:val="auto"/>
                <w:sz w:val="24"/>
              </w:rPr>
            </w:pPr>
            <w:r>
              <w:rPr>
                <w:color w:val="auto"/>
                <w:sz w:val="24"/>
              </w:rPr>
              <w:t>根据大气环境预测结果，最不利情形，废气处理设施完全失效，</w:t>
            </w:r>
            <w:r>
              <w:rPr>
                <w:color w:val="auto"/>
                <w:spacing w:val="4"/>
                <w:sz w:val="24"/>
              </w:rPr>
              <w:t>颗粒物、二氧化硫、氮氧化物</w:t>
            </w:r>
            <w:r>
              <w:rPr>
                <w:color w:val="auto"/>
                <w:sz w:val="24"/>
              </w:rPr>
              <w:t>最大预测质量浓度为</w:t>
            </w:r>
            <w:r>
              <w:rPr>
                <w:rFonts w:hint="eastAsia"/>
                <w:color w:val="auto"/>
                <w:sz w:val="24"/>
                <w:lang w:val="en-US" w:eastAsia="zh-CN"/>
              </w:rPr>
              <w:t>395</w:t>
            </w:r>
            <w:r>
              <w:rPr>
                <w:color w:val="auto"/>
                <w:sz w:val="24"/>
              </w:rPr>
              <w:t>μg/m</w:t>
            </w:r>
            <w:r>
              <w:rPr>
                <w:color w:val="auto"/>
                <w:sz w:val="24"/>
                <w:vertAlign w:val="superscript"/>
              </w:rPr>
              <w:t>3</w:t>
            </w:r>
            <w:r>
              <w:rPr>
                <w:color w:val="auto"/>
                <w:sz w:val="24"/>
              </w:rPr>
              <w:t>、</w:t>
            </w:r>
            <w:r>
              <w:rPr>
                <w:rFonts w:hint="eastAsia"/>
                <w:color w:val="auto"/>
                <w:sz w:val="24"/>
                <w:lang w:val="en-US" w:eastAsia="zh-CN"/>
              </w:rPr>
              <w:t>1.63</w:t>
            </w:r>
            <w:r>
              <w:rPr>
                <w:color w:val="auto"/>
                <w:sz w:val="24"/>
              </w:rPr>
              <w:t>μg/m</w:t>
            </w:r>
            <w:r>
              <w:rPr>
                <w:color w:val="auto"/>
                <w:sz w:val="24"/>
                <w:vertAlign w:val="superscript"/>
              </w:rPr>
              <w:t>3</w:t>
            </w:r>
            <w:r>
              <w:rPr>
                <w:color w:val="auto"/>
                <w:sz w:val="24"/>
              </w:rPr>
              <w:t>、</w:t>
            </w:r>
            <w:r>
              <w:rPr>
                <w:rFonts w:hint="eastAsia"/>
                <w:color w:val="auto"/>
                <w:sz w:val="24"/>
                <w:lang w:val="en-US" w:eastAsia="zh-CN"/>
              </w:rPr>
              <w:t>1.84</w:t>
            </w:r>
            <w:r>
              <w:rPr>
                <w:color w:val="auto"/>
                <w:sz w:val="24"/>
              </w:rPr>
              <w:t>μg/m</w:t>
            </w:r>
            <w:r>
              <w:rPr>
                <w:color w:val="auto"/>
                <w:sz w:val="24"/>
                <w:vertAlign w:val="superscript"/>
              </w:rPr>
              <w:t>3</w:t>
            </w:r>
            <w:r>
              <w:rPr>
                <w:color w:val="auto"/>
                <w:sz w:val="24"/>
              </w:rPr>
              <w:t>，占标率</w:t>
            </w:r>
            <w:r>
              <w:rPr>
                <w:color w:val="auto"/>
                <w:spacing w:val="4"/>
                <w:sz w:val="24"/>
              </w:rPr>
              <w:t>分别为</w:t>
            </w:r>
            <w:r>
              <w:rPr>
                <w:rFonts w:hint="eastAsia"/>
                <w:color w:val="auto"/>
                <w:spacing w:val="4"/>
                <w:sz w:val="24"/>
                <w:lang w:val="en-US" w:eastAsia="zh-CN"/>
              </w:rPr>
              <w:t>3.26</w:t>
            </w:r>
            <w:r>
              <w:rPr>
                <w:color w:val="auto"/>
                <w:spacing w:val="4"/>
                <w:sz w:val="24"/>
              </w:rPr>
              <w:t>%、</w:t>
            </w:r>
            <w:r>
              <w:rPr>
                <w:rFonts w:hint="eastAsia"/>
                <w:color w:val="auto"/>
                <w:sz w:val="24"/>
                <w:lang w:val="en-US" w:eastAsia="zh-CN"/>
              </w:rPr>
              <w:t>43.89</w:t>
            </w:r>
            <w:r>
              <w:rPr>
                <w:color w:val="auto"/>
                <w:sz w:val="24"/>
              </w:rPr>
              <w:t>%、</w:t>
            </w:r>
            <w:r>
              <w:rPr>
                <w:rFonts w:hint="eastAsia"/>
                <w:color w:val="auto"/>
                <w:sz w:val="24"/>
                <w:lang w:val="en-US" w:eastAsia="zh-CN"/>
              </w:rPr>
              <w:t>7.35</w:t>
            </w:r>
            <w:r>
              <w:rPr>
                <w:color w:val="auto"/>
                <w:sz w:val="24"/>
              </w:rPr>
              <w:t>%</w:t>
            </w:r>
            <w:r>
              <w:rPr>
                <w:color w:val="auto"/>
                <w:spacing w:val="4"/>
                <w:sz w:val="24"/>
              </w:rPr>
              <w:t>，</w:t>
            </w:r>
            <w:r>
              <w:rPr>
                <w:color w:val="auto"/>
                <w:sz w:val="24"/>
              </w:rPr>
              <w:t>最大预测质量浓度</w:t>
            </w:r>
            <w:r>
              <w:rPr>
                <w:color w:val="auto"/>
                <w:spacing w:val="4"/>
                <w:sz w:val="24"/>
              </w:rPr>
              <w:t>出现距离为下风向</w:t>
            </w:r>
            <w:r>
              <w:rPr>
                <w:rFonts w:hint="eastAsia"/>
                <w:color w:val="auto"/>
                <w:spacing w:val="4"/>
                <w:sz w:val="24"/>
                <w:lang w:val="en-US" w:eastAsia="zh-CN"/>
              </w:rPr>
              <w:t>115</w:t>
            </w:r>
            <w:r>
              <w:rPr>
                <w:color w:val="auto"/>
                <w:spacing w:val="4"/>
                <w:sz w:val="24"/>
              </w:rPr>
              <w:t>m处，颗粒物预测</w:t>
            </w:r>
            <w:r>
              <w:rPr>
                <w:color w:val="auto"/>
                <w:sz w:val="24"/>
              </w:rPr>
              <w:t>最大预测质量浓度虽未</w:t>
            </w:r>
            <w:r>
              <w:rPr>
                <w:color w:val="auto"/>
                <w:spacing w:val="4"/>
                <w:sz w:val="24"/>
              </w:rPr>
              <w:t>超出</w:t>
            </w:r>
            <w:r>
              <w:rPr>
                <w:color w:val="auto"/>
                <w:sz w:val="24"/>
              </w:rPr>
              <w:t>《环境空气质量标准》（GB3095-2012）二级标准</w:t>
            </w:r>
            <w:r>
              <w:rPr>
                <w:color w:val="auto"/>
                <w:spacing w:val="4"/>
                <w:sz w:val="24"/>
              </w:rPr>
              <w:t>要求，但占标率明显增大，对下风向环境空气产生不利影响。</w:t>
            </w:r>
          </w:p>
          <w:p>
            <w:pPr>
              <w:adjustRightInd w:val="0"/>
              <w:snapToGrid w:val="0"/>
              <w:spacing w:line="360" w:lineRule="auto"/>
              <w:ind w:firstLine="480" w:firstLineChars="200"/>
              <w:rPr>
                <w:color w:val="auto"/>
                <w:sz w:val="24"/>
              </w:rPr>
            </w:pPr>
            <w:r>
              <w:rPr>
                <w:color w:val="auto"/>
                <w:sz w:val="24"/>
              </w:rPr>
              <w:t>2）木煤气泄漏</w:t>
            </w:r>
          </w:p>
          <w:p>
            <w:pPr>
              <w:adjustRightInd w:val="0"/>
              <w:snapToGrid w:val="0"/>
              <w:spacing w:line="360" w:lineRule="auto"/>
              <w:ind w:firstLine="480" w:firstLineChars="200"/>
              <w:rPr>
                <w:color w:val="auto"/>
                <w:sz w:val="24"/>
              </w:rPr>
            </w:pPr>
            <w:r>
              <w:rPr>
                <w:color w:val="auto"/>
                <w:sz w:val="24"/>
              </w:rPr>
              <w:t>木煤气成分、热值与城市人工煤气相似，故称木煤气，热值为12~20MJ/m</w:t>
            </w:r>
            <w:r>
              <w:rPr>
                <w:color w:val="auto"/>
                <w:sz w:val="24"/>
                <w:vertAlign w:val="superscript"/>
              </w:rPr>
              <w:t>3</w:t>
            </w:r>
            <w:r>
              <w:rPr>
                <w:color w:val="auto"/>
                <w:sz w:val="24"/>
              </w:rPr>
              <w:t>，属于中热值可燃气，木煤气中可燃性组分有甲烷、乙烯、H</w:t>
            </w:r>
            <w:r>
              <w:rPr>
                <w:color w:val="auto"/>
                <w:sz w:val="24"/>
                <w:vertAlign w:val="subscript"/>
              </w:rPr>
              <w:t>2</w:t>
            </w:r>
            <w:r>
              <w:rPr>
                <w:color w:val="auto"/>
                <w:sz w:val="24"/>
              </w:rPr>
              <w:t>等，可燃性组分占炭化气总质量的34~37%，其中CO约占25%，甲烷约占9%，乙烯约占1.5%，H</w:t>
            </w:r>
            <w:r>
              <w:rPr>
                <w:color w:val="auto"/>
                <w:sz w:val="24"/>
                <w:vertAlign w:val="subscript"/>
              </w:rPr>
              <w:t>2</w:t>
            </w:r>
            <w:r>
              <w:rPr>
                <w:color w:val="auto"/>
                <w:sz w:val="24"/>
              </w:rPr>
              <w:t>约占0.2%，其余大都为CO</w:t>
            </w:r>
            <w:r>
              <w:rPr>
                <w:color w:val="auto"/>
                <w:sz w:val="24"/>
                <w:vertAlign w:val="subscript"/>
              </w:rPr>
              <w:t>2</w:t>
            </w:r>
            <w:r>
              <w:rPr>
                <w:color w:val="auto"/>
                <w:sz w:val="24"/>
              </w:rPr>
              <w:t>，占60%以上，是一种优质煤气。因木煤气中CO含量约占25%，大于相关规定8%的安全使用浓度。</w:t>
            </w:r>
          </w:p>
          <w:p>
            <w:pPr>
              <w:adjustRightInd w:val="0"/>
              <w:snapToGrid w:val="0"/>
              <w:spacing w:line="360" w:lineRule="auto"/>
              <w:ind w:firstLine="480" w:firstLineChars="200"/>
              <w:rPr>
                <w:color w:val="auto"/>
                <w:sz w:val="24"/>
              </w:rPr>
            </w:pPr>
            <w:r>
              <w:rPr>
                <w:color w:val="auto"/>
                <w:sz w:val="24"/>
              </w:rPr>
              <w:t>本项目木煤气引入烘干炉燃烧为烘干工序供热，木煤气无储存，仅管道内在线的木煤气量不多，一旦发生泄漏，相应管道压力下降，操作人员可及时发现并堵漏，但一定区域内CO浓度可能大于《工业企业设计卫生标准》中规定车间CO最高允许浓度30mg/Nm</w:t>
            </w:r>
            <w:r>
              <w:rPr>
                <w:color w:val="auto"/>
                <w:sz w:val="24"/>
                <w:vertAlign w:val="superscript"/>
              </w:rPr>
              <w:t>3</w:t>
            </w:r>
            <w:r>
              <w:rPr>
                <w:color w:val="auto"/>
                <w:sz w:val="24"/>
              </w:rPr>
              <w:t>，对该区域内工作人员健康造成威胁。</w:t>
            </w:r>
          </w:p>
          <w:p>
            <w:pPr>
              <w:adjustRightInd w:val="0"/>
              <w:snapToGrid w:val="0"/>
              <w:spacing w:line="360" w:lineRule="auto"/>
              <w:ind w:firstLine="480" w:firstLineChars="200"/>
              <w:rPr>
                <w:color w:val="auto"/>
                <w:sz w:val="24"/>
              </w:rPr>
            </w:pPr>
            <w:r>
              <w:rPr>
                <w:rFonts w:hint="eastAsia"/>
                <w:color w:val="auto"/>
                <w:sz w:val="24"/>
                <w:lang w:val="en-US" w:eastAsia="zh-CN"/>
              </w:rPr>
              <w:t>3</w:t>
            </w:r>
            <w:r>
              <w:rPr>
                <w:color w:val="auto"/>
                <w:sz w:val="24"/>
              </w:rPr>
              <w:t>）火灾爆炸次生环境事件</w:t>
            </w:r>
          </w:p>
          <w:p>
            <w:pPr>
              <w:spacing w:line="360" w:lineRule="auto"/>
              <w:ind w:firstLine="480"/>
              <w:rPr>
                <w:color w:val="auto"/>
                <w:sz w:val="24"/>
              </w:rPr>
            </w:pPr>
            <w:r>
              <w:rPr>
                <w:color w:val="auto"/>
                <w:sz w:val="24"/>
              </w:rPr>
              <w:t>本项目储存的原料和产品木炭总量较大，均为可燃或易燃物质。生产过程中涉及可燃木煤气。如果贮存过程管理不善，有可能发生火灾事故，火灾产生的高温、烟尘和废气会对人体和周边环境会造成伤害。</w:t>
            </w:r>
          </w:p>
          <w:p>
            <w:pPr>
              <w:spacing w:line="360" w:lineRule="auto"/>
              <w:ind w:firstLine="480"/>
              <w:rPr>
                <w:color w:val="auto"/>
                <w:sz w:val="24"/>
                <w:u w:val="single"/>
              </w:rPr>
            </w:pPr>
            <w:r>
              <w:rPr>
                <w:color w:val="auto"/>
                <w:sz w:val="24"/>
              </w:rPr>
              <w:t>火灾引发的次生环境事件一方面主要为可燃物质火灾过程中由于燃烧不完全，产生气型污染物如CO可能会对周边的大气环境造成一定的影响；另一方面是灭火过程产生的洗消废水，洗消废水的不完全截留排放会对周边水环境造成一定的威胁。</w:t>
            </w:r>
          </w:p>
          <w:p>
            <w:pPr>
              <w:spacing w:line="360" w:lineRule="auto"/>
              <w:ind w:firstLine="480"/>
              <w:rPr>
                <w:color w:val="auto"/>
                <w:sz w:val="24"/>
              </w:rPr>
            </w:pPr>
            <w:r>
              <w:rPr>
                <w:color w:val="auto"/>
                <w:sz w:val="24"/>
              </w:rPr>
              <w:t>根据《火灾分类》（GB/T4968-2008），本项目的火灾类型属于A类、C类。灭火过程中用大量消防水作用于火种四周，消防用水量不小于10L/s，灭火时间按</w:t>
            </w:r>
            <w:r>
              <w:rPr>
                <w:rFonts w:hint="eastAsia"/>
                <w:color w:val="auto"/>
                <w:sz w:val="24"/>
                <w:lang w:val="en-US" w:eastAsia="zh-CN"/>
              </w:rPr>
              <w:t>1</w:t>
            </w:r>
            <w:r>
              <w:rPr>
                <w:color w:val="auto"/>
                <w:sz w:val="24"/>
              </w:rPr>
              <w:t>h计，洗消废水产生量为</w:t>
            </w:r>
            <w:r>
              <w:rPr>
                <w:rFonts w:hint="eastAsia"/>
                <w:color w:val="auto"/>
                <w:sz w:val="24"/>
                <w:lang w:val="en-US" w:eastAsia="zh-CN"/>
              </w:rPr>
              <w:t>36</w:t>
            </w:r>
            <w:r>
              <w:rPr>
                <w:color w:val="auto"/>
                <w:sz w:val="24"/>
              </w:rPr>
              <w:t>m</w:t>
            </w:r>
            <w:r>
              <w:rPr>
                <w:color w:val="auto"/>
                <w:sz w:val="24"/>
                <w:vertAlign w:val="superscript"/>
              </w:rPr>
              <w:t>3</w:t>
            </w:r>
            <w:r>
              <w:rPr>
                <w:color w:val="auto"/>
                <w:sz w:val="24"/>
              </w:rPr>
              <w:t>。灭火过程应对洗消废水进行截留围堵，引入沉淀池暂存。</w:t>
            </w:r>
          </w:p>
          <w:p>
            <w:pPr>
              <w:spacing w:line="360" w:lineRule="auto"/>
              <w:ind w:firstLine="480"/>
              <w:rPr>
                <w:rFonts w:hint="eastAsia"/>
                <w:color w:val="auto"/>
                <w:sz w:val="24"/>
                <w:u w:val="single"/>
                <w:lang w:val="en-US" w:eastAsia="zh-CN"/>
              </w:rPr>
            </w:pPr>
            <w:r>
              <w:rPr>
                <w:rFonts w:hint="eastAsia"/>
                <w:color w:val="auto"/>
                <w:sz w:val="24"/>
                <w:u w:val="single"/>
                <w:lang w:val="en-US" w:eastAsia="zh-CN"/>
              </w:rPr>
              <w:t>4）</w:t>
            </w:r>
            <w:r>
              <w:rPr>
                <w:rFonts w:hAnsi="宋体" w:eastAsia="宋体"/>
                <w:color w:val="auto"/>
                <w:sz w:val="24"/>
                <w:u w:val="single"/>
              </w:rPr>
              <w:t>木焦油、木醋液泄漏的风险</w:t>
            </w:r>
          </w:p>
          <w:p>
            <w:pPr>
              <w:spacing w:line="360" w:lineRule="auto"/>
              <w:ind w:firstLine="480"/>
              <w:rPr>
                <w:rFonts w:hint="eastAsia" w:eastAsia="宋体"/>
                <w:color w:val="auto"/>
                <w:sz w:val="24"/>
                <w:u w:val="single"/>
                <w:lang w:eastAsia="zh-CN"/>
              </w:rPr>
            </w:pPr>
            <w:r>
              <w:rPr>
                <w:rFonts w:hint="eastAsia" w:hAnsi="宋体"/>
                <w:color w:val="auto"/>
                <w:sz w:val="24"/>
                <w:u w:val="single"/>
                <w:lang w:eastAsia="zh-CN"/>
              </w:rPr>
              <w:t>炭化过程产生的</w:t>
            </w:r>
            <w:r>
              <w:rPr>
                <w:rFonts w:hAnsi="宋体" w:eastAsia="宋体"/>
                <w:color w:val="auto"/>
                <w:sz w:val="24"/>
                <w:u w:val="single"/>
              </w:rPr>
              <w:t>木焦油、</w:t>
            </w:r>
            <w:r>
              <w:rPr>
                <w:rFonts w:hint="eastAsia" w:hAnsi="宋体"/>
                <w:color w:val="auto"/>
                <w:sz w:val="24"/>
                <w:u w:val="single"/>
                <w:lang w:eastAsia="zh-CN"/>
              </w:rPr>
              <w:t>木醋液属于危险废物，且具有可燃性，遇到明火会燃烧。一旦发生泄漏会对周边土壤、地表水、地下水环境产生一定的影响。如遇到明火有可能发生火灾事故，火灾产生的高温、烟尘和废气会对人体和周边环境会造成伤害。</w:t>
            </w:r>
          </w:p>
          <w:p>
            <w:pPr>
              <w:spacing w:line="360" w:lineRule="auto"/>
              <w:ind w:firstLine="480"/>
              <w:rPr>
                <w:rFonts w:hint="eastAsia"/>
                <w:color w:val="auto"/>
                <w:sz w:val="24"/>
                <w:u w:val="single"/>
                <w:lang w:eastAsia="zh-CN"/>
              </w:rPr>
            </w:pPr>
            <w:r>
              <w:rPr>
                <w:rFonts w:hint="eastAsia"/>
                <w:color w:val="auto"/>
                <w:sz w:val="24"/>
                <w:u w:val="single"/>
                <w:lang w:eastAsia="zh-CN"/>
              </w:rPr>
              <w:t>本项目直接将木焦油、木醋液（未冷却）以气态形式经风机送至烘干炉燃烧掉，生成二氧化碳和水。少量未被燃烧的木焦油在沉淀池内沉淀，定期清掏，与沉淀池内沉淀渣一同混入原料中回用，不在厂内暂存。</w:t>
            </w:r>
          </w:p>
          <w:p>
            <w:pPr>
              <w:spacing w:line="360" w:lineRule="auto"/>
              <w:ind w:firstLine="480"/>
              <w:rPr>
                <w:rFonts w:hint="eastAsia" w:eastAsia="宋体"/>
                <w:color w:val="auto"/>
                <w:u w:val="single"/>
                <w:lang w:eastAsia="zh-CN"/>
              </w:rPr>
            </w:pPr>
            <w:r>
              <w:rPr>
                <w:rFonts w:hint="eastAsia" w:hAnsi="宋体"/>
                <w:color w:val="auto"/>
                <w:sz w:val="24"/>
                <w:u w:val="single"/>
                <w:lang w:eastAsia="zh-CN"/>
              </w:rPr>
              <w:t>建议企业</w:t>
            </w:r>
            <w:r>
              <w:rPr>
                <w:rFonts w:hAnsi="宋体" w:eastAsia="宋体"/>
                <w:color w:val="auto"/>
                <w:sz w:val="24"/>
                <w:u w:val="single"/>
              </w:rPr>
              <w:t>在综合厂房周围设置围堰和导流沟，建设应急事故池，对于木焦油、木醋液泄漏，消防废水能够及时进行收集</w:t>
            </w:r>
            <w:r>
              <w:rPr>
                <w:rFonts w:hint="eastAsia"/>
                <w:color w:val="auto"/>
                <w:sz w:val="24"/>
                <w:u w:val="single"/>
                <w:lang w:eastAsia="zh-CN"/>
              </w:rPr>
              <w:t>。</w:t>
            </w:r>
          </w:p>
          <w:p>
            <w:pPr>
              <w:adjustRightInd w:val="0"/>
              <w:snapToGrid w:val="0"/>
              <w:spacing w:line="360" w:lineRule="auto"/>
              <w:rPr>
                <w:b/>
                <w:color w:val="auto"/>
                <w:sz w:val="24"/>
              </w:rPr>
            </w:pPr>
            <w:r>
              <w:rPr>
                <w:rFonts w:hint="eastAsia"/>
                <w:b/>
                <w:color w:val="auto"/>
                <w:sz w:val="24"/>
                <w:lang w:val="en-US" w:eastAsia="zh-CN"/>
              </w:rPr>
              <w:t xml:space="preserve">7.6 </w:t>
            </w:r>
            <w:r>
              <w:rPr>
                <w:b/>
                <w:color w:val="auto"/>
                <w:sz w:val="24"/>
              </w:rPr>
              <w:t>风险防范措施</w:t>
            </w:r>
          </w:p>
          <w:p>
            <w:pPr>
              <w:adjustRightInd w:val="0"/>
              <w:snapToGrid w:val="0"/>
              <w:spacing w:line="360" w:lineRule="auto"/>
              <w:ind w:firstLine="480" w:firstLineChars="200"/>
              <w:rPr>
                <w:color w:val="auto"/>
                <w:sz w:val="24"/>
              </w:rPr>
            </w:pPr>
            <w:r>
              <w:rPr>
                <w:color w:val="auto"/>
                <w:sz w:val="24"/>
              </w:rPr>
              <w:t>项目有害物质危害防治主要从两方面考虑，首先从工艺上控制源头，采用先进的生产工艺和装备，尽可能不排或少排，以达到降低工作场所有害物质的目的；其次对不可避免排除的有害物质采取国内外相应高效的治理措施，并对操作人员采取相应的防护性措施，尽可能减轻对操作人员的危害。</w:t>
            </w:r>
          </w:p>
          <w:p>
            <w:pPr>
              <w:adjustRightInd w:val="0"/>
              <w:snapToGrid w:val="0"/>
              <w:spacing w:line="360" w:lineRule="auto"/>
              <w:ind w:firstLine="480" w:firstLineChars="200"/>
              <w:rPr>
                <w:color w:val="auto"/>
                <w:sz w:val="24"/>
              </w:rPr>
            </w:pPr>
            <w:r>
              <w:rPr>
                <w:rFonts w:hint="eastAsia" w:ascii="宋体" w:hAnsi="宋体" w:cs="宋体"/>
                <w:color w:val="auto"/>
                <w:sz w:val="24"/>
              </w:rPr>
              <w:t>1）</w:t>
            </w:r>
            <w:r>
              <w:rPr>
                <w:color w:val="auto"/>
                <w:sz w:val="24"/>
              </w:rPr>
              <w:t>风险事故预防及减缓措施</w:t>
            </w:r>
          </w:p>
          <w:p>
            <w:pPr>
              <w:adjustRightInd w:val="0"/>
              <w:snapToGrid w:val="0"/>
              <w:spacing w:line="360" w:lineRule="auto"/>
              <w:ind w:firstLine="480" w:firstLineChars="200"/>
              <w:rPr>
                <w:color w:val="auto"/>
                <w:sz w:val="24"/>
              </w:rPr>
            </w:pPr>
            <w:r>
              <w:rPr>
                <w:color w:val="auto"/>
                <w:sz w:val="24"/>
              </w:rPr>
              <w:t>事故的防范措施是项目风险评价的重要内容。为防止事故的发生，</w:t>
            </w:r>
            <w:r>
              <w:rPr>
                <w:rFonts w:hint="eastAsia"/>
                <w:color w:val="auto"/>
                <w:sz w:val="24"/>
                <w:lang w:eastAsia="zh-CN"/>
              </w:rPr>
              <w:t>本</w:t>
            </w:r>
            <w:r>
              <w:rPr>
                <w:color w:val="auto"/>
                <w:sz w:val="24"/>
              </w:rPr>
              <w:t>项目的环境风险评价从管理、安全设计、防火、防毒等方面提出风险事故的以下防范措施：</w:t>
            </w:r>
          </w:p>
          <w:p>
            <w:pPr>
              <w:adjustRightInd w:val="0"/>
              <w:snapToGrid w:val="0"/>
              <w:spacing w:line="360" w:lineRule="auto"/>
              <w:ind w:firstLine="480" w:firstLineChars="200"/>
              <w:rPr>
                <w:color w:val="auto"/>
                <w:sz w:val="24"/>
              </w:rPr>
            </w:pPr>
            <w:r>
              <w:rPr>
                <w:color w:val="auto"/>
                <w:sz w:val="24"/>
              </w:rPr>
              <w:t>a、加强废气处理设施的日常维护和检查，设环保专员进行日常巡检，建立风险隐患排查制度。</w:t>
            </w:r>
          </w:p>
          <w:p>
            <w:pPr>
              <w:adjustRightInd w:val="0"/>
              <w:snapToGrid w:val="0"/>
              <w:spacing w:line="360" w:lineRule="auto"/>
              <w:ind w:firstLine="480" w:firstLineChars="200"/>
              <w:rPr>
                <w:color w:val="auto"/>
                <w:sz w:val="24"/>
              </w:rPr>
            </w:pPr>
            <w:r>
              <w:rPr>
                <w:color w:val="auto"/>
                <w:sz w:val="24"/>
              </w:rPr>
              <w:t>b、为了防范事故和减少灾害，木煤气管道及其他设施的设计、制造、施工、运行、管理和维修等，必须严格参照《工业企业煤气安全规程》（GB6222-2005）等安全生产的有关规定进行。项目应针对木煤气输送管道采取定期检测、维护，降低木煤气泄漏风险、且定期对输送管道通畅进行检测，杜绝堵、漏等情况。</w:t>
            </w:r>
          </w:p>
          <w:p>
            <w:pPr>
              <w:adjustRightInd w:val="0"/>
              <w:snapToGrid w:val="0"/>
              <w:spacing w:line="360" w:lineRule="auto"/>
              <w:ind w:firstLine="480" w:firstLineChars="200"/>
              <w:rPr>
                <w:color w:val="auto"/>
                <w:sz w:val="24"/>
              </w:rPr>
            </w:pPr>
            <w:r>
              <w:rPr>
                <w:rFonts w:hint="eastAsia"/>
                <w:color w:val="auto"/>
                <w:sz w:val="24"/>
                <w:lang w:val="en-US" w:eastAsia="zh-CN"/>
              </w:rPr>
              <w:t>c</w:t>
            </w:r>
            <w:r>
              <w:rPr>
                <w:color w:val="auto"/>
                <w:sz w:val="24"/>
              </w:rPr>
              <w:t>、按防火规范，厂区内原料堆场处以及各车间之间的道路布置，厂区内各建筑物的防火间距，按防火规范要求不小于6m，本项目生产类别为丙类，建筑物耐火等级为二级，原料堆放场要设火灾、爆炸等报警装置。为有效地扑灭因电器设施引起的初起火灾，应配置一定数量的手提干粉灭火器，厂区内设消防备用电源，按有关规定设置雷电装置，各用电设施做好接地线装置，防止雷电引起的火灾，强化职工防火意识。在生产过程中，应严格按照安全生产的方式，杜绝在厂内使用明火，同时厂区内应设置“禁止吸烟”字样的牌子。原料及产品堆区需要进行防火隔离措施，制定相应规章制度。</w:t>
            </w:r>
          </w:p>
          <w:p>
            <w:pPr>
              <w:adjustRightInd w:val="0"/>
              <w:snapToGrid w:val="0"/>
              <w:spacing w:line="360" w:lineRule="auto"/>
              <w:ind w:firstLine="480" w:firstLineChars="200"/>
              <w:rPr>
                <w:rFonts w:hint="eastAsia"/>
                <w:color w:val="auto"/>
                <w:sz w:val="24"/>
                <w:lang w:eastAsia="zh-CN"/>
              </w:rPr>
            </w:pPr>
            <w:r>
              <w:rPr>
                <w:rFonts w:hint="eastAsia"/>
                <w:color w:val="auto"/>
                <w:sz w:val="24"/>
                <w:lang w:val="en-US" w:eastAsia="zh-CN"/>
              </w:rPr>
              <w:t>d</w:t>
            </w:r>
            <w:r>
              <w:rPr>
                <w:color w:val="auto"/>
                <w:sz w:val="24"/>
              </w:rPr>
              <w:t>、加强事故管理，在生产过程中注意对其它单位相关事故的研究，充分吸取经验和教训</w:t>
            </w:r>
            <w:r>
              <w:rPr>
                <w:rFonts w:hint="eastAsia"/>
                <w:color w:val="auto"/>
                <w:sz w:val="24"/>
                <w:lang w:eastAsia="zh-CN"/>
              </w:rPr>
              <w:t>。</w:t>
            </w:r>
          </w:p>
          <w:p>
            <w:pPr>
              <w:adjustRightInd w:val="0"/>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e、加强事故管理，在生产过程中注意对其它单位相关事故的研究，充分吸取经验和教训。</w:t>
            </w:r>
          </w:p>
          <w:p>
            <w:pPr>
              <w:adjustRightInd w:val="0"/>
              <w:snapToGrid w:val="0"/>
              <w:spacing w:line="360" w:lineRule="auto"/>
              <w:ind w:firstLine="480" w:firstLineChars="200"/>
              <w:rPr>
                <w:rFonts w:hint="eastAsia" w:ascii="Times New Roman" w:hAnsi="Times New Roman" w:cs="Times New Roman"/>
                <w:color w:val="auto"/>
                <w:sz w:val="24"/>
                <w:u w:val="single"/>
                <w:lang w:val="en-US" w:eastAsia="zh-CN"/>
              </w:rPr>
            </w:pPr>
            <w:r>
              <w:rPr>
                <w:rFonts w:hint="eastAsia" w:ascii="Times New Roman" w:hAnsi="Times New Roman" w:cs="Times New Roman"/>
                <w:color w:val="auto"/>
                <w:sz w:val="24"/>
                <w:u w:val="single"/>
                <w:lang w:val="en-US" w:eastAsia="zh-CN"/>
              </w:rPr>
              <w:t>f、在风险单元悬挂风险处置牌。</w:t>
            </w:r>
          </w:p>
          <w:p>
            <w:pPr>
              <w:adjustRightInd w:val="0"/>
              <w:snapToGrid w:val="0"/>
              <w:spacing w:line="360" w:lineRule="auto"/>
              <w:ind w:firstLine="480" w:firstLineChars="200"/>
              <w:rPr>
                <w:rFonts w:hint="eastAsia" w:ascii="Times New Roman" w:hAnsi="Times New Roman" w:cs="Times New Roman"/>
                <w:color w:val="auto"/>
                <w:sz w:val="24"/>
                <w:u w:val="single"/>
                <w:lang w:val="en-US" w:eastAsia="zh-CN"/>
              </w:rPr>
            </w:pPr>
            <w:r>
              <w:rPr>
                <w:rFonts w:hint="eastAsia" w:ascii="Times New Roman" w:hAnsi="Times New Roman" w:cs="Times New Roman"/>
                <w:color w:val="auto"/>
                <w:sz w:val="24"/>
                <w:u w:val="single"/>
                <w:lang w:val="en-US" w:eastAsia="zh-CN"/>
              </w:rPr>
              <w:t>g、静电除尘器上方建议增加避雷针。</w:t>
            </w:r>
          </w:p>
          <w:p>
            <w:pPr>
              <w:pStyle w:val="13"/>
              <w:spacing w:line="360" w:lineRule="auto"/>
              <w:rPr>
                <w:rFonts w:ascii="Times New Roman" w:hAnsi="Times New Roman"/>
                <w:color w:val="auto"/>
                <w:sz w:val="24"/>
                <w:szCs w:val="24"/>
              </w:rPr>
            </w:pPr>
            <w:r>
              <w:rPr>
                <w:rFonts w:ascii="Times New Roman" w:hAnsi="Times New Roman"/>
                <w:b/>
                <w:bCs/>
                <w:color w:val="auto"/>
                <w:sz w:val="24"/>
                <w:szCs w:val="24"/>
              </w:rPr>
              <w:t>7.</w:t>
            </w:r>
            <w:r>
              <w:rPr>
                <w:rFonts w:hint="eastAsia" w:ascii="Times New Roman" w:hAnsi="Times New Roman"/>
                <w:b/>
                <w:bCs/>
                <w:color w:val="auto"/>
                <w:sz w:val="24"/>
                <w:szCs w:val="24"/>
              </w:rPr>
              <w:t xml:space="preserve">7 </w:t>
            </w:r>
            <w:r>
              <w:rPr>
                <w:rFonts w:ascii="Times New Roman" w:hAnsi="Times New Roman"/>
                <w:b/>
                <w:bCs/>
                <w:color w:val="auto"/>
                <w:sz w:val="24"/>
                <w:szCs w:val="24"/>
              </w:rPr>
              <w:t>环境风险应急预案</w:t>
            </w:r>
          </w:p>
          <w:p>
            <w:pPr>
              <w:pStyle w:val="13"/>
              <w:spacing w:line="360" w:lineRule="auto"/>
              <w:ind w:firstLine="480"/>
              <w:rPr>
                <w:rFonts w:ascii="Times New Roman" w:hAnsi="Times New Roman"/>
                <w:color w:val="auto"/>
                <w:sz w:val="24"/>
                <w:szCs w:val="24"/>
              </w:rPr>
            </w:pPr>
            <w:r>
              <w:rPr>
                <w:color w:val="auto"/>
                <w:sz w:val="24"/>
              </w:rPr>
              <w:t>制定环境事件应急预案的目的是为了在发生风险事故时，能以最快的速度发挥最大的效能，有序的实施救援，尽快控制事态的发展，降低事故造成的危害，减少事故造成的损失。企业应建立环境事件应急预案，其主要内容见下表</w:t>
            </w:r>
            <w:r>
              <w:rPr>
                <w:rFonts w:ascii="Times New Roman" w:hAnsi="Times New Roman"/>
                <w:color w:val="auto"/>
                <w:sz w:val="24"/>
                <w:szCs w:val="24"/>
              </w:rPr>
              <w:t>：</w:t>
            </w:r>
          </w:p>
          <w:p>
            <w:pPr>
              <w:tabs>
                <w:tab w:val="left" w:pos="735"/>
                <w:tab w:val="left" w:pos="1815"/>
                <w:tab w:val="center" w:pos="4716"/>
              </w:tabs>
              <w:spacing w:line="360" w:lineRule="auto"/>
              <w:ind w:firstLine="422" w:firstLineChars="200"/>
              <w:jc w:val="center"/>
              <w:rPr>
                <w:b/>
                <w:bCs/>
                <w:color w:val="auto"/>
              </w:rPr>
            </w:pPr>
            <w:r>
              <w:rPr>
                <w:b/>
                <w:bCs/>
                <w:color w:val="auto"/>
              </w:rPr>
              <w:t>表</w:t>
            </w:r>
            <w:r>
              <w:rPr>
                <w:rFonts w:ascii="Times New Roman" w:hAnsi="Times New Roman" w:cs="Times New Roman"/>
                <w:b/>
                <w:bCs/>
                <w:color w:val="auto"/>
              </w:rPr>
              <w:t>7-2</w:t>
            </w:r>
            <w:r>
              <w:rPr>
                <w:rFonts w:hint="eastAsia" w:cs="Times New Roman"/>
                <w:b/>
                <w:bCs/>
                <w:color w:val="auto"/>
                <w:lang w:val="en-US" w:eastAsia="zh-CN"/>
              </w:rPr>
              <w:t>5</w:t>
            </w:r>
            <w:r>
              <w:rPr>
                <w:b/>
                <w:bCs/>
                <w:color w:val="auto"/>
              </w:rPr>
              <w:t>：本项目环境风险应急预案内容一览表</w:t>
            </w:r>
          </w:p>
          <w:tbl>
            <w:tblPr>
              <w:tblStyle w:val="22"/>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141"/>
              <w:gridCol w:w="5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lang w:val="zh-CN"/>
                    </w:rPr>
                    <w:t>序号</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项目</w:t>
                  </w:r>
                </w:p>
              </w:tc>
              <w:tc>
                <w:tcPr>
                  <w:tcW w:w="5932" w:type="dxa"/>
                  <w:noWrap w:val="0"/>
                  <w:vAlign w:val="center"/>
                </w:tcPr>
                <w:p>
                  <w:pPr>
                    <w:autoSpaceDE w:val="0"/>
                    <w:autoSpaceDN w:val="0"/>
                    <w:adjustRightInd w:val="0"/>
                    <w:snapToGrid w:val="0"/>
                    <w:jc w:val="center"/>
                    <w:rPr>
                      <w:color w:val="auto"/>
                      <w:szCs w:val="21"/>
                      <w:lang w:val="zh-CN"/>
                    </w:rPr>
                  </w:pPr>
                  <w:r>
                    <w:rPr>
                      <w:color w:val="auto"/>
                      <w:szCs w:val="21"/>
                      <w:lang w:val="zh-CN"/>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1</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应急计划区</w:t>
                  </w:r>
                </w:p>
              </w:tc>
              <w:tc>
                <w:tcPr>
                  <w:tcW w:w="5932" w:type="dxa"/>
                  <w:noWrap w:val="0"/>
                  <w:vAlign w:val="center"/>
                </w:tcPr>
                <w:p>
                  <w:pPr>
                    <w:autoSpaceDE w:val="0"/>
                    <w:autoSpaceDN w:val="0"/>
                    <w:adjustRightInd w:val="0"/>
                    <w:snapToGrid w:val="0"/>
                    <w:jc w:val="center"/>
                    <w:rPr>
                      <w:color w:val="auto"/>
                      <w:szCs w:val="21"/>
                      <w:lang w:val="zh-CN"/>
                    </w:rPr>
                  </w:pPr>
                  <w:r>
                    <w:rPr>
                      <w:color w:val="auto"/>
                      <w:szCs w:val="21"/>
                      <w:lang w:val="zh-CN"/>
                    </w:rPr>
                    <w:t>风险目标：</w:t>
                  </w:r>
                  <w:r>
                    <w:rPr>
                      <w:rFonts w:hint="eastAsia" w:ascii="宋体" w:hAnsi="宋体" w:eastAsia="宋体" w:cs="宋体"/>
                      <w:color w:val="auto"/>
                      <w:szCs w:val="21"/>
                    </w:rPr>
                    <w:t>炭化窑、生产厂房</w:t>
                  </w:r>
                  <w:r>
                    <w:rPr>
                      <w:color w:val="auto"/>
                      <w:szCs w:val="21"/>
                      <w:lang w:val="zh-CN"/>
                    </w:rPr>
                    <w:t>。敏感点：周边</w:t>
                  </w:r>
                  <w:r>
                    <w:rPr>
                      <w:color w:val="auto"/>
                      <w:szCs w:val="21"/>
                    </w:rPr>
                    <w:t>居民</w:t>
                  </w:r>
                  <w:r>
                    <w:rPr>
                      <w:color w:val="auto"/>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2</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应急组织机构、人员</w:t>
                  </w:r>
                </w:p>
              </w:tc>
              <w:tc>
                <w:tcPr>
                  <w:tcW w:w="5932" w:type="dxa"/>
                  <w:noWrap w:val="0"/>
                  <w:vAlign w:val="center"/>
                </w:tcPr>
                <w:p>
                  <w:pPr>
                    <w:pStyle w:val="16"/>
                    <w:autoSpaceDE w:val="0"/>
                    <w:autoSpaceDN w:val="0"/>
                    <w:adjustRightInd w:val="0"/>
                    <w:snapToGrid w:val="0"/>
                    <w:spacing w:line="240" w:lineRule="auto"/>
                    <w:jc w:val="center"/>
                    <w:rPr>
                      <w:b w:val="0"/>
                      <w:bCs/>
                      <w:color w:val="auto"/>
                      <w:sz w:val="21"/>
                      <w:szCs w:val="21"/>
                      <w:lang w:val="zh-CN"/>
                    </w:rPr>
                  </w:pPr>
                  <w:r>
                    <w:rPr>
                      <w:b w:val="0"/>
                      <w:bCs/>
                      <w:color w:val="auto"/>
                      <w:sz w:val="21"/>
                      <w:szCs w:val="21"/>
                      <w:lang w:val="zh-CN"/>
                    </w:rPr>
                    <w:t>企业内部及上级部门应急组织机构、人员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3</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预案分级响应条件</w:t>
                  </w:r>
                </w:p>
              </w:tc>
              <w:tc>
                <w:tcPr>
                  <w:tcW w:w="5932" w:type="dxa"/>
                  <w:noWrap w:val="0"/>
                  <w:vAlign w:val="center"/>
                </w:tcPr>
                <w:p>
                  <w:pPr>
                    <w:autoSpaceDE w:val="0"/>
                    <w:autoSpaceDN w:val="0"/>
                    <w:adjustRightInd w:val="0"/>
                    <w:snapToGrid w:val="0"/>
                    <w:jc w:val="center"/>
                    <w:rPr>
                      <w:bCs/>
                      <w:color w:val="auto"/>
                      <w:szCs w:val="21"/>
                      <w:lang w:val="zh-CN"/>
                    </w:rPr>
                  </w:pPr>
                  <w:r>
                    <w:rPr>
                      <w:bCs/>
                      <w:color w:val="auto"/>
                      <w:szCs w:val="21"/>
                      <w:lang w:val="zh-CN"/>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4</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应急救援保障</w:t>
                  </w:r>
                </w:p>
              </w:tc>
              <w:tc>
                <w:tcPr>
                  <w:tcW w:w="5932" w:type="dxa"/>
                  <w:noWrap w:val="0"/>
                  <w:vAlign w:val="center"/>
                </w:tcPr>
                <w:p>
                  <w:pPr>
                    <w:autoSpaceDE w:val="0"/>
                    <w:autoSpaceDN w:val="0"/>
                    <w:adjustRightInd w:val="0"/>
                    <w:snapToGrid w:val="0"/>
                    <w:jc w:val="center"/>
                    <w:rPr>
                      <w:bCs/>
                      <w:color w:val="auto"/>
                      <w:szCs w:val="21"/>
                      <w:lang w:val="zh-CN"/>
                    </w:rPr>
                  </w:pPr>
                  <w:r>
                    <w:rPr>
                      <w:bCs/>
                      <w:color w:val="auto"/>
                      <w:szCs w:val="21"/>
                      <w:lang w:val="zh-CN"/>
                    </w:rPr>
                    <w:t>配套的应急设施、设备与器材等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5</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报警、通讯联络方式</w:t>
                  </w:r>
                </w:p>
              </w:tc>
              <w:tc>
                <w:tcPr>
                  <w:tcW w:w="5932" w:type="dxa"/>
                  <w:noWrap w:val="0"/>
                  <w:vAlign w:val="center"/>
                </w:tcPr>
                <w:p>
                  <w:pPr>
                    <w:pStyle w:val="16"/>
                    <w:autoSpaceDE w:val="0"/>
                    <w:autoSpaceDN w:val="0"/>
                    <w:adjustRightInd w:val="0"/>
                    <w:snapToGrid w:val="0"/>
                    <w:spacing w:line="240" w:lineRule="auto"/>
                    <w:jc w:val="center"/>
                    <w:rPr>
                      <w:b w:val="0"/>
                      <w:bCs/>
                      <w:color w:val="auto"/>
                      <w:sz w:val="21"/>
                      <w:szCs w:val="21"/>
                      <w:lang w:val="zh-CN"/>
                    </w:rPr>
                  </w:pPr>
                  <w:r>
                    <w:rPr>
                      <w:b w:val="0"/>
                      <w:bCs/>
                      <w:color w:val="auto"/>
                      <w:sz w:val="21"/>
                      <w:szCs w:val="21"/>
                      <w:lang w:val="zh-CN"/>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6</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应急环境监测、抢险、救援及控制措施</w:t>
                  </w:r>
                </w:p>
              </w:tc>
              <w:tc>
                <w:tcPr>
                  <w:tcW w:w="5932" w:type="dxa"/>
                  <w:noWrap w:val="0"/>
                  <w:vAlign w:val="center"/>
                </w:tcPr>
                <w:p>
                  <w:pPr>
                    <w:autoSpaceDE w:val="0"/>
                    <w:autoSpaceDN w:val="0"/>
                    <w:adjustRightInd w:val="0"/>
                    <w:snapToGrid w:val="0"/>
                    <w:jc w:val="center"/>
                    <w:rPr>
                      <w:color w:val="auto"/>
                      <w:szCs w:val="21"/>
                      <w:lang w:val="zh-CN"/>
                    </w:rPr>
                  </w:pPr>
                  <w:r>
                    <w:rPr>
                      <w:color w:val="auto"/>
                      <w:szCs w:val="21"/>
                      <w:lang w:val="zh-CN"/>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7</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应急检测、防护措施、清除泄漏措施和器材</w:t>
                  </w:r>
                </w:p>
              </w:tc>
              <w:tc>
                <w:tcPr>
                  <w:tcW w:w="5932" w:type="dxa"/>
                  <w:noWrap w:val="0"/>
                  <w:vAlign w:val="center"/>
                </w:tcPr>
                <w:p>
                  <w:pPr>
                    <w:autoSpaceDE w:val="0"/>
                    <w:autoSpaceDN w:val="0"/>
                    <w:adjustRightInd w:val="0"/>
                    <w:snapToGrid w:val="0"/>
                    <w:jc w:val="center"/>
                    <w:rPr>
                      <w:color w:val="auto"/>
                      <w:szCs w:val="21"/>
                      <w:lang w:val="zh-CN"/>
                    </w:rPr>
                  </w:pPr>
                  <w:r>
                    <w:rPr>
                      <w:color w:val="auto"/>
                      <w:szCs w:val="21"/>
                      <w:lang w:val="zh-CN"/>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1"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8</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应急措施</w:t>
                  </w:r>
                </w:p>
              </w:tc>
              <w:tc>
                <w:tcPr>
                  <w:tcW w:w="5932" w:type="dxa"/>
                  <w:noWrap w:val="0"/>
                  <w:vAlign w:val="center"/>
                </w:tcPr>
                <w:p>
                  <w:pPr>
                    <w:jc w:val="left"/>
                    <w:rPr>
                      <w:color w:val="auto"/>
                      <w:szCs w:val="21"/>
                    </w:rPr>
                  </w:pPr>
                  <w:r>
                    <w:rPr>
                      <w:rFonts w:hint="eastAsia" w:ascii="宋体" w:hAnsi="宋体" w:cs="宋体"/>
                      <w:color w:val="auto"/>
                      <w:szCs w:val="21"/>
                    </w:rPr>
                    <w:t>①</w:t>
                  </w:r>
                  <w:r>
                    <w:rPr>
                      <w:color w:val="auto"/>
                      <w:szCs w:val="21"/>
                    </w:rPr>
                    <w:t>废气事故排放应急处置</w:t>
                  </w:r>
                </w:p>
                <w:p>
                  <w:pPr>
                    <w:jc w:val="left"/>
                    <w:rPr>
                      <w:color w:val="auto"/>
                      <w:szCs w:val="21"/>
                    </w:rPr>
                  </w:pPr>
                  <w:r>
                    <w:rPr>
                      <w:color w:val="auto"/>
                      <w:szCs w:val="21"/>
                    </w:rPr>
                    <w:t>第一时间排查原因，如为特定设备故障且有备用设施，立即启动备用设备；如无，当立即停产检修，待修好后方可正常生产。</w:t>
                  </w:r>
                </w:p>
                <w:p>
                  <w:pPr>
                    <w:jc w:val="left"/>
                    <w:rPr>
                      <w:color w:val="auto"/>
                      <w:szCs w:val="21"/>
                    </w:rPr>
                  </w:pPr>
                  <w:r>
                    <w:rPr>
                      <w:rFonts w:hint="eastAsia" w:ascii="宋体" w:hAnsi="宋体" w:cs="宋体"/>
                      <w:color w:val="auto"/>
                      <w:szCs w:val="21"/>
                    </w:rPr>
                    <w:t>②</w:t>
                  </w:r>
                  <w:r>
                    <w:rPr>
                      <w:color w:val="auto"/>
                      <w:szCs w:val="21"/>
                    </w:rPr>
                    <w:t>木煤气泄漏应急处置</w:t>
                  </w:r>
                </w:p>
                <w:p>
                  <w:pPr>
                    <w:jc w:val="left"/>
                    <w:rPr>
                      <w:color w:val="auto"/>
                      <w:szCs w:val="21"/>
                    </w:rPr>
                  </w:pPr>
                  <w:r>
                    <w:rPr>
                      <w:color w:val="auto"/>
                      <w:szCs w:val="21"/>
                    </w:rPr>
                    <w:t>切断泄漏源：关闭泄漏点上下游最近阀门、封堵泄漏孔等，防止木煤气持续泄漏。必要时应停炉。放空管由于设备故障或人为操作失误大量放空泄漏时，切断泄漏源的同时应在放空管处人工点火。严禁火种、产生静电材料进入，严禁敲击、碰撞、抽烟点火等。</w:t>
                  </w:r>
                </w:p>
                <w:p>
                  <w:pPr>
                    <w:jc w:val="left"/>
                    <w:rPr>
                      <w:color w:val="auto"/>
                      <w:szCs w:val="21"/>
                    </w:rPr>
                  </w:pPr>
                  <w:r>
                    <w:rPr>
                      <w:color w:val="auto"/>
                      <w:szCs w:val="21"/>
                    </w:rPr>
                    <w:fldChar w:fldCharType="begin"/>
                  </w:r>
                  <w:r>
                    <w:rPr>
                      <w:color w:val="auto"/>
                      <w:szCs w:val="21"/>
                    </w:rPr>
                    <w:instrText xml:space="preserve"> = 3 \* GB3 </w:instrText>
                  </w:r>
                  <w:r>
                    <w:rPr>
                      <w:color w:val="auto"/>
                      <w:szCs w:val="21"/>
                    </w:rPr>
                    <w:fldChar w:fldCharType="separate"/>
                  </w:r>
                  <w:r>
                    <w:rPr>
                      <w:rFonts w:hint="eastAsia" w:ascii="宋体" w:hAnsi="宋体" w:cs="宋体"/>
                      <w:color w:val="auto"/>
                      <w:szCs w:val="21"/>
                    </w:rPr>
                    <w:t>③</w:t>
                  </w:r>
                  <w:r>
                    <w:rPr>
                      <w:color w:val="auto"/>
                      <w:szCs w:val="21"/>
                    </w:rPr>
                    <w:fldChar w:fldCharType="end"/>
                  </w:r>
                  <w:r>
                    <w:rPr>
                      <w:color w:val="auto"/>
                      <w:szCs w:val="21"/>
                    </w:rPr>
                    <w:t>火灾事故应急处置</w:t>
                  </w:r>
                </w:p>
                <w:p>
                  <w:pPr>
                    <w:jc w:val="left"/>
                    <w:rPr>
                      <w:color w:val="auto"/>
                      <w:szCs w:val="21"/>
                    </w:rPr>
                  </w:pPr>
                  <w:r>
                    <w:rPr>
                      <w:color w:val="auto"/>
                      <w:szCs w:val="21"/>
                    </w:rPr>
                    <w:t>疏散火灾影响区域人员至安全区，禁止无关人员进入，第一时间请求119消防支援，现场应急处理人员先期灭火应根据火势酌情灭火并务必做好防护措施。</w:t>
                  </w:r>
                </w:p>
                <w:p>
                  <w:pPr>
                    <w:jc w:val="left"/>
                    <w:rPr>
                      <w:color w:val="auto"/>
                      <w:szCs w:val="21"/>
                    </w:rPr>
                  </w:pPr>
                  <w:r>
                    <w:rPr>
                      <w:color w:val="auto"/>
                      <w:szCs w:val="21"/>
                    </w:rPr>
                    <w:t>消防废水应予以截留，收集至水膜除尘设施配套沉淀池，并根据现场消防废水水质情况予以妥善处置后方可外排。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9</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人员紧急撤离、疏散，应急剂量控制、撤离组织计划</w:t>
                  </w:r>
                </w:p>
              </w:tc>
              <w:tc>
                <w:tcPr>
                  <w:tcW w:w="5932" w:type="dxa"/>
                  <w:noWrap w:val="0"/>
                  <w:vAlign w:val="center"/>
                </w:tcPr>
                <w:p>
                  <w:pPr>
                    <w:jc w:val="center"/>
                    <w:rPr>
                      <w:color w:val="auto"/>
                      <w:szCs w:val="21"/>
                    </w:rPr>
                  </w:pPr>
                  <w:r>
                    <w:rPr>
                      <w:color w:val="auto"/>
                      <w:szCs w:val="21"/>
                    </w:rPr>
                    <w:t>事故现场、邻近区、受事故影响的区域人员及公众对毒物应急剂量控制规定，撤离组织计划及救护，医疗救护与公众健康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10</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事故应急救援关闭程序与恢复措施</w:t>
                  </w:r>
                </w:p>
              </w:tc>
              <w:tc>
                <w:tcPr>
                  <w:tcW w:w="5932" w:type="dxa"/>
                  <w:noWrap w:val="0"/>
                  <w:vAlign w:val="center"/>
                </w:tcPr>
                <w:p>
                  <w:pPr>
                    <w:jc w:val="center"/>
                    <w:rPr>
                      <w:color w:val="auto"/>
                      <w:szCs w:val="21"/>
                    </w:rPr>
                  </w:pPr>
                  <w:r>
                    <w:rPr>
                      <w:color w:val="auto"/>
                      <w:szCs w:val="21"/>
                    </w:rPr>
                    <w:t>规定应急状态终止程序</w:t>
                  </w:r>
                </w:p>
                <w:p>
                  <w:pPr>
                    <w:jc w:val="center"/>
                    <w:rPr>
                      <w:color w:val="auto"/>
                      <w:szCs w:val="21"/>
                    </w:rPr>
                  </w:pPr>
                  <w:r>
                    <w:rPr>
                      <w:color w:val="auto"/>
                      <w:szCs w:val="21"/>
                    </w:rPr>
                    <w:t>事故现场善后处理，恢复措施</w:t>
                  </w:r>
                </w:p>
                <w:p>
                  <w:pPr>
                    <w:pStyle w:val="16"/>
                    <w:spacing w:line="240" w:lineRule="auto"/>
                    <w:jc w:val="center"/>
                    <w:rPr>
                      <w:b w:val="0"/>
                      <w:color w:val="auto"/>
                      <w:sz w:val="21"/>
                      <w:szCs w:val="21"/>
                    </w:rPr>
                  </w:pPr>
                  <w:r>
                    <w:rPr>
                      <w:b w:val="0"/>
                      <w:color w:val="auto"/>
                      <w:sz w:val="21"/>
                      <w:szCs w:val="21"/>
                    </w:rPr>
                    <w:t>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11</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应急培训计划</w:t>
                  </w:r>
                </w:p>
              </w:tc>
              <w:tc>
                <w:tcPr>
                  <w:tcW w:w="5932" w:type="dxa"/>
                  <w:noWrap w:val="0"/>
                  <w:vAlign w:val="center"/>
                </w:tcPr>
                <w:p>
                  <w:pPr>
                    <w:jc w:val="center"/>
                    <w:rPr>
                      <w:color w:val="auto"/>
                      <w:szCs w:val="21"/>
                    </w:rPr>
                  </w:pPr>
                  <w:r>
                    <w:rPr>
                      <w:color w:val="auto"/>
                      <w:szCs w:val="21"/>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66" w:type="dxa"/>
                  <w:noWrap w:val="0"/>
                  <w:vAlign w:val="center"/>
                </w:tcPr>
                <w:p>
                  <w:pPr>
                    <w:autoSpaceDE w:val="0"/>
                    <w:autoSpaceDN w:val="0"/>
                    <w:adjustRightInd w:val="0"/>
                    <w:snapToGrid w:val="0"/>
                    <w:jc w:val="center"/>
                    <w:rPr>
                      <w:color w:val="auto"/>
                      <w:szCs w:val="21"/>
                    </w:rPr>
                  </w:pPr>
                  <w:r>
                    <w:rPr>
                      <w:color w:val="auto"/>
                      <w:szCs w:val="21"/>
                    </w:rPr>
                    <w:t>12</w:t>
                  </w:r>
                </w:p>
              </w:tc>
              <w:tc>
                <w:tcPr>
                  <w:tcW w:w="2141" w:type="dxa"/>
                  <w:noWrap w:val="0"/>
                  <w:vAlign w:val="center"/>
                </w:tcPr>
                <w:p>
                  <w:pPr>
                    <w:autoSpaceDE w:val="0"/>
                    <w:autoSpaceDN w:val="0"/>
                    <w:adjustRightInd w:val="0"/>
                    <w:snapToGrid w:val="0"/>
                    <w:jc w:val="center"/>
                    <w:rPr>
                      <w:color w:val="auto"/>
                      <w:szCs w:val="21"/>
                      <w:lang w:val="zh-CN"/>
                    </w:rPr>
                  </w:pPr>
                  <w:r>
                    <w:rPr>
                      <w:color w:val="auto"/>
                      <w:szCs w:val="21"/>
                      <w:lang w:val="zh-CN"/>
                    </w:rPr>
                    <w:t>公众教育和信息</w:t>
                  </w:r>
                </w:p>
              </w:tc>
              <w:tc>
                <w:tcPr>
                  <w:tcW w:w="5932" w:type="dxa"/>
                  <w:noWrap w:val="0"/>
                  <w:vAlign w:val="center"/>
                </w:tcPr>
                <w:p>
                  <w:pPr>
                    <w:jc w:val="center"/>
                    <w:rPr>
                      <w:color w:val="auto"/>
                      <w:szCs w:val="21"/>
                    </w:rPr>
                  </w:pPr>
                  <w:r>
                    <w:rPr>
                      <w:color w:val="auto"/>
                      <w:szCs w:val="21"/>
                    </w:rPr>
                    <w:t>对项目所在</w:t>
                  </w:r>
                  <w:r>
                    <w:rPr>
                      <w:rFonts w:hint="eastAsia"/>
                      <w:color w:val="auto"/>
                      <w:szCs w:val="21"/>
                      <w:lang w:eastAsia="zh-CN"/>
                    </w:rPr>
                    <w:t>区域</w:t>
                  </w:r>
                  <w:r>
                    <w:rPr>
                      <w:color w:val="auto"/>
                      <w:szCs w:val="21"/>
                    </w:rPr>
                    <w:t>开展公众教育、培训和发布有关信息</w:t>
                  </w:r>
                </w:p>
              </w:tc>
            </w:tr>
          </w:tbl>
          <w:p>
            <w:pPr>
              <w:adjustRightInd w:val="0"/>
              <w:snapToGrid w:val="0"/>
              <w:spacing w:line="360" w:lineRule="auto"/>
              <w:rPr>
                <w:color w:val="auto"/>
                <w:sz w:val="24"/>
              </w:rPr>
            </w:pPr>
          </w:p>
          <w:p>
            <w:pPr>
              <w:pStyle w:val="13"/>
              <w:spacing w:line="360" w:lineRule="auto"/>
              <w:rPr>
                <w:rFonts w:hint="eastAsia" w:ascii="Times New Roman" w:hAnsi="Times New Roman"/>
                <w:color w:val="auto"/>
                <w:sz w:val="24"/>
                <w:szCs w:val="24"/>
              </w:rPr>
            </w:pPr>
            <w:r>
              <w:rPr>
                <w:rFonts w:ascii="Times New Roman" w:hAnsi="Times New Roman"/>
                <w:b/>
                <w:bCs/>
                <w:color w:val="auto"/>
                <w:sz w:val="24"/>
                <w:szCs w:val="24"/>
              </w:rPr>
              <w:t>7.</w:t>
            </w:r>
            <w:r>
              <w:rPr>
                <w:rFonts w:hint="eastAsia" w:ascii="Times New Roman" w:hAnsi="Times New Roman"/>
                <w:b/>
                <w:bCs/>
                <w:color w:val="auto"/>
                <w:sz w:val="24"/>
                <w:szCs w:val="24"/>
              </w:rPr>
              <w:t>8环境风险评价结论</w:t>
            </w:r>
          </w:p>
          <w:p>
            <w:pPr>
              <w:spacing w:line="360" w:lineRule="auto"/>
              <w:ind w:firstLine="470" w:firstLineChars="196"/>
              <w:rPr>
                <w:rFonts w:ascii="Times New Roman" w:hAnsi="Times New Roman"/>
                <w:color w:val="auto"/>
                <w:sz w:val="24"/>
                <w:szCs w:val="24"/>
              </w:rPr>
            </w:pPr>
            <w:r>
              <w:rPr>
                <w:color w:val="auto"/>
                <w:sz w:val="24"/>
              </w:rPr>
              <w:t>经过风险分析和评价得出结论，本项目存在一定的泄漏及火灾爆炸事故风险，企业在加强风险管理，在项目建设过程中认真落实各种风险防范措施、完善事故应急预案的基础上，事故发生概率很低，经过妥善的风险防范措施，本项目环境风险在可接受的范围内</w:t>
            </w:r>
            <w:r>
              <w:rPr>
                <w:rFonts w:hint="eastAsia" w:ascii="Times New Roman" w:hAnsi="Times New Roman"/>
                <w:color w:val="auto"/>
                <w:sz w:val="24"/>
                <w:szCs w:val="24"/>
              </w:rPr>
              <w:t>。</w:t>
            </w:r>
          </w:p>
          <w:p>
            <w:pPr>
              <w:rPr>
                <w:rFonts w:hint="eastAsia" w:ascii="Times New Roman" w:hAnsi="Times New Roman"/>
                <w:b/>
                <w:color w:val="auto"/>
                <w:sz w:val="28"/>
                <w:szCs w:val="28"/>
              </w:rPr>
            </w:pPr>
            <w:r>
              <w:rPr>
                <w:rFonts w:hint="eastAsia"/>
                <w:b/>
                <w:color w:val="auto"/>
                <w:sz w:val="28"/>
                <w:szCs w:val="28"/>
                <w:lang w:val="en-US" w:eastAsia="zh-CN"/>
              </w:rPr>
              <w:t>8</w:t>
            </w:r>
            <w:r>
              <w:rPr>
                <w:rFonts w:ascii="Times New Roman" w:hAnsi="Times New Roman"/>
                <w:b/>
                <w:color w:val="auto"/>
                <w:sz w:val="28"/>
                <w:szCs w:val="28"/>
              </w:rPr>
              <w:t xml:space="preserve"> </w:t>
            </w:r>
            <w:r>
              <w:rPr>
                <w:rFonts w:hint="eastAsia" w:ascii="Times New Roman" w:hAnsi="Times New Roman"/>
                <w:b/>
                <w:color w:val="auto"/>
                <w:sz w:val="28"/>
                <w:szCs w:val="28"/>
              </w:rPr>
              <w:t>环保投资</w:t>
            </w:r>
          </w:p>
          <w:p>
            <w:pPr>
              <w:pStyle w:val="41"/>
              <w:spacing w:line="360" w:lineRule="auto"/>
              <w:ind w:firstLine="480"/>
              <w:rPr>
                <w:rFonts w:hint="eastAsia" w:cs="Times New Roman"/>
                <w:color w:val="auto"/>
                <w:kern w:val="0"/>
                <w:szCs w:val="24"/>
              </w:rPr>
            </w:pPr>
            <w:r>
              <w:rPr>
                <w:rFonts w:cs="Times New Roman"/>
                <w:color w:val="auto"/>
                <w:kern w:val="0"/>
                <w:szCs w:val="24"/>
              </w:rPr>
              <w:t>本项目</w:t>
            </w:r>
            <w:r>
              <w:rPr>
                <w:rFonts w:hint="eastAsia" w:cs="Times New Roman"/>
                <w:color w:val="auto"/>
                <w:kern w:val="0"/>
                <w:szCs w:val="24"/>
              </w:rPr>
              <w:t>总投资</w:t>
            </w:r>
            <w:r>
              <w:rPr>
                <w:rFonts w:hint="eastAsia" w:cs="Times New Roman"/>
                <w:color w:val="auto"/>
                <w:kern w:val="0"/>
                <w:szCs w:val="24"/>
                <w:lang w:val="en-US" w:eastAsia="zh-CN"/>
              </w:rPr>
              <w:t>500</w:t>
            </w:r>
            <w:r>
              <w:rPr>
                <w:rFonts w:hint="eastAsia" w:cs="Times New Roman"/>
                <w:color w:val="auto"/>
                <w:kern w:val="0"/>
                <w:szCs w:val="24"/>
              </w:rPr>
              <w:t>万元，</w:t>
            </w:r>
            <w:r>
              <w:rPr>
                <w:rFonts w:cs="Times New Roman"/>
                <w:color w:val="auto"/>
                <w:kern w:val="0"/>
                <w:szCs w:val="24"/>
              </w:rPr>
              <w:t>环保投资估算</w:t>
            </w:r>
            <w:r>
              <w:rPr>
                <w:rFonts w:hint="eastAsia" w:cs="Times New Roman"/>
                <w:color w:val="auto"/>
                <w:kern w:val="0"/>
                <w:szCs w:val="24"/>
              </w:rPr>
              <w:t>约为</w:t>
            </w:r>
            <w:r>
              <w:rPr>
                <w:rFonts w:hint="eastAsia" w:cs="Times New Roman"/>
                <w:color w:val="auto"/>
                <w:kern w:val="0"/>
                <w:szCs w:val="24"/>
                <w:u w:val="single"/>
                <w:lang w:val="en-US" w:eastAsia="zh-CN"/>
              </w:rPr>
              <w:t>53</w:t>
            </w:r>
            <w:r>
              <w:rPr>
                <w:rFonts w:cs="Times New Roman"/>
                <w:color w:val="auto"/>
                <w:kern w:val="0"/>
                <w:szCs w:val="24"/>
                <w:u w:val="none"/>
              </w:rPr>
              <w:t>万元</w:t>
            </w:r>
            <w:r>
              <w:rPr>
                <w:rFonts w:cs="Times New Roman"/>
                <w:color w:val="auto"/>
                <w:kern w:val="0"/>
                <w:szCs w:val="24"/>
              </w:rPr>
              <w:t>，主要为大气处理设施、</w:t>
            </w:r>
            <w:r>
              <w:rPr>
                <w:rFonts w:hint="eastAsia" w:cs="Times New Roman"/>
                <w:color w:val="auto"/>
                <w:kern w:val="0"/>
                <w:szCs w:val="24"/>
              </w:rPr>
              <w:t>废水处理措施、</w:t>
            </w:r>
            <w:r>
              <w:rPr>
                <w:rFonts w:cs="Times New Roman"/>
                <w:color w:val="auto"/>
                <w:kern w:val="0"/>
                <w:szCs w:val="24"/>
              </w:rPr>
              <w:t>固废治理设施、噪声治理措施</w:t>
            </w:r>
            <w:r>
              <w:rPr>
                <w:rFonts w:hint="eastAsia" w:cs="Times New Roman"/>
                <w:color w:val="auto"/>
                <w:kern w:val="0"/>
                <w:szCs w:val="24"/>
              </w:rPr>
              <w:t>、风险防范</w:t>
            </w:r>
            <w:r>
              <w:rPr>
                <w:rFonts w:cs="Times New Roman"/>
                <w:color w:val="auto"/>
                <w:kern w:val="0"/>
                <w:szCs w:val="24"/>
              </w:rPr>
              <w:t>等，约占项目总投资的</w:t>
            </w:r>
            <w:r>
              <w:rPr>
                <w:rFonts w:hint="eastAsia" w:cs="Times New Roman"/>
                <w:color w:val="auto"/>
                <w:kern w:val="0"/>
                <w:szCs w:val="24"/>
                <w:u w:val="single"/>
                <w:lang w:val="en-US" w:eastAsia="zh-CN"/>
              </w:rPr>
              <w:t>10.6</w:t>
            </w:r>
            <w:r>
              <w:rPr>
                <w:rFonts w:cs="Times New Roman"/>
                <w:color w:val="auto"/>
                <w:kern w:val="0"/>
                <w:szCs w:val="24"/>
                <w:u w:val="single"/>
              </w:rPr>
              <w:t>%</w:t>
            </w:r>
            <w:r>
              <w:rPr>
                <w:rFonts w:cs="Times New Roman"/>
                <w:color w:val="auto"/>
                <w:kern w:val="0"/>
                <w:szCs w:val="24"/>
              </w:rPr>
              <w:t>。具体</w:t>
            </w:r>
            <w:r>
              <w:rPr>
                <w:rFonts w:hint="eastAsia" w:cs="Times New Roman"/>
                <w:color w:val="auto"/>
                <w:kern w:val="0"/>
                <w:szCs w:val="24"/>
              </w:rPr>
              <w:t>环保</w:t>
            </w:r>
            <w:r>
              <w:rPr>
                <w:rFonts w:cs="Times New Roman"/>
                <w:color w:val="auto"/>
                <w:kern w:val="0"/>
                <w:szCs w:val="24"/>
              </w:rPr>
              <w:t>投资详见表</w:t>
            </w:r>
            <w:r>
              <w:rPr>
                <w:rFonts w:hint="eastAsia" w:cs="Times New Roman"/>
                <w:color w:val="auto"/>
                <w:kern w:val="0"/>
                <w:szCs w:val="24"/>
              </w:rPr>
              <w:t>7</w:t>
            </w:r>
            <w:r>
              <w:rPr>
                <w:rFonts w:cs="Times New Roman"/>
                <w:color w:val="auto"/>
                <w:kern w:val="0"/>
                <w:szCs w:val="24"/>
              </w:rPr>
              <w:t>-2</w:t>
            </w:r>
            <w:r>
              <w:rPr>
                <w:rFonts w:hint="eastAsia" w:cs="Times New Roman"/>
                <w:color w:val="auto"/>
                <w:kern w:val="0"/>
                <w:szCs w:val="24"/>
                <w:lang w:val="en-US" w:eastAsia="zh-CN"/>
              </w:rPr>
              <w:t>6</w:t>
            </w:r>
            <w:r>
              <w:rPr>
                <w:rFonts w:hint="eastAsia" w:cs="Times New Roman"/>
                <w:color w:val="auto"/>
                <w:kern w:val="0"/>
                <w:szCs w:val="24"/>
              </w:rPr>
              <w:t>。</w:t>
            </w:r>
          </w:p>
          <w:p>
            <w:pPr>
              <w:jc w:val="center"/>
              <w:rPr>
                <w:rFonts w:hint="eastAsia" w:ascii="Times New Roman" w:hAnsi="Times New Roman"/>
                <w:b/>
                <w:color w:val="auto"/>
                <w:szCs w:val="21"/>
              </w:rPr>
            </w:pPr>
          </w:p>
          <w:p>
            <w:pPr>
              <w:jc w:val="center"/>
              <w:rPr>
                <w:rFonts w:hint="eastAsia" w:ascii="Times New Roman" w:hAnsi="Times New Roman"/>
                <w:b/>
                <w:color w:val="auto"/>
                <w:szCs w:val="21"/>
              </w:rPr>
            </w:pPr>
            <w:r>
              <w:rPr>
                <w:rFonts w:hint="eastAsia" w:ascii="Times New Roman" w:hAnsi="Times New Roman"/>
                <w:b/>
                <w:color w:val="auto"/>
                <w:szCs w:val="21"/>
              </w:rPr>
              <w:t>表7-</w:t>
            </w:r>
            <w:r>
              <w:rPr>
                <w:rFonts w:ascii="Times New Roman" w:hAnsi="Times New Roman"/>
                <w:b/>
                <w:color w:val="auto"/>
                <w:szCs w:val="21"/>
              </w:rPr>
              <w:t>2</w:t>
            </w:r>
            <w:r>
              <w:rPr>
                <w:rFonts w:hint="eastAsia"/>
                <w:b/>
                <w:color w:val="auto"/>
                <w:szCs w:val="21"/>
                <w:lang w:val="en-US" w:eastAsia="zh-CN"/>
              </w:rPr>
              <w:t>6</w:t>
            </w:r>
            <w:r>
              <w:rPr>
                <w:rFonts w:hint="eastAsia" w:ascii="Times New Roman" w:hAnsi="Times New Roman"/>
                <w:b/>
                <w:color w:val="auto"/>
                <w:szCs w:val="21"/>
              </w:rPr>
              <w:t>：工程环保投资估算一览表</w:t>
            </w:r>
          </w:p>
          <w:tbl>
            <w:tblPr>
              <w:tblStyle w:val="22"/>
              <w:tblW w:w="85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16"/>
              <w:gridCol w:w="1160"/>
              <w:gridCol w:w="2757"/>
              <w:gridCol w:w="2834"/>
              <w:gridCol w:w="1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69" w:hRule="atLeast"/>
                <w:jc w:val="center"/>
              </w:trPr>
              <w:tc>
                <w:tcPr>
                  <w:tcW w:w="716" w:type="dxa"/>
                  <w:noWrap w:val="0"/>
                  <w:vAlign w:val="center"/>
                </w:tcPr>
                <w:p>
                  <w:pPr>
                    <w:pStyle w:val="42"/>
                    <w:rPr>
                      <w:rFonts w:ascii="Times New Roman" w:hAnsi="Times New Roman"/>
                      <w:color w:val="auto"/>
                      <w:u w:val="none"/>
                    </w:rPr>
                  </w:pPr>
                  <w:r>
                    <w:rPr>
                      <w:rFonts w:hint="eastAsia" w:ascii="Times New Roman" w:hAnsi="Times New Roman"/>
                      <w:color w:val="auto"/>
                      <w:u w:val="none"/>
                    </w:rPr>
                    <w:t>时期</w:t>
                  </w:r>
                </w:p>
              </w:tc>
              <w:tc>
                <w:tcPr>
                  <w:tcW w:w="1160" w:type="dxa"/>
                  <w:noWrap w:val="0"/>
                  <w:vAlign w:val="center"/>
                </w:tcPr>
                <w:p>
                  <w:pPr>
                    <w:pStyle w:val="42"/>
                    <w:rPr>
                      <w:rFonts w:ascii="Times New Roman" w:hAnsi="Times New Roman"/>
                      <w:color w:val="auto"/>
                      <w:u w:val="none"/>
                    </w:rPr>
                  </w:pPr>
                  <w:r>
                    <w:rPr>
                      <w:rFonts w:ascii="Times New Roman" w:hAnsi="Times New Roman"/>
                      <w:color w:val="auto"/>
                      <w:u w:val="none"/>
                    </w:rPr>
                    <w:t>治理项目</w:t>
                  </w:r>
                </w:p>
              </w:tc>
              <w:tc>
                <w:tcPr>
                  <w:tcW w:w="2757" w:type="dxa"/>
                  <w:noWrap w:val="0"/>
                  <w:vAlign w:val="center"/>
                </w:tcPr>
                <w:p>
                  <w:pPr>
                    <w:pStyle w:val="42"/>
                    <w:rPr>
                      <w:rFonts w:ascii="Times New Roman" w:hAnsi="Times New Roman"/>
                      <w:color w:val="auto"/>
                      <w:u w:val="none"/>
                    </w:rPr>
                  </w:pPr>
                  <w:r>
                    <w:rPr>
                      <w:rFonts w:ascii="Times New Roman" w:hAnsi="Times New Roman"/>
                      <w:color w:val="auto"/>
                      <w:u w:val="none"/>
                    </w:rPr>
                    <w:t>污染物</w:t>
                  </w:r>
                </w:p>
              </w:tc>
              <w:tc>
                <w:tcPr>
                  <w:tcW w:w="2834" w:type="dxa"/>
                  <w:noWrap w:val="0"/>
                  <w:vAlign w:val="center"/>
                </w:tcPr>
                <w:p>
                  <w:pPr>
                    <w:pStyle w:val="42"/>
                    <w:rPr>
                      <w:rFonts w:ascii="Times New Roman" w:hAnsi="Times New Roman"/>
                      <w:color w:val="auto"/>
                      <w:u w:val="none"/>
                    </w:rPr>
                  </w:pPr>
                  <w:r>
                    <w:rPr>
                      <w:rFonts w:ascii="Times New Roman" w:hAnsi="Times New Roman"/>
                      <w:color w:val="auto"/>
                      <w:u w:val="none"/>
                    </w:rPr>
                    <w:t>设备、设施</w:t>
                  </w:r>
                </w:p>
              </w:tc>
              <w:tc>
                <w:tcPr>
                  <w:tcW w:w="1130" w:type="dxa"/>
                  <w:noWrap w:val="0"/>
                  <w:vAlign w:val="center"/>
                </w:tcPr>
                <w:p>
                  <w:pPr>
                    <w:pStyle w:val="42"/>
                    <w:rPr>
                      <w:rFonts w:ascii="Times New Roman" w:hAnsi="Times New Roman"/>
                      <w:color w:val="auto"/>
                      <w:u w:val="none"/>
                    </w:rPr>
                  </w:pPr>
                  <w:r>
                    <w:rPr>
                      <w:rFonts w:ascii="Times New Roman" w:hAnsi="Times New Roman"/>
                      <w:color w:val="auto"/>
                      <w:u w:val="none"/>
                    </w:rPr>
                    <w:t>投资估算</w:t>
                  </w:r>
                </w:p>
                <w:p>
                  <w:pPr>
                    <w:pStyle w:val="42"/>
                    <w:rPr>
                      <w:rFonts w:ascii="Times New Roman" w:hAnsi="Times New Roman"/>
                      <w:color w:val="auto"/>
                      <w:u w:val="none"/>
                    </w:rPr>
                  </w:pPr>
                  <w:r>
                    <w:rPr>
                      <w:rFonts w:ascii="Times New Roman" w:hAnsi="Times New Roman"/>
                      <w:color w:val="auto"/>
                      <w:u w:val="none"/>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restart"/>
                  <w:noWrap w:val="0"/>
                  <w:vAlign w:val="center"/>
                </w:tcPr>
                <w:p>
                  <w:pPr>
                    <w:pStyle w:val="42"/>
                    <w:rPr>
                      <w:rFonts w:hint="eastAsia" w:ascii="Times New Roman" w:hAnsi="Times New Roman"/>
                      <w:color w:val="auto"/>
                      <w:u w:val="none"/>
                    </w:rPr>
                  </w:pPr>
                  <w:r>
                    <w:rPr>
                      <w:rFonts w:hint="eastAsia" w:ascii="Times New Roman" w:hAnsi="Times New Roman"/>
                      <w:color w:val="auto"/>
                      <w:u w:val="none"/>
                    </w:rPr>
                    <w:t>施工期</w:t>
                  </w:r>
                </w:p>
              </w:tc>
              <w:tc>
                <w:tcPr>
                  <w:tcW w:w="1160" w:type="dxa"/>
                  <w:noWrap w:val="0"/>
                  <w:vAlign w:val="center"/>
                </w:tcPr>
                <w:p>
                  <w:pPr>
                    <w:pStyle w:val="42"/>
                    <w:rPr>
                      <w:rFonts w:ascii="Times New Roman" w:hAnsi="Times New Roman"/>
                      <w:color w:val="auto"/>
                      <w:u w:val="none"/>
                    </w:rPr>
                  </w:pPr>
                  <w:r>
                    <w:rPr>
                      <w:rFonts w:ascii="Times New Roman" w:hAnsi="Times New Roman"/>
                      <w:color w:val="auto"/>
                      <w:u w:val="none"/>
                    </w:rPr>
                    <w:t>废气治理</w:t>
                  </w:r>
                </w:p>
              </w:tc>
              <w:tc>
                <w:tcPr>
                  <w:tcW w:w="2757" w:type="dxa"/>
                  <w:noWrap w:val="0"/>
                  <w:vAlign w:val="center"/>
                </w:tcPr>
                <w:p>
                  <w:pPr>
                    <w:pStyle w:val="42"/>
                    <w:rPr>
                      <w:rFonts w:ascii="Times New Roman" w:hAnsi="Times New Roman"/>
                      <w:color w:val="auto"/>
                      <w:u w:val="none"/>
                    </w:rPr>
                  </w:pPr>
                  <w:r>
                    <w:rPr>
                      <w:rFonts w:hint="eastAsia" w:ascii="Times New Roman" w:hAnsi="Times New Roman"/>
                      <w:color w:val="auto"/>
                      <w:u w:val="none"/>
                    </w:rPr>
                    <w:t>施工扬尘</w:t>
                  </w:r>
                </w:p>
              </w:tc>
              <w:tc>
                <w:tcPr>
                  <w:tcW w:w="2834" w:type="dxa"/>
                  <w:noWrap w:val="0"/>
                  <w:vAlign w:val="center"/>
                </w:tcPr>
                <w:p>
                  <w:pPr>
                    <w:pStyle w:val="42"/>
                    <w:rPr>
                      <w:rFonts w:ascii="Times New Roman" w:hAnsi="Times New Roman"/>
                      <w:color w:val="auto"/>
                      <w:u w:val="none"/>
                    </w:rPr>
                  </w:pPr>
                  <w:r>
                    <w:rPr>
                      <w:rFonts w:hint="eastAsia" w:ascii="Times New Roman" w:hAnsi="Times New Roman"/>
                      <w:color w:val="auto"/>
                      <w:u w:val="none"/>
                    </w:rPr>
                    <w:t>洒水降尘，</w:t>
                  </w:r>
                </w:p>
              </w:tc>
              <w:tc>
                <w:tcPr>
                  <w:tcW w:w="1130" w:type="dxa"/>
                  <w:noWrap w:val="0"/>
                  <w:vAlign w:val="center"/>
                </w:tcPr>
                <w:p>
                  <w:pPr>
                    <w:pStyle w:val="42"/>
                    <w:rPr>
                      <w:rFonts w:ascii="Times New Roman" w:hAnsi="Times New Roman"/>
                      <w:color w:val="auto"/>
                      <w:u w:val="none"/>
                    </w:rPr>
                  </w:pPr>
                  <w:r>
                    <w:rPr>
                      <w:rFonts w:hint="eastAsia" w:ascii="Times New Roman" w:hAnsi="Times New Roman"/>
                      <w:color w:val="auto"/>
                      <w:u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hint="eastAsia" w:ascii="Times New Roman" w:hAnsi="Times New Roman"/>
                      <w:color w:val="auto"/>
                      <w:u w:val="none"/>
                    </w:rPr>
                  </w:pPr>
                </w:p>
              </w:tc>
              <w:tc>
                <w:tcPr>
                  <w:tcW w:w="1160" w:type="dxa"/>
                  <w:noWrap w:val="0"/>
                  <w:vAlign w:val="center"/>
                </w:tcPr>
                <w:p>
                  <w:pPr>
                    <w:pStyle w:val="42"/>
                    <w:rPr>
                      <w:rFonts w:ascii="Times New Roman" w:hAnsi="Times New Roman"/>
                      <w:color w:val="auto"/>
                      <w:u w:val="none"/>
                    </w:rPr>
                  </w:pPr>
                  <w:r>
                    <w:rPr>
                      <w:rFonts w:ascii="Times New Roman" w:hAnsi="Times New Roman"/>
                      <w:color w:val="auto"/>
                      <w:u w:val="none"/>
                    </w:rPr>
                    <w:t>废水治理</w:t>
                  </w:r>
                </w:p>
              </w:tc>
              <w:tc>
                <w:tcPr>
                  <w:tcW w:w="2757" w:type="dxa"/>
                  <w:noWrap w:val="0"/>
                  <w:vAlign w:val="center"/>
                </w:tcPr>
                <w:p>
                  <w:pPr>
                    <w:pStyle w:val="42"/>
                    <w:rPr>
                      <w:rFonts w:ascii="Times New Roman" w:hAnsi="Times New Roman"/>
                      <w:color w:val="auto"/>
                      <w:u w:val="none"/>
                    </w:rPr>
                  </w:pPr>
                  <w:r>
                    <w:rPr>
                      <w:rFonts w:hint="eastAsia" w:ascii="Times New Roman" w:hAnsi="Times New Roman"/>
                      <w:color w:val="auto"/>
                      <w:u w:val="none"/>
                    </w:rPr>
                    <w:t>施工废水</w:t>
                  </w:r>
                </w:p>
              </w:tc>
              <w:tc>
                <w:tcPr>
                  <w:tcW w:w="2834" w:type="dxa"/>
                  <w:noWrap w:val="0"/>
                  <w:vAlign w:val="center"/>
                </w:tcPr>
                <w:p>
                  <w:pPr>
                    <w:pStyle w:val="42"/>
                    <w:rPr>
                      <w:rFonts w:ascii="Times New Roman" w:hAnsi="Times New Roman"/>
                      <w:color w:val="auto"/>
                      <w:u w:val="none"/>
                    </w:rPr>
                  </w:pPr>
                  <w:r>
                    <w:rPr>
                      <w:rFonts w:hint="eastAsia" w:ascii="Times New Roman" w:hAnsi="Times New Roman"/>
                      <w:color w:val="auto"/>
                      <w:u w:val="none"/>
                    </w:rPr>
                    <w:t>临时雨水排水沟、沉淀池</w:t>
                  </w:r>
                </w:p>
              </w:tc>
              <w:tc>
                <w:tcPr>
                  <w:tcW w:w="1130" w:type="dxa"/>
                  <w:noWrap w:val="0"/>
                  <w:vAlign w:val="center"/>
                </w:tcPr>
                <w:p>
                  <w:pPr>
                    <w:pStyle w:val="42"/>
                    <w:rPr>
                      <w:rFonts w:ascii="Times New Roman" w:hAnsi="Times New Roman"/>
                      <w:color w:val="auto"/>
                      <w:u w:val="none"/>
                    </w:rPr>
                  </w:pPr>
                  <w:r>
                    <w:rPr>
                      <w:rFonts w:hint="eastAsia" w:ascii="Times New Roman" w:hAnsi="Times New Roman"/>
                      <w:color w:val="auto"/>
                      <w:u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49" w:hRule="atLeast"/>
                <w:jc w:val="center"/>
              </w:trPr>
              <w:tc>
                <w:tcPr>
                  <w:tcW w:w="716" w:type="dxa"/>
                  <w:vMerge w:val="restart"/>
                  <w:noWrap w:val="0"/>
                  <w:vAlign w:val="center"/>
                </w:tcPr>
                <w:p>
                  <w:pPr>
                    <w:pStyle w:val="42"/>
                    <w:rPr>
                      <w:rFonts w:ascii="Times New Roman" w:hAnsi="Times New Roman"/>
                      <w:color w:val="auto"/>
                      <w:u w:val="none"/>
                    </w:rPr>
                  </w:pPr>
                  <w:r>
                    <w:rPr>
                      <w:rFonts w:hint="eastAsia" w:ascii="Times New Roman" w:hAnsi="Times New Roman"/>
                      <w:color w:val="auto"/>
                      <w:u w:val="none"/>
                    </w:rPr>
                    <w:t>营运期</w:t>
                  </w:r>
                </w:p>
              </w:tc>
              <w:tc>
                <w:tcPr>
                  <w:tcW w:w="1160" w:type="dxa"/>
                  <w:noWrap w:val="0"/>
                  <w:vAlign w:val="center"/>
                </w:tcPr>
                <w:p>
                  <w:pPr>
                    <w:pStyle w:val="42"/>
                    <w:rPr>
                      <w:rFonts w:ascii="Times New Roman" w:hAnsi="Times New Roman"/>
                      <w:color w:val="auto"/>
                      <w:u w:val="none"/>
                    </w:rPr>
                  </w:pPr>
                  <w:r>
                    <w:rPr>
                      <w:rFonts w:ascii="Times New Roman" w:hAnsi="Times New Roman"/>
                      <w:color w:val="auto"/>
                      <w:u w:val="none"/>
                    </w:rPr>
                    <w:t>废气治理</w:t>
                  </w:r>
                </w:p>
              </w:tc>
              <w:tc>
                <w:tcPr>
                  <w:tcW w:w="2757" w:type="dxa"/>
                  <w:noWrap w:val="0"/>
                  <w:vAlign w:val="center"/>
                </w:tcPr>
                <w:p>
                  <w:pPr>
                    <w:pStyle w:val="42"/>
                    <w:rPr>
                      <w:rFonts w:hint="eastAsia" w:ascii="Times New Roman" w:hAnsi="Times New Roman" w:eastAsia="宋体"/>
                      <w:color w:val="auto"/>
                      <w:u w:val="none"/>
                      <w:lang w:eastAsia="zh-CN"/>
                    </w:rPr>
                  </w:pPr>
                  <w:r>
                    <w:rPr>
                      <w:rFonts w:hint="eastAsia"/>
                      <w:color w:val="auto"/>
                      <w:u w:val="none"/>
                      <w:lang w:eastAsia="zh-CN"/>
                    </w:rPr>
                    <w:t>颗粒物、二氧化硫、氮氧化物</w:t>
                  </w:r>
                </w:p>
              </w:tc>
              <w:tc>
                <w:tcPr>
                  <w:tcW w:w="2834" w:type="dxa"/>
                  <w:noWrap w:val="0"/>
                  <w:vAlign w:val="center"/>
                </w:tcPr>
                <w:p>
                  <w:pPr>
                    <w:pStyle w:val="42"/>
                    <w:rPr>
                      <w:rFonts w:hint="eastAsia" w:ascii="Times New Roman" w:hAnsi="Times New Roman" w:eastAsia="宋体"/>
                      <w:color w:val="auto"/>
                      <w:u w:val="none"/>
                      <w:lang w:eastAsia="zh-CN"/>
                    </w:rPr>
                  </w:pPr>
                  <w:r>
                    <w:rPr>
                      <w:rFonts w:hint="eastAsia"/>
                      <w:color w:val="auto"/>
                      <w:lang w:val="en-US" w:eastAsia="zh-CN"/>
                    </w:rPr>
                    <w:t>旋风分离器+</w:t>
                  </w:r>
                  <w:r>
                    <w:rPr>
                      <w:rFonts w:hint="default"/>
                      <w:color w:val="auto"/>
                      <w:sz w:val="19"/>
                      <w:szCs w:val="20"/>
                    </w:rPr>
                    <w:t>水</w:t>
                  </w:r>
                  <w:r>
                    <w:rPr>
                      <w:rFonts w:hint="eastAsia"/>
                      <w:color w:val="auto"/>
                      <w:sz w:val="19"/>
                      <w:szCs w:val="20"/>
                      <w:lang w:eastAsia="zh-CN"/>
                    </w:rPr>
                    <w:t>雾</w:t>
                  </w:r>
                  <w:r>
                    <w:rPr>
                      <w:rFonts w:hint="eastAsia"/>
                      <w:color w:val="auto"/>
                      <w:u w:val="none"/>
                      <w:lang w:eastAsia="zh-CN"/>
                    </w:rPr>
                    <w:t>除尘器、静电除尘器、</w:t>
                  </w:r>
                  <w:r>
                    <w:rPr>
                      <w:rFonts w:hint="eastAsia" w:ascii="Times New Roman" w:hAnsi="Times New Roman"/>
                      <w:color w:val="auto"/>
                      <w:u w:val="none"/>
                    </w:rPr>
                    <w:t>排气筒</w:t>
                  </w:r>
                  <w:r>
                    <w:rPr>
                      <w:rFonts w:hint="eastAsia"/>
                      <w:color w:val="auto"/>
                      <w:u w:val="none"/>
                      <w:lang w:eastAsia="zh-CN"/>
                    </w:rPr>
                    <w:t>等</w:t>
                  </w:r>
                </w:p>
              </w:tc>
              <w:tc>
                <w:tcPr>
                  <w:tcW w:w="1130" w:type="dxa"/>
                  <w:noWrap w:val="0"/>
                  <w:vAlign w:val="center"/>
                </w:tcPr>
                <w:p>
                  <w:pPr>
                    <w:pStyle w:val="42"/>
                    <w:rPr>
                      <w:rFonts w:hint="default" w:ascii="Times New Roman" w:hAnsi="Times New Roman" w:eastAsia="宋体"/>
                      <w:color w:val="auto"/>
                      <w:u w:val="none"/>
                      <w:lang w:val="en-US" w:eastAsia="zh-CN"/>
                    </w:rPr>
                  </w:pPr>
                  <w:r>
                    <w:rPr>
                      <w:rFonts w:hint="eastAsia"/>
                      <w:color w:val="auto"/>
                      <w:u w:val="none"/>
                      <w:lang w:val="en-US" w:eastAsia="zh-CN"/>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restart"/>
                  <w:noWrap w:val="0"/>
                  <w:vAlign w:val="center"/>
                </w:tcPr>
                <w:p>
                  <w:pPr>
                    <w:pStyle w:val="42"/>
                    <w:rPr>
                      <w:rFonts w:ascii="Times New Roman" w:hAnsi="Times New Roman"/>
                      <w:color w:val="auto"/>
                      <w:u w:val="none"/>
                    </w:rPr>
                  </w:pPr>
                  <w:r>
                    <w:rPr>
                      <w:rFonts w:ascii="Times New Roman" w:hAnsi="Times New Roman"/>
                      <w:color w:val="auto"/>
                      <w:u w:val="none"/>
                    </w:rPr>
                    <w:t>废水治理</w:t>
                  </w:r>
                </w:p>
              </w:tc>
              <w:tc>
                <w:tcPr>
                  <w:tcW w:w="2757" w:type="dxa"/>
                  <w:noWrap w:val="0"/>
                  <w:vAlign w:val="center"/>
                </w:tcPr>
                <w:p>
                  <w:pPr>
                    <w:pStyle w:val="42"/>
                    <w:rPr>
                      <w:rFonts w:ascii="Times New Roman" w:hAnsi="Times New Roman"/>
                      <w:color w:val="auto"/>
                      <w:u w:val="none"/>
                    </w:rPr>
                  </w:pPr>
                  <w:r>
                    <w:rPr>
                      <w:rFonts w:hint="eastAsia"/>
                      <w:color w:val="auto"/>
                      <w:u w:val="none"/>
                      <w:lang w:eastAsia="zh-CN"/>
                    </w:rPr>
                    <w:t>生产</w:t>
                  </w:r>
                  <w:r>
                    <w:rPr>
                      <w:rFonts w:hint="eastAsia" w:ascii="Times New Roman" w:hAnsi="Times New Roman"/>
                      <w:color w:val="auto"/>
                      <w:u w:val="none"/>
                    </w:rPr>
                    <w:t>废水</w:t>
                  </w:r>
                </w:p>
              </w:tc>
              <w:tc>
                <w:tcPr>
                  <w:tcW w:w="2834" w:type="dxa"/>
                  <w:noWrap w:val="0"/>
                  <w:vAlign w:val="center"/>
                </w:tcPr>
                <w:p>
                  <w:pPr>
                    <w:pStyle w:val="42"/>
                    <w:rPr>
                      <w:rFonts w:ascii="Times New Roman" w:hAnsi="Times New Roman"/>
                      <w:color w:val="auto"/>
                      <w:u w:val="none"/>
                    </w:rPr>
                  </w:pPr>
                  <w:r>
                    <w:rPr>
                      <w:rFonts w:hint="eastAsia"/>
                      <w:color w:val="auto"/>
                      <w:u w:val="none"/>
                      <w:lang w:eastAsia="zh-CN"/>
                    </w:rPr>
                    <w:t>沉淀池、冷却水池</w:t>
                  </w:r>
                </w:p>
              </w:tc>
              <w:tc>
                <w:tcPr>
                  <w:tcW w:w="1130" w:type="dxa"/>
                  <w:noWrap w:val="0"/>
                  <w:vAlign w:val="center"/>
                </w:tcPr>
                <w:p>
                  <w:pPr>
                    <w:pStyle w:val="42"/>
                    <w:rPr>
                      <w:rFonts w:hint="eastAsia" w:ascii="Times New Roman" w:hAnsi="Times New Roman" w:eastAsia="宋体"/>
                      <w:color w:val="auto"/>
                      <w:u w:val="none"/>
                      <w:lang w:eastAsia="zh-CN"/>
                    </w:rPr>
                  </w:pPr>
                  <w:r>
                    <w:rPr>
                      <w:rFonts w:hint="eastAsia"/>
                      <w:color w:val="auto"/>
                      <w:u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continue"/>
                  <w:noWrap w:val="0"/>
                  <w:vAlign w:val="center"/>
                </w:tcPr>
                <w:p>
                  <w:pPr>
                    <w:pStyle w:val="42"/>
                    <w:rPr>
                      <w:rFonts w:ascii="Times New Roman" w:hAnsi="Times New Roman"/>
                      <w:color w:val="auto"/>
                      <w:u w:val="none"/>
                    </w:rPr>
                  </w:pPr>
                </w:p>
              </w:tc>
              <w:tc>
                <w:tcPr>
                  <w:tcW w:w="2757" w:type="dxa"/>
                  <w:noWrap w:val="0"/>
                  <w:vAlign w:val="center"/>
                </w:tcPr>
                <w:p>
                  <w:pPr>
                    <w:pStyle w:val="42"/>
                    <w:rPr>
                      <w:rFonts w:hint="eastAsia"/>
                      <w:color w:val="auto"/>
                      <w:u w:val="single"/>
                      <w:lang w:eastAsia="zh-CN"/>
                    </w:rPr>
                  </w:pPr>
                  <w:r>
                    <w:rPr>
                      <w:rFonts w:hint="eastAsia"/>
                      <w:color w:val="auto"/>
                      <w:u w:val="single"/>
                      <w:lang w:eastAsia="zh-CN"/>
                    </w:rPr>
                    <w:t>生活污水</w:t>
                  </w:r>
                </w:p>
              </w:tc>
              <w:tc>
                <w:tcPr>
                  <w:tcW w:w="2834" w:type="dxa"/>
                  <w:noWrap w:val="0"/>
                  <w:vAlign w:val="center"/>
                </w:tcPr>
                <w:p>
                  <w:pPr>
                    <w:pStyle w:val="42"/>
                    <w:rPr>
                      <w:rFonts w:hint="eastAsia"/>
                      <w:color w:val="auto"/>
                      <w:u w:val="single"/>
                      <w:lang w:eastAsia="zh-CN"/>
                    </w:rPr>
                  </w:pPr>
                  <w:r>
                    <w:rPr>
                      <w:rFonts w:hint="eastAsia"/>
                      <w:color w:val="auto"/>
                      <w:u w:val="single"/>
                      <w:lang w:eastAsia="zh-CN"/>
                    </w:rPr>
                    <w:t>依托周边居民卫生间</w:t>
                  </w:r>
                </w:p>
              </w:tc>
              <w:tc>
                <w:tcPr>
                  <w:tcW w:w="1130" w:type="dxa"/>
                  <w:noWrap w:val="0"/>
                  <w:vAlign w:val="center"/>
                </w:tcPr>
                <w:p>
                  <w:pPr>
                    <w:pStyle w:val="42"/>
                    <w:rPr>
                      <w:rFonts w:hint="default"/>
                      <w:color w:val="auto"/>
                      <w:u w:val="single"/>
                      <w:lang w:val="en-US" w:eastAsia="zh-CN"/>
                    </w:rPr>
                  </w:pPr>
                  <w:r>
                    <w:rPr>
                      <w:rFonts w:hint="eastAsia"/>
                      <w:color w:val="auto"/>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noWrap w:val="0"/>
                  <w:vAlign w:val="center"/>
                </w:tcPr>
                <w:p>
                  <w:pPr>
                    <w:pStyle w:val="42"/>
                    <w:rPr>
                      <w:rFonts w:ascii="Times New Roman" w:hAnsi="Times New Roman"/>
                      <w:color w:val="auto"/>
                      <w:u w:val="none"/>
                    </w:rPr>
                  </w:pPr>
                  <w:r>
                    <w:rPr>
                      <w:rFonts w:ascii="Times New Roman" w:hAnsi="Times New Roman"/>
                      <w:color w:val="auto"/>
                      <w:u w:val="none"/>
                    </w:rPr>
                    <w:t>噪声治理</w:t>
                  </w:r>
                </w:p>
              </w:tc>
              <w:tc>
                <w:tcPr>
                  <w:tcW w:w="2757" w:type="dxa"/>
                  <w:noWrap w:val="0"/>
                  <w:vAlign w:val="center"/>
                </w:tcPr>
                <w:p>
                  <w:pPr>
                    <w:pStyle w:val="42"/>
                    <w:rPr>
                      <w:rFonts w:ascii="Times New Roman" w:hAnsi="Times New Roman"/>
                      <w:color w:val="auto"/>
                      <w:u w:val="none"/>
                    </w:rPr>
                  </w:pPr>
                  <w:r>
                    <w:rPr>
                      <w:rFonts w:ascii="Times New Roman" w:hAnsi="Times New Roman"/>
                      <w:color w:val="auto"/>
                      <w:u w:val="none"/>
                    </w:rPr>
                    <w:t>设备噪声、车辆噪声</w:t>
                  </w:r>
                </w:p>
              </w:tc>
              <w:tc>
                <w:tcPr>
                  <w:tcW w:w="2834" w:type="dxa"/>
                  <w:noWrap w:val="0"/>
                  <w:vAlign w:val="center"/>
                </w:tcPr>
                <w:p>
                  <w:pPr>
                    <w:pStyle w:val="42"/>
                    <w:rPr>
                      <w:rFonts w:ascii="Times New Roman" w:hAnsi="Times New Roman"/>
                      <w:color w:val="auto"/>
                      <w:u w:val="none"/>
                    </w:rPr>
                  </w:pPr>
                  <w:r>
                    <w:rPr>
                      <w:rFonts w:ascii="Times New Roman" w:hAnsi="Times New Roman"/>
                      <w:color w:val="auto"/>
                      <w:u w:val="none"/>
                    </w:rPr>
                    <w:t>减振隔声处理、加强管理</w:t>
                  </w:r>
                </w:p>
              </w:tc>
              <w:tc>
                <w:tcPr>
                  <w:tcW w:w="1130" w:type="dxa"/>
                  <w:noWrap w:val="0"/>
                  <w:vAlign w:val="center"/>
                </w:tcPr>
                <w:p>
                  <w:pPr>
                    <w:pStyle w:val="42"/>
                    <w:rPr>
                      <w:rFonts w:hint="eastAsia" w:ascii="Times New Roman" w:hAnsi="Times New Roman"/>
                      <w:color w:val="auto"/>
                      <w:u w:val="none"/>
                    </w:rPr>
                  </w:pPr>
                  <w:r>
                    <w:rPr>
                      <w:rFonts w:hint="eastAsia" w:ascii="Times New Roman" w:hAnsi="Times New Roman"/>
                      <w:color w:val="auto"/>
                      <w:u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restart"/>
                  <w:noWrap w:val="0"/>
                  <w:vAlign w:val="center"/>
                </w:tcPr>
                <w:p>
                  <w:pPr>
                    <w:pStyle w:val="42"/>
                    <w:rPr>
                      <w:rFonts w:ascii="Times New Roman" w:hAnsi="Times New Roman"/>
                      <w:color w:val="auto"/>
                      <w:u w:val="none"/>
                    </w:rPr>
                  </w:pPr>
                  <w:r>
                    <w:rPr>
                      <w:rFonts w:ascii="Times New Roman" w:hAnsi="Times New Roman"/>
                      <w:color w:val="auto"/>
                      <w:u w:val="none"/>
                    </w:rPr>
                    <w:t>固废处置</w:t>
                  </w:r>
                </w:p>
              </w:tc>
              <w:tc>
                <w:tcPr>
                  <w:tcW w:w="2757" w:type="dxa"/>
                  <w:noWrap w:val="0"/>
                  <w:vAlign w:val="center"/>
                </w:tcPr>
                <w:p>
                  <w:pPr>
                    <w:pStyle w:val="42"/>
                    <w:rPr>
                      <w:rFonts w:ascii="Times New Roman" w:hAnsi="Times New Roman"/>
                      <w:color w:val="auto"/>
                      <w:u w:val="none"/>
                    </w:rPr>
                  </w:pPr>
                  <w:r>
                    <w:rPr>
                      <w:rFonts w:hint="eastAsia" w:ascii="Times New Roman" w:hAnsi="Times New Roman"/>
                      <w:color w:val="auto"/>
                      <w:u w:val="none"/>
                    </w:rPr>
                    <w:t>沉淀池沉渣</w:t>
                  </w:r>
                </w:p>
              </w:tc>
              <w:tc>
                <w:tcPr>
                  <w:tcW w:w="2834" w:type="dxa"/>
                  <w:noWrap w:val="0"/>
                  <w:vAlign w:val="center"/>
                </w:tcPr>
                <w:p>
                  <w:pPr>
                    <w:pStyle w:val="42"/>
                    <w:rPr>
                      <w:rFonts w:ascii="Times New Roman" w:hAnsi="Times New Roman"/>
                      <w:color w:val="auto"/>
                      <w:u w:val="none"/>
                    </w:rPr>
                  </w:pPr>
                  <w:r>
                    <w:rPr>
                      <w:rFonts w:hint="eastAsia"/>
                      <w:color w:val="auto"/>
                      <w:u w:val="none"/>
                      <w:lang w:eastAsia="zh-CN"/>
                    </w:rPr>
                    <w:t>收集池</w:t>
                  </w:r>
                </w:p>
              </w:tc>
              <w:tc>
                <w:tcPr>
                  <w:tcW w:w="1130" w:type="dxa"/>
                  <w:noWrap w:val="0"/>
                  <w:vAlign w:val="center"/>
                </w:tcPr>
                <w:p>
                  <w:pPr>
                    <w:pStyle w:val="42"/>
                    <w:rPr>
                      <w:rFonts w:hint="eastAsia" w:ascii="Times New Roman" w:hAnsi="Times New Roman" w:eastAsia="宋体"/>
                      <w:color w:val="auto"/>
                      <w:u w:val="none"/>
                      <w:lang w:eastAsia="zh-CN"/>
                    </w:rPr>
                  </w:pPr>
                  <w:r>
                    <w:rPr>
                      <w:rFonts w:hint="eastAsia"/>
                      <w:color w:val="auto"/>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continue"/>
                  <w:noWrap w:val="0"/>
                  <w:vAlign w:val="center"/>
                </w:tcPr>
                <w:p>
                  <w:pPr>
                    <w:pStyle w:val="42"/>
                    <w:rPr>
                      <w:rFonts w:ascii="Times New Roman" w:hAnsi="Times New Roman"/>
                      <w:color w:val="auto"/>
                      <w:u w:val="none"/>
                    </w:rPr>
                  </w:pPr>
                </w:p>
              </w:tc>
              <w:tc>
                <w:tcPr>
                  <w:tcW w:w="2757" w:type="dxa"/>
                  <w:noWrap w:val="0"/>
                  <w:vAlign w:val="center"/>
                </w:tcPr>
                <w:p>
                  <w:pPr>
                    <w:pStyle w:val="42"/>
                    <w:rPr>
                      <w:rFonts w:ascii="Times New Roman" w:hAnsi="Times New Roman"/>
                      <w:color w:val="auto"/>
                      <w:u w:val="none"/>
                    </w:rPr>
                  </w:pPr>
                  <w:r>
                    <w:rPr>
                      <w:rFonts w:hint="eastAsia" w:ascii="Times New Roman" w:hAnsi="Times New Roman"/>
                      <w:color w:val="auto"/>
                      <w:u w:val="none"/>
                    </w:rPr>
                    <w:t>烘干</w:t>
                  </w:r>
                  <w:r>
                    <w:rPr>
                      <w:rFonts w:hint="eastAsia"/>
                      <w:color w:val="auto"/>
                      <w:u w:val="none"/>
                      <w:lang w:eastAsia="zh-CN"/>
                    </w:rPr>
                    <w:t>机</w:t>
                  </w:r>
                  <w:r>
                    <w:rPr>
                      <w:rFonts w:hint="eastAsia" w:ascii="Times New Roman" w:hAnsi="Times New Roman"/>
                      <w:color w:val="auto"/>
                      <w:u w:val="none"/>
                    </w:rPr>
                    <w:t>炉渣</w:t>
                  </w:r>
                </w:p>
              </w:tc>
              <w:tc>
                <w:tcPr>
                  <w:tcW w:w="2834" w:type="dxa"/>
                  <w:vMerge w:val="restart"/>
                  <w:noWrap w:val="0"/>
                  <w:vAlign w:val="center"/>
                </w:tcPr>
                <w:p>
                  <w:pPr>
                    <w:pStyle w:val="42"/>
                    <w:rPr>
                      <w:rFonts w:hint="eastAsia" w:ascii="Times New Roman" w:hAnsi="Times New Roman" w:eastAsia="宋体"/>
                      <w:color w:val="auto"/>
                      <w:u w:val="none"/>
                      <w:lang w:eastAsia="zh-CN"/>
                    </w:rPr>
                  </w:pPr>
                  <w:r>
                    <w:rPr>
                      <w:bCs/>
                      <w:color w:val="auto"/>
                      <w:szCs w:val="21"/>
                      <w:u w:val="none"/>
                    </w:rPr>
                    <w:t>收集</w:t>
                  </w:r>
                  <w:r>
                    <w:rPr>
                      <w:rFonts w:hint="eastAsia"/>
                      <w:bCs/>
                      <w:color w:val="auto"/>
                      <w:szCs w:val="21"/>
                      <w:u w:val="none"/>
                      <w:lang w:eastAsia="zh-CN"/>
                    </w:rPr>
                    <w:t>桶</w:t>
                  </w:r>
                </w:p>
              </w:tc>
              <w:tc>
                <w:tcPr>
                  <w:tcW w:w="1130" w:type="dxa"/>
                  <w:vMerge w:val="restart"/>
                  <w:noWrap w:val="0"/>
                  <w:vAlign w:val="center"/>
                </w:tcPr>
                <w:p>
                  <w:pPr>
                    <w:pStyle w:val="42"/>
                    <w:rPr>
                      <w:rFonts w:hint="eastAsia" w:ascii="Times New Roman" w:hAnsi="Times New Roman"/>
                      <w:color w:val="auto"/>
                      <w:u w:val="none"/>
                    </w:rPr>
                  </w:pPr>
                  <w:r>
                    <w:rPr>
                      <w:rFonts w:hint="eastAsia" w:ascii="Times New Roman" w:hAnsi="Times New Roman"/>
                      <w:color w:val="auto"/>
                      <w:u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continue"/>
                  <w:noWrap w:val="0"/>
                  <w:vAlign w:val="center"/>
                </w:tcPr>
                <w:p>
                  <w:pPr>
                    <w:pStyle w:val="42"/>
                    <w:rPr>
                      <w:rFonts w:ascii="Times New Roman" w:hAnsi="Times New Roman"/>
                      <w:color w:val="auto"/>
                      <w:u w:val="none"/>
                    </w:rPr>
                  </w:pPr>
                </w:p>
              </w:tc>
              <w:tc>
                <w:tcPr>
                  <w:tcW w:w="2757" w:type="dxa"/>
                  <w:noWrap w:val="0"/>
                  <w:vAlign w:val="center"/>
                </w:tcPr>
                <w:p>
                  <w:pPr>
                    <w:pStyle w:val="42"/>
                    <w:rPr>
                      <w:rFonts w:ascii="Times New Roman" w:hAnsi="Times New Roman"/>
                      <w:color w:val="auto"/>
                      <w:u w:val="none"/>
                    </w:rPr>
                  </w:pPr>
                  <w:r>
                    <w:rPr>
                      <w:rFonts w:hint="eastAsia" w:ascii="Times New Roman" w:hAnsi="Times New Roman"/>
                      <w:color w:val="auto"/>
                      <w:u w:val="none"/>
                    </w:rPr>
                    <w:t>残次品</w:t>
                  </w:r>
                </w:p>
              </w:tc>
              <w:tc>
                <w:tcPr>
                  <w:tcW w:w="2834" w:type="dxa"/>
                  <w:vMerge w:val="continue"/>
                  <w:noWrap w:val="0"/>
                  <w:vAlign w:val="center"/>
                </w:tcPr>
                <w:p>
                  <w:pPr>
                    <w:pStyle w:val="42"/>
                    <w:rPr>
                      <w:rFonts w:ascii="Times New Roman" w:hAnsi="Times New Roman"/>
                      <w:color w:val="auto"/>
                      <w:u w:val="none"/>
                    </w:rPr>
                  </w:pPr>
                </w:p>
              </w:tc>
              <w:tc>
                <w:tcPr>
                  <w:tcW w:w="1130" w:type="dxa"/>
                  <w:vMerge w:val="continue"/>
                  <w:noWrap w:val="0"/>
                  <w:vAlign w:val="center"/>
                </w:tcPr>
                <w:p>
                  <w:pPr>
                    <w:pStyle w:val="42"/>
                    <w:rPr>
                      <w:rFonts w:hint="eastAsia" w:ascii="Times New Roman" w:hAnsi="Times New Roman"/>
                      <w:color w:val="auto"/>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continue"/>
                  <w:noWrap w:val="0"/>
                  <w:vAlign w:val="center"/>
                </w:tcPr>
                <w:p>
                  <w:pPr>
                    <w:pStyle w:val="42"/>
                    <w:rPr>
                      <w:rFonts w:ascii="Times New Roman" w:hAnsi="Times New Roman"/>
                      <w:color w:val="auto"/>
                      <w:u w:val="none"/>
                    </w:rPr>
                  </w:pPr>
                </w:p>
              </w:tc>
              <w:tc>
                <w:tcPr>
                  <w:tcW w:w="2757" w:type="dxa"/>
                  <w:noWrap w:val="0"/>
                  <w:vAlign w:val="center"/>
                </w:tcPr>
                <w:p>
                  <w:pPr>
                    <w:pStyle w:val="42"/>
                    <w:rPr>
                      <w:rFonts w:hint="eastAsia" w:ascii="Times New Roman" w:hAnsi="Times New Roman"/>
                      <w:color w:val="auto"/>
                      <w:u w:val="none"/>
                    </w:rPr>
                  </w:pPr>
                  <w:r>
                    <w:rPr>
                      <w:rFonts w:hint="eastAsia" w:ascii="Times New Roman" w:hAnsi="Times New Roman"/>
                      <w:color w:val="auto"/>
                      <w:u w:val="none"/>
                    </w:rPr>
                    <w:t>回收粉尘</w:t>
                  </w:r>
                </w:p>
              </w:tc>
              <w:tc>
                <w:tcPr>
                  <w:tcW w:w="2834" w:type="dxa"/>
                  <w:vMerge w:val="continue"/>
                  <w:noWrap w:val="0"/>
                  <w:vAlign w:val="center"/>
                </w:tcPr>
                <w:p>
                  <w:pPr>
                    <w:pStyle w:val="42"/>
                    <w:rPr>
                      <w:rFonts w:hint="eastAsia"/>
                      <w:color w:val="auto"/>
                      <w:u w:val="none"/>
                      <w:lang w:eastAsia="zh-CN"/>
                    </w:rPr>
                  </w:pPr>
                </w:p>
              </w:tc>
              <w:tc>
                <w:tcPr>
                  <w:tcW w:w="1130" w:type="dxa"/>
                  <w:vMerge w:val="continue"/>
                  <w:noWrap w:val="0"/>
                  <w:vAlign w:val="center"/>
                </w:tcPr>
                <w:p>
                  <w:pPr>
                    <w:pStyle w:val="42"/>
                    <w:rPr>
                      <w:rFonts w:hint="eastAsia" w:ascii="Times New Roman" w:hAnsi="Times New Roman"/>
                      <w:color w:val="auto"/>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continue"/>
                  <w:noWrap w:val="0"/>
                  <w:vAlign w:val="center"/>
                </w:tcPr>
                <w:p>
                  <w:pPr>
                    <w:pStyle w:val="42"/>
                    <w:rPr>
                      <w:rFonts w:ascii="Times New Roman" w:hAnsi="Times New Roman"/>
                      <w:color w:val="auto"/>
                      <w:u w:val="none"/>
                    </w:rPr>
                  </w:pPr>
                </w:p>
              </w:tc>
              <w:tc>
                <w:tcPr>
                  <w:tcW w:w="2757" w:type="dxa"/>
                  <w:noWrap w:val="0"/>
                  <w:vAlign w:val="center"/>
                </w:tcPr>
                <w:p>
                  <w:pPr>
                    <w:pStyle w:val="42"/>
                    <w:rPr>
                      <w:rFonts w:hint="eastAsia" w:ascii="Times New Roman" w:hAnsi="Times New Roman" w:eastAsia="宋体"/>
                      <w:color w:val="auto"/>
                      <w:u w:val="none"/>
                      <w:lang w:eastAsia="zh-CN"/>
                    </w:rPr>
                  </w:pPr>
                  <w:r>
                    <w:rPr>
                      <w:rFonts w:hint="eastAsia"/>
                      <w:color w:val="auto"/>
                      <w:u w:val="none"/>
                      <w:lang w:eastAsia="zh-CN"/>
                    </w:rPr>
                    <w:t>生活垃圾</w:t>
                  </w:r>
                </w:p>
              </w:tc>
              <w:tc>
                <w:tcPr>
                  <w:tcW w:w="2834" w:type="dxa"/>
                  <w:vMerge w:val="continue"/>
                  <w:noWrap w:val="0"/>
                  <w:vAlign w:val="center"/>
                </w:tcPr>
                <w:p>
                  <w:pPr>
                    <w:pStyle w:val="42"/>
                    <w:rPr>
                      <w:rFonts w:hint="eastAsia" w:ascii="Times New Roman" w:hAnsi="Times New Roman" w:eastAsia="宋体"/>
                      <w:color w:val="auto"/>
                      <w:u w:val="none"/>
                      <w:lang w:eastAsia="zh-CN"/>
                    </w:rPr>
                  </w:pPr>
                </w:p>
              </w:tc>
              <w:tc>
                <w:tcPr>
                  <w:tcW w:w="1130" w:type="dxa"/>
                  <w:vMerge w:val="continue"/>
                  <w:noWrap w:val="0"/>
                  <w:vAlign w:val="center"/>
                </w:tcPr>
                <w:p>
                  <w:pPr>
                    <w:pStyle w:val="42"/>
                    <w:rPr>
                      <w:rFonts w:hint="eastAsia" w:ascii="Times New Roman" w:hAnsi="Times New Roman"/>
                      <w:color w:val="auto"/>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continue"/>
                  <w:noWrap w:val="0"/>
                  <w:vAlign w:val="center"/>
                </w:tcPr>
                <w:p>
                  <w:pPr>
                    <w:pStyle w:val="42"/>
                    <w:rPr>
                      <w:rFonts w:ascii="Times New Roman" w:hAnsi="Times New Roman"/>
                      <w:color w:val="auto"/>
                      <w:u w:val="none"/>
                    </w:rPr>
                  </w:pPr>
                </w:p>
              </w:tc>
              <w:tc>
                <w:tcPr>
                  <w:tcW w:w="2757" w:type="dxa"/>
                  <w:noWrap w:val="0"/>
                  <w:vAlign w:val="center"/>
                </w:tcPr>
                <w:p>
                  <w:pPr>
                    <w:pStyle w:val="42"/>
                    <w:rPr>
                      <w:rFonts w:hint="eastAsia"/>
                      <w:color w:val="auto"/>
                      <w:u w:val="none"/>
                      <w:lang w:eastAsia="zh-CN"/>
                    </w:rPr>
                  </w:pPr>
                  <w:r>
                    <w:rPr>
                      <w:rFonts w:hint="eastAsia"/>
                      <w:color w:val="auto"/>
                      <w:u w:val="none"/>
                      <w:lang w:eastAsia="zh-CN"/>
                    </w:rPr>
                    <w:t>包装废弃物</w:t>
                  </w:r>
                </w:p>
              </w:tc>
              <w:tc>
                <w:tcPr>
                  <w:tcW w:w="2834" w:type="dxa"/>
                  <w:vMerge w:val="continue"/>
                  <w:noWrap w:val="0"/>
                  <w:vAlign w:val="center"/>
                </w:tcPr>
                <w:p>
                  <w:pPr>
                    <w:pStyle w:val="42"/>
                    <w:rPr>
                      <w:rFonts w:hint="eastAsia" w:ascii="Times New Roman" w:hAnsi="Times New Roman" w:eastAsia="宋体"/>
                      <w:color w:val="auto"/>
                      <w:u w:val="none"/>
                      <w:lang w:eastAsia="zh-CN"/>
                    </w:rPr>
                  </w:pPr>
                </w:p>
              </w:tc>
              <w:tc>
                <w:tcPr>
                  <w:tcW w:w="1130" w:type="dxa"/>
                  <w:vMerge w:val="continue"/>
                  <w:noWrap w:val="0"/>
                  <w:vAlign w:val="center"/>
                </w:tcPr>
                <w:p>
                  <w:pPr>
                    <w:pStyle w:val="42"/>
                    <w:rPr>
                      <w:rFonts w:hint="eastAsia" w:ascii="Times New Roman" w:hAnsi="Times New Roman"/>
                      <w:color w:val="auto"/>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continue"/>
                  <w:noWrap w:val="0"/>
                  <w:vAlign w:val="center"/>
                </w:tcPr>
                <w:p>
                  <w:pPr>
                    <w:pStyle w:val="42"/>
                    <w:rPr>
                      <w:rFonts w:ascii="Times New Roman" w:hAnsi="Times New Roman"/>
                      <w:color w:val="auto"/>
                      <w:u w:val="none"/>
                    </w:rPr>
                  </w:pPr>
                </w:p>
              </w:tc>
              <w:tc>
                <w:tcPr>
                  <w:tcW w:w="2757" w:type="dxa"/>
                  <w:noWrap w:val="0"/>
                  <w:vAlign w:val="center"/>
                </w:tcPr>
                <w:p>
                  <w:pPr>
                    <w:spacing w:line="300" w:lineRule="exact"/>
                    <w:jc w:val="center"/>
                    <w:rPr>
                      <w:rFonts w:hint="eastAsia"/>
                      <w:color w:val="auto"/>
                      <w:u w:val="none"/>
                      <w:lang w:eastAsia="zh-CN"/>
                    </w:rPr>
                  </w:pPr>
                  <w:r>
                    <w:rPr>
                      <w:rFonts w:hint="eastAsia"/>
                      <w:color w:val="auto"/>
                      <w:szCs w:val="21"/>
                      <w:u w:val="single"/>
                    </w:rPr>
                    <w:t>机械维修废润滑油</w:t>
                  </w:r>
                </w:p>
              </w:tc>
              <w:tc>
                <w:tcPr>
                  <w:tcW w:w="2834" w:type="dxa"/>
                  <w:vMerge w:val="restart"/>
                  <w:noWrap w:val="0"/>
                  <w:vAlign w:val="center"/>
                </w:tcPr>
                <w:p>
                  <w:pPr>
                    <w:pStyle w:val="42"/>
                    <w:rPr>
                      <w:rFonts w:hint="eastAsia" w:ascii="Times New Roman" w:hAnsi="Times New Roman" w:eastAsia="宋体"/>
                      <w:color w:val="auto"/>
                      <w:u w:val="single"/>
                      <w:lang w:eastAsia="zh-CN"/>
                    </w:rPr>
                  </w:pPr>
                  <w:r>
                    <w:rPr>
                      <w:rFonts w:hint="eastAsia"/>
                      <w:color w:val="auto"/>
                      <w:u w:val="single"/>
                      <w:lang w:eastAsia="zh-CN"/>
                    </w:rPr>
                    <w:t>设置危废暂存间暂存，定期交由有资质单位回收处置</w:t>
                  </w:r>
                </w:p>
              </w:tc>
              <w:tc>
                <w:tcPr>
                  <w:tcW w:w="1130" w:type="dxa"/>
                  <w:noWrap w:val="0"/>
                  <w:vAlign w:val="center"/>
                </w:tcPr>
                <w:p>
                  <w:pPr>
                    <w:pStyle w:val="42"/>
                    <w:rPr>
                      <w:rFonts w:hint="eastAsia" w:ascii="Times New Roman" w:hAnsi="Times New Roman" w:eastAsia="宋体"/>
                      <w:color w:val="auto"/>
                      <w:u w:val="single"/>
                      <w:lang w:val="en-US" w:eastAsia="zh-CN"/>
                    </w:rPr>
                  </w:pPr>
                  <w:r>
                    <w:rPr>
                      <w:rFonts w:hint="eastAsia"/>
                      <w:color w:val="auto"/>
                      <w:u w:val="singl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1160" w:type="dxa"/>
                  <w:vMerge w:val="continue"/>
                  <w:noWrap w:val="0"/>
                  <w:vAlign w:val="center"/>
                </w:tcPr>
                <w:p>
                  <w:pPr>
                    <w:pStyle w:val="42"/>
                    <w:rPr>
                      <w:rFonts w:ascii="Times New Roman" w:hAnsi="Times New Roman"/>
                      <w:color w:val="auto"/>
                      <w:u w:val="none"/>
                    </w:rPr>
                  </w:pPr>
                </w:p>
              </w:tc>
              <w:tc>
                <w:tcPr>
                  <w:tcW w:w="2757" w:type="dxa"/>
                  <w:noWrap w:val="0"/>
                  <w:vAlign w:val="center"/>
                </w:tcPr>
                <w:p>
                  <w:pPr>
                    <w:spacing w:line="300" w:lineRule="exact"/>
                    <w:jc w:val="center"/>
                    <w:rPr>
                      <w:rFonts w:hint="eastAsia"/>
                      <w:color w:val="auto"/>
                      <w:u w:val="none"/>
                      <w:lang w:eastAsia="zh-CN"/>
                    </w:rPr>
                  </w:pPr>
                  <w:r>
                    <w:rPr>
                      <w:rFonts w:hint="eastAsia"/>
                      <w:color w:val="auto"/>
                      <w:szCs w:val="21"/>
                      <w:u w:val="single"/>
                    </w:rPr>
                    <w:t>机械维修含油废手套（抹布）</w:t>
                  </w:r>
                </w:p>
              </w:tc>
              <w:tc>
                <w:tcPr>
                  <w:tcW w:w="2834" w:type="dxa"/>
                  <w:vMerge w:val="continue"/>
                  <w:noWrap w:val="0"/>
                  <w:vAlign w:val="center"/>
                </w:tcPr>
                <w:p>
                  <w:pPr>
                    <w:pStyle w:val="42"/>
                    <w:rPr>
                      <w:rFonts w:hint="eastAsia" w:ascii="Times New Roman" w:hAnsi="Times New Roman" w:eastAsia="宋体"/>
                      <w:color w:val="auto"/>
                      <w:u w:val="none"/>
                      <w:lang w:eastAsia="zh-CN"/>
                    </w:rPr>
                  </w:pPr>
                </w:p>
              </w:tc>
              <w:tc>
                <w:tcPr>
                  <w:tcW w:w="1130" w:type="dxa"/>
                  <w:noWrap w:val="0"/>
                  <w:vAlign w:val="center"/>
                </w:tcPr>
                <w:p>
                  <w:pPr>
                    <w:pStyle w:val="42"/>
                    <w:rPr>
                      <w:rFonts w:hint="eastAsia" w:ascii="Times New Roman" w:hAnsi="Times New Roman"/>
                      <w:color w:val="auto"/>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716" w:type="dxa"/>
                  <w:vMerge w:val="continue"/>
                  <w:noWrap w:val="0"/>
                  <w:vAlign w:val="center"/>
                </w:tcPr>
                <w:p>
                  <w:pPr>
                    <w:pStyle w:val="42"/>
                    <w:rPr>
                      <w:rFonts w:ascii="Times New Roman" w:hAnsi="Times New Roman"/>
                      <w:color w:val="auto"/>
                      <w:u w:val="none"/>
                    </w:rPr>
                  </w:pPr>
                </w:p>
              </w:tc>
              <w:tc>
                <w:tcPr>
                  <w:tcW w:w="3917" w:type="dxa"/>
                  <w:gridSpan w:val="2"/>
                  <w:noWrap w:val="0"/>
                  <w:vAlign w:val="center"/>
                </w:tcPr>
                <w:p>
                  <w:pPr>
                    <w:pStyle w:val="42"/>
                    <w:rPr>
                      <w:rFonts w:hint="eastAsia"/>
                      <w:color w:val="auto"/>
                      <w:u w:val="none"/>
                      <w:lang w:eastAsia="zh-CN"/>
                    </w:rPr>
                  </w:pPr>
                  <w:r>
                    <w:rPr>
                      <w:rFonts w:hint="eastAsia"/>
                      <w:color w:val="auto"/>
                    </w:rPr>
                    <w:t>火灾风险</w:t>
                  </w:r>
                </w:p>
              </w:tc>
              <w:tc>
                <w:tcPr>
                  <w:tcW w:w="2834" w:type="dxa"/>
                  <w:noWrap w:val="0"/>
                  <w:vAlign w:val="center"/>
                </w:tcPr>
                <w:p>
                  <w:pPr>
                    <w:pStyle w:val="42"/>
                    <w:rPr>
                      <w:rFonts w:hint="eastAsia" w:ascii="Times New Roman" w:hAnsi="Times New Roman" w:eastAsia="宋体"/>
                      <w:color w:val="auto"/>
                      <w:u w:val="none"/>
                      <w:lang w:eastAsia="zh-CN"/>
                    </w:rPr>
                  </w:pPr>
                  <w:r>
                    <w:rPr>
                      <w:rFonts w:hint="eastAsia" w:ascii="Times New Roman" w:hAnsi="Times New Roman" w:eastAsia="宋体"/>
                      <w:color w:val="auto"/>
                      <w:u w:val="none"/>
                      <w:lang w:eastAsia="zh-CN"/>
                    </w:rPr>
                    <w:t>消防水池1个、灭火器</w:t>
                  </w:r>
                </w:p>
              </w:tc>
              <w:tc>
                <w:tcPr>
                  <w:tcW w:w="1130" w:type="dxa"/>
                  <w:noWrap w:val="0"/>
                  <w:vAlign w:val="center"/>
                </w:tcPr>
                <w:p>
                  <w:pPr>
                    <w:pStyle w:val="42"/>
                    <w:rPr>
                      <w:rFonts w:hint="eastAsia" w:ascii="Times New Roman" w:hAnsi="Times New Roman" w:eastAsia="宋体"/>
                      <w:color w:val="auto"/>
                      <w:u w:val="none"/>
                      <w:lang w:val="en-US" w:eastAsia="zh-CN"/>
                    </w:rPr>
                  </w:pPr>
                  <w:r>
                    <w:rPr>
                      <w:rFonts w:hint="eastAsia"/>
                      <w:color w:val="auto"/>
                      <w:u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56" w:hRule="atLeast"/>
                <w:jc w:val="center"/>
              </w:trPr>
              <w:tc>
                <w:tcPr>
                  <w:tcW w:w="716" w:type="dxa"/>
                  <w:noWrap w:val="0"/>
                  <w:vAlign w:val="center"/>
                </w:tcPr>
                <w:p>
                  <w:pPr>
                    <w:pStyle w:val="42"/>
                    <w:rPr>
                      <w:rFonts w:ascii="Times New Roman" w:hAnsi="Times New Roman"/>
                      <w:color w:val="auto"/>
                      <w:u w:val="none"/>
                    </w:rPr>
                  </w:pPr>
                </w:p>
              </w:tc>
              <w:tc>
                <w:tcPr>
                  <w:tcW w:w="6751" w:type="dxa"/>
                  <w:gridSpan w:val="3"/>
                  <w:noWrap w:val="0"/>
                  <w:vAlign w:val="center"/>
                </w:tcPr>
                <w:p>
                  <w:pPr>
                    <w:pStyle w:val="42"/>
                    <w:rPr>
                      <w:rFonts w:ascii="Times New Roman" w:hAnsi="Times New Roman"/>
                      <w:color w:val="auto"/>
                      <w:u w:val="none"/>
                    </w:rPr>
                  </w:pPr>
                  <w:r>
                    <w:rPr>
                      <w:rFonts w:ascii="Times New Roman" w:hAnsi="Times New Roman"/>
                      <w:color w:val="auto"/>
                      <w:u w:val="none"/>
                    </w:rPr>
                    <w:t>合计</w:t>
                  </w:r>
                </w:p>
              </w:tc>
              <w:tc>
                <w:tcPr>
                  <w:tcW w:w="1130" w:type="dxa"/>
                  <w:noWrap w:val="0"/>
                  <w:vAlign w:val="center"/>
                </w:tcPr>
                <w:p>
                  <w:pPr>
                    <w:pStyle w:val="42"/>
                    <w:rPr>
                      <w:rFonts w:hint="default" w:ascii="Times New Roman" w:hAnsi="Times New Roman" w:eastAsia="宋体"/>
                      <w:color w:val="auto"/>
                      <w:u w:val="none"/>
                      <w:lang w:val="en-US" w:eastAsia="zh-CN"/>
                    </w:rPr>
                  </w:pPr>
                  <w:r>
                    <w:rPr>
                      <w:rFonts w:hint="eastAsia"/>
                      <w:color w:val="auto"/>
                      <w:u w:val="single"/>
                      <w:lang w:val="en-US" w:eastAsia="zh-CN"/>
                    </w:rPr>
                    <w:t>53</w:t>
                  </w:r>
                </w:p>
              </w:tc>
            </w:tr>
          </w:tbl>
          <w:p>
            <w:pPr>
              <w:rPr>
                <w:rFonts w:hint="eastAsia" w:ascii="Times New Roman" w:hAnsi="Times New Roman"/>
                <w:b/>
                <w:color w:val="auto"/>
                <w:sz w:val="28"/>
                <w:szCs w:val="28"/>
              </w:rPr>
            </w:pPr>
            <w:r>
              <w:rPr>
                <w:rFonts w:hint="eastAsia"/>
                <w:b/>
                <w:color w:val="auto"/>
                <w:sz w:val="28"/>
                <w:szCs w:val="28"/>
                <w:lang w:val="en-US" w:eastAsia="zh-CN"/>
              </w:rPr>
              <w:t>9</w:t>
            </w:r>
            <w:r>
              <w:rPr>
                <w:rFonts w:hint="eastAsia" w:ascii="Times New Roman" w:hAnsi="Times New Roman"/>
                <w:b/>
                <w:color w:val="auto"/>
                <w:sz w:val="28"/>
                <w:szCs w:val="28"/>
              </w:rPr>
              <w:t xml:space="preserve"> “三同时”竣工验收</w:t>
            </w:r>
          </w:p>
          <w:p>
            <w:pPr>
              <w:spacing w:line="360" w:lineRule="auto"/>
              <w:ind w:firstLine="480" w:firstLineChars="200"/>
              <w:rPr>
                <w:rFonts w:hint="eastAsia" w:ascii="Times New Roman" w:hAnsi="Times New Roman"/>
                <w:b/>
                <w:color w:val="auto"/>
              </w:rPr>
            </w:pPr>
            <w:r>
              <w:rPr>
                <w:rFonts w:hint="eastAsia" w:ascii="Times New Roman" w:hAnsi="Times New Roman"/>
                <w:color w:val="auto"/>
                <w:sz w:val="24"/>
                <w:szCs w:val="24"/>
              </w:rPr>
              <w:t>工程建设必须严格执行环境保护“三同时”的制度，各项环保措施必须同时设计、同时施工、同时投入运行。本项目环境保护设施“三同时”竣工验收项目见表7-</w:t>
            </w:r>
            <w:r>
              <w:rPr>
                <w:rFonts w:ascii="Times New Roman" w:hAnsi="Times New Roman"/>
                <w:color w:val="auto"/>
                <w:sz w:val="24"/>
                <w:szCs w:val="24"/>
              </w:rPr>
              <w:t>2</w:t>
            </w:r>
            <w:r>
              <w:rPr>
                <w:rFonts w:hint="eastAsia"/>
                <w:color w:val="auto"/>
                <w:sz w:val="24"/>
                <w:szCs w:val="24"/>
                <w:lang w:val="en-US" w:eastAsia="zh-CN"/>
              </w:rPr>
              <w:t>7</w:t>
            </w:r>
            <w:r>
              <w:rPr>
                <w:rFonts w:hint="eastAsia" w:ascii="Times New Roman" w:hAnsi="Times New Roman"/>
                <w:color w:val="auto"/>
                <w:sz w:val="24"/>
                <w:szCs w:val="24"/>
              </w:rPr>
              <w:t>。</w:t>
            </w:r>
          </w:p>
          <w:p>
            <w:pPr>
              <w:jc w:val="center"/>
              <w:rPr>
                <w:rFonts w:hint="eastAsia" w:ascii="Times New Roman" w:hAnsi="Times New Roman"/>
                <w:b/>
                <w:color w:val="auto"/>
              </w:rPr>
            </w:pPr>
            <w:r>
              <w:rPr>
                <w:rFonts w:hint="eastAsia" w:ascii="Times New Roman" w:hAnsi="Times New Roman"/>
                <w:b/>
                <w:color w:val="auto"/>
              </w:rPr>
              <w:t>表7-</w:t>
            </w:r>
            <w:r>
              <w:rPr>
                <w:rFonts w:ascii="Times New Roman" w:hAnsi="Times New Roman"/>
                <w:b/>
                <w:color w:val="auto"/>
              </w:rPr>
              <w:t>2</w:t>
            </w:r>
            <w:r>
              <w:rPr>
                <w:rFonts w:hint="eastAsia"/>
                <w:b/>
                <w:color w:val="auto"/>
                <w:lang w:val="en-US" w:eastAsia="zh-CN"/>
              </w:rPr>
              <w:t>7</w:t>
            </w:r>
            <w:r>
              <w:rPr>
                <w:rFonts w:hint="eastAsia" w:ascii="Times New Roman" w:hAnsi="Times New Roman"/>
                <w:b/>
                <w:color w:val="auto"/>
              </w:rPr>
              <w:t>：“三同时”竣工验收一览表</w:t>
            </w:r>
          </w:p>
          <w:tbl>
            <w:tblPr>
              <w:tblStyle w:val="22"/>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90"/>
              <w:gridCol w:w="1596"/>
              <w:gridCol w:w="1090"/>
              <w:gridCol w:w="1323"/>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64" w:type="dxa"/>
                  <w:gridSpan w:val="2"/>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治理对象</w:t>
                  </w:r>
                </w:p>
              </w:tc>
              <w:tc>
                <w:tcPr>
                  <w:tcW w:w="1596"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污染物名称</w:t>
                  </w:r>
                </w:p>
              </w:tc>
              <w:tc>
                <w:tcPr>
                  <w:tcW w:w="2413" w:type="dxa"/>
                  <w:gridSpan w:val="2"/>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治理措施</w:t>
                  </w:r>
                </w:p>
              </w:tc>
              <w:tc>
                <w:tcPr>
                  <w:tcW w:w="2745"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74" w:type="dxa"/>
                  <w:vMerge w:val="restart"/>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废水</w:t>
                  </w:r>
                </w:p>
              </w:tc>
              <w:tc>
                <w:tcPr>
                  <w:tcW w:w="1290" w:type="dxa"/>
                  <w:noWrap w:val="0"/>
                  <w:vAlign w:val="center"/>
                </w:tcPr>
                <w:p>
                  <w:pPr>
                    <w:jc w:val="center"/>
                    <w:rPr>
                      <w:color w:val="auto"/>
                      <w:szCs w:val="21"/>
                    </w:rPr>
                  </w:pPr>
                  <w:r>
                    <w:rPr>
                      <w:color w:val="auto"/>
                      <w:kern w:val="0"/>
                      <w:szCs w:val="21"/>
                    </w:rPr>
                    <w:t>生活污水</w:t>
                  </w:r>
                </w:p>
              </w:tc>
              <w:tc>
                <w:tcPr>
                  <w:tcW w:w="1596"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COD、BOD</w:t>
                  </w:r>
                  <w:r>
                    <w:rPr>
                      <w:rFonts w:ascii="Times New Roman" w:hAnsi="Times New Roman" w:eastAsia="宋体" w:cs="Times New Roman"/>
                      <w:color w:val="auto"/>
                      <w:sz w:val="21"/>
                      <w:szCs w:val="21"/>
                      <w:vertAlign w:val="subscript"/>
                    </w:rPr>
                    <w:t>5</w:t>
                  </w:r>
                  <w:r>
                    <w:rPr>
                      <w:rFonts w:ascii="Times New Roman" w:hAnsi="Times New Roman" w:eastAsia="宋体" w:cs="Times New Roman"/>
                      <w:color w:val="auto"/>
                      <w:sz w:val="21"/>
                      <w:szCs w:val="21"/>
                    </w:rPr>
                    <w:t>、SS、氨氮</w:t>
                  </w:r>
                </w:p>
              </w:tc>
              <w:tc>
                <w:tcPr>
                  <w:tcW w:w="2413" w:type="dxa"/>
                  <w:gridSpan w:val="2"/>
                  <w:noWrap w:val="0"/>
                  <w:vAlign w:val="center"/>
                </w:tcPr>
                <w:p>
                  <w:pPr>
                    <w:pStyle w:val="8"/>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u w:val="single"/>
                      <w:lang w:eastAsia="zh-CN"/>
                    </w:rPr>
                    <w:t>依托周边居民卫生间，厂内无生活污水产生</w:t>
                  </w:r>
                </w:p>
              </w:tc>
              <w:tc>
                <w:tcPr>
                  <w:tcW w:w="2745" w:type="dxa"/>
                  <w:noWrap w:val="0"/>
                  <w:vAlign w:val="center"/>
                </w:tcPr>
                <w:p>
                  <w:pPr>
                    <w:pStyle w:val="8"/>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pStyle w:val="59"/>
                    <w:spacing w:before="0"/>
                    <w:rPr>
                      <w:rFonts w:ascii="Times New Roman"/>
                      <w:color w:val="auto"/>
                      <w:sz w:val="21"/>
                      <w:szCs w:val="21"/>
                    </w:rPr>
                  </w:pPr>
                  <w:r>
                    <w:rPr>
                      <w:rFonts w:hint="eastAsia" w:ascii="Times New Roman"/>
                      <w:color w:val="auto"/>
                      <w:sz w:val="21"/>
                      <w:szCs w:val="21"/>
                    </w:rPr>
                    <w:t>水膜</w:t>
                  </w:r>
                  <w:r>
                    <w:rPr>
                      <w:rFonts w:ascii="Times New Roman"/>
                      <w:color w:val="auto"/>
                      <w:sz w:val="21"/>
                      <w:szCs w:val="21"/>
                    </w:rPr>
                    <w:t>除尘废水</w:t>
                  </w:r>
                </w:p>
              </w:tc>
              <w:tc>
                <w:tcPr>
                  <w:tcW w:w="1596"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SS</w:t>
                  </w:r>
                </w:p>
              </w:tc>
              <w:tc>
                <w:tcPr>
                  <w:tcW w:w="2413" w:type="dxa"/>
                  <w:gridSpan w:val="2"/>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循环使用，不外排</w:t>
                  </w:r>
                </w:p>
              </w:tc>
              <w:tc>
                <w:tcPr>
                  <w:tcW w:w="2745"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pStyle w:val="59"/>
                    <w:spacing w:before="0"/>
                    <w:rPr>
                      <w:rFonts w:hint="eastAsia" w:ascii="Times New Roman"/>
                      <w:color w:val="auto"/>
                      <w:sz w:val="21"/>
                      <w:szCs w:val="21"/>
                      <w:lang w:eastAsia="zh-CN"/>
                    </w:rPr>
                  </w:pPr>
                  <w:r>
                    <w:rPr>
                      <w:rFonts w:hint="eastAsia" w:ascii="Times New Roman"/>
                      <w:color w:val="auto"/>
                      <w:sz w:val="21"/>
                      <w:szCs w:val="21"/>
                      <w:lang w:eastAsia="zh-CN"/>
                    </w:rPr>
                    <w:t>产品冷却水</w:t>
                  </w:r>
                </w:p>
              </w:tc>
              <w:tc>
                <w:tcPr>
                  <w:tcW w:w="1596"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SS</w:t>
                  </w:r>
                </w:p>
              </w:tc>
              <w:tc>
                <w:tcPr>
                  <w:tcW w:w="2413" w:type="dxa"/>
                  <w:gridSpan w:val="2"/>
                  <w:noWrap w:val="0"/>
                  <w:vAlign w:val="center"/>
                </w:tcPr>
                <w:p>
                  <w:pPr>
                    <w:pStyle w:val="8"/>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循环使用，不外排</w:t>
                  </w:r>
                </w:p>
              </w:tc>
              <w:tc>
                <w:tcPr>
                  <w:tcW w:w="2745" w:type="dxa"/>
                  <w:noWrap w:val="0"/>
                  <w:vAlign w:val="center"/>
                </w:tcPr>
                <w:p>
                  <w:pPr>
                    <w:pStyle w:val="8"/>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74" w:type="dxa"/>
                  <w:vMerge w:val="restart"/>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w:t>
                  </w:r>
                </w:p>
              </w:tc>
              <w:tc>
                <w:tcPr>
                  <w:tcW w:w="1290"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粉碎粉尘</w:t>
                  </w:r>
                </w:p>
              </w:tc>
              <w:tc>
                <w:tcPr>
                  <w:tcW w:w="1596" w:type="dxa"/>
                  <w:vMerge w:val="restart"/>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、TSP、NO</w:t>
                  </w:r>
                  <w:r>
                    <w:rPr>
                      <w:rFonts w:ascii="Times New Roman" w:hAnsi="Times New Roman" w:eastAsia="宋体" w:cs="Times New Roman"/>
                      <w:color w:val="auto"/>
                      <w:sz w:val="21"/>
                      <w:szCs w:val="21"/>
                      <w:vertAlign w:val="subscript"/>
                    </w:rPr>
                    <w:t>X</w:t>
                  </w:r>
                </w:p>
              </w:tc>
              <w:tc>
                <w:tcPr>
                  <w:tcW w:w="2413" w:type="dxa"/>
                  <w:gridSpan w:val="2"/>
                  <w:vMerge w:val="restart"/>
                  <w:noWrap w:val="0"/>
                  <w:vAlign w:val="center"/>
                </w:tcPr>
                <w:p>
                  <w:pPr>
                    <w:pStyle w:val="8"/>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水膜</w:t>
                  </w:r>
                  <w:r>
                    <w:rPr>
                      <w:rFonts w:ascii="Times New Roman" w:hAnsi="Times New Roman" w:eastAsia="宋体" w:cs="Times New Roman"/>
                      <w:color w:val="auto"/>
                      <w:sz w:val="21"/>
                      <w:szCs w:val="21"/>
                    </w:rPr>
                    <w:t>除尘</w:t>
                  </w:r>
                  <w:r>
                    <w:rPr>
                      <w:rFonts w:hint="eastAsia" w:ascii="Times New Roman" w:hAnsi="Times New Roman" w:eastAsia="宋体" w:cs="Times New Roman"/>
                      <w:color w:val="auto"/>
                      <w:sz w:val="21"/>
                      <w:szCs w:val="21"/>
                      <w:lang w:val="en-US" w:eastAsia="zh-CN"/>
                    </w:rPr>
                    <w:t>+静电除尘器</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15</w:t>
                  </w:r>
                  <w:r>
                    <w:rPr>
                      <w:rFonts w:ascii="Times New Roman" w:hAnsi="Times New Roman" w:eastAsia="宋体" w:cs="Times New Roman"/>
                      <w:color w:val="auto"/>
                      <w:sz w:val="21"/>
                      <w:szCs w:val="21"/>
                    </w:rPr>
                    <w:t>m排气筒</w:t>
                  </w:r>
                </w:p>
              </w:tc>
              <w:tc>
                <w:tcPr>
                  <w:tcW w:w="2745" w:type="dxa"/>
                  <w:vMerge w:val="restart"/>
                  <w:noWrap w:val="0"/>
                  <w:vAlign w:val="center"/>
                </w:tcPr>
                <w:p>
                  <w:pPr>
                    <w:jc w:val="center"/>
                    <w:rPr>
                      <w:color w:val="auto"/>
                      <w:szCs w:val="21"/>
                    </w:rPr>
                  </w:pPr>
                  <w:r>
                    <w:rPr>
                      <w:color w:val="auto"/>
                      <w:szCs w:val="21"/>
                    </w:rPr>
                    <w:t>TSP满足《工业炉窑大气污染物排放标准》（GB9078-1996）表2中二级排放标准；SO</w:t>
                  </w:r>
                  <w:r>
                    <w:rPr>
                      <w:color w:val="auto"/>
                      <w:szCs w:val="21"/>
                      <w:vertAlign w:val="subscript"/>
                    </w:rPr>
                    <w:t>2</w:t>
                  </w:r>
                  <w:r>
                    <w:rPr>
                      <w:color w:val="auto"/>
                      <w:szCs w:val="21"/>
                    </w:rPr>
                    <w:t>、NO</w:t>
                  </w:r>
                  <w:r>
                    <w:rPr>
                      <w:color w:val="auto"/>
                      <w:szCs w:val="21"/>
                      <w:vertAlign w:val="subscript"/>
                    </w:rPr>
                    <w:t>X</w:t>
                  </w:r>
                  <w:r>
                    <w:rPr>
                      <w:color w:val="auto"/>
                      <w:szCs w:val="21"/>
                    </w:rPr>
                    <w:t>满足《大气污染物综合排放标准》（GB16297-1996）表2标准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烘干废气</w:t>
                  </w:r>
                </w:p>
              </w:tc>
              <w:tc>
                <w:tcPr>
                  <w:tcW w:w="1596"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2413" w:type="dxa"/>
                  <w:gridSpan w:val="2"/>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2745" w:type="dxa"/>
                  <w:vMerge w:val="continue"/>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rPr>
                  </w:pPr>
                </w:p>
              </w:tc>
              <w:tc>
                <w:tcPr>
                  <w:tcW w:w="1290"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炭化废气</w:t>
                  </w:r>
                </w:p>
              </w:tc>
              <w:tc>
                <w:tcPr>
                  <w:tcW w:w="1596"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2413" w:type="dxa"/>
                  <w:gridSpan w:val="2"/>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2745"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制棒废气</w:t>
                  </w:r>
                </w:p>
              </w:tc>
              <w:tc>
                <w:tcPr>
                  <w:tcW w:w="1596"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2413" w:type="dxa"/>
                  <w:gridSpan w:val="2"/>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2745"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4"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噪声</w:t>
                  </w:r>
                </w:p>
              </w:tc>
              <w:tc>
                <w:tcPr>
                  <w:tcW w:w="1290"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厂界噪声</w:t>
                  </w:r>
                </w:p>
              </w:tc>
              <w:tc>
                <w:tcPr>
                  <w:tcW w:w="1596"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设备噪声</w:t>
                  </w:r>
                </w:p>
              </w:tc>
              <w:tc>
                <w:tcPr>
                  <w:tcW w:w="2413" w:type="dxa"/>
                  <w:gridSpan w:val="2"/>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低噪声设备、厂房隔音、基础减震、产区绿化等</w:t>
                  </w:r>
                </w:p>
              </w:tc>
              <w:tc>
                <w:tcPr>
                  <w:tcW w:w="2745" w:type="dxa"/>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《工业企业厂界环境噪声排放标准》（GB12348-2008）中的2类标准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vMerge w:val="restart"/>
                  <w:noWrap w:val="0"/>
                  <w:vAlign w:val="center"/>
                </w:tcPr>
                <w:p>
                  <w:pPr>
                    <w:pStyle w:val="8"/>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固体废物</w:t>
                  </w:r>
                </w:p>
              </w:tc>
              <w:tc>
                <w:tcPr>
                  <w:tcW w:w="1290" w:type="dxa"/>
                  <w:noWrap w:val="0"/>
                  <w:vAlign w:val="center"/>
                </w:tcPr>
                <w:p>
                  <w:pPr>
                    <w:adjustRightInd w:val="0"/>
                    <w:snapToGrid w:val="0"/>
                    <w:jc w:val="center"/>
                    <w:rPr>
                      <w:color w:val="auto"/>
                      <w:szCs w:val="21"/>
                    </w:rPr>
                  </w:pPr>
                  <w:r>
                    <w:rPr>
                      <w:bCs/>
                      <w:color w:val="auto"/>
                      <w:szCs w:val="21"/>
                    </w:rPr>
                    <w:t>烘干炉渣</w:t>
                  </w:r>
                </w:p>
              </w:tc>
              <w:tc>
                <w:tcPr>
                  <w:tcW w:w="1596" w:type="dxa"/>
                  <w:noWrap w:val="0"/>
                  <w:vAlign w:val="center"/>
                </w:tcPr>
                <w:p>
                  <w:pPr>
                    <w:adjustRightInd w:val="0"/>
                    <w:snapToGrid w:val="0"/>
                    <w:jc w:val="center"/>
                    <w:rPr>
                      <w:color w:val="auto"/>
                      <w:szCs w:val="21"/>
                    </w:rPr>
                  </w:pPr>
                  <w:r>
                    <w:rPr>
                      <w:bCs/>
                      <w:color w:val="auto"/>
                      <w:szCs w:val="21"/>
                    </w:rPr>
                    <w:t>烘干炉渣</w:t>
                  </w:r>
                </w:p>
              </w:tc>
              <w:tc>
                <w:tcPr>
                  <w:tcW w:w="2413" w:type="dxa"/>
                  <w:gridSpan w:val="2"/>
                  <w:noWrap w:val="0"/>
                  <w:vAlign w:val="center"/>
                </w:tcPr>
                <w:p>
                  <w:pPr>
                    <w:widowControl/>
                    <w:jc w:val="center"/>
                    <w:rPr>
                      <w:color w:val="auto"/>
                      <w:szCs w:val="21"/>
                    </w:rPr>
                  </w:pPr>
                  <w:r>
                    <w:rPr>
                      <w:color w:val="auto"/>
                      <w:kern w:val="0"/>
                      <w:szCs w:val="21"/>
                    </w:rPr>
                    <w:t>收集后送附近农户作农肥</w:t>
                  </w:r>
                </w:p>
              </w:tc>
              <w:tc>
                <w:tcPr>
                  <w:tcW w:w="2745" w:type="dxa"/>
                  <w:vMerge w:val="restart"/>
                  <w:noWrap w:val="0"/>
                  <w:vAlign w:val="center"/>
                </w:tcPr>
                <w:p>
                  <w:pPr>
                    <w:widowControl/>
                    <w:jc w:val="center"/>
                    <w:rPr>
                      <w:color w:val="auto"/>
                      <w:szCs w:val="21"/>
                    </w:rPr>
                  </w:pPr>
                  <w:r>
                    <w:rPr>
                      <w:color w:val="auto"/>
                      <w:spacing w:val="3"/>
                      <w:szCs w:val="21"/>
                    </w:rPr>
                    <w:t>合理处置，不产生二次污染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adjustRightInd w:val="0"/>
                    <w:snapToGrid w:val="0"/>
                    <w:jc w:val="center"/>
                    <w:rPr>
                      <w:color w:val="auto"/>
                      <w:szCs w:val="21"/>
                    </w:rPr>
                  </w:pPr>
                  <w:r>
                    <w:rPr>
                      <w:bCs/>
                      <w:color w:val="auto"/>
                      <w:szCs w:val="21"/>
                    </w:rPr>
                    <w:t>沉淀池沉渣</w:t>
                  </w:r>
                </w:p>
              </w:tc>
              <w:tc>
                <w:tcPr>
                  <w:tcW w:w="1596" w:type="dxa"/>
                  <w:noWrap w:val="0"/>
                  <w:vAlign w:val="center"/>
                </w:tcPr>
                <w:p>
                  <w:pPr>
                    <w:adjustRightInd w:val="0"/>
                    <w:snapToGrid w:val="0"/>
                    <w:jc w:val="center"/>
                    <w:rPr>
                      <w:color w:val="auto"/>
                      <w:szCs w:val="21"/>
                    </w:rPr>
                  </w:pPr>
                  <w:r>
                    <w:rPr>
                      <w:bCs/>
                      <w:color w:val="auto"/>
                      <w:szCs w:val="21"/>
                    </w:rPr>
                    <w:t>沉淀池沉渣</w:t>
                  </w:r>
                </w:p>
              </w:tc>
              <w:tc>
                <w:tcPr>
                  <w:tcW w:w="2413" w:type="dxa"/>
                  <w:gridSpan w:val="2"/>
                  <w:noWrap w:val="0"/>
                  <w:vAlign w:val="center"/>
                </w:tcPr>
                <w:p>
                  <w:pPr>
                    <w:widowControl/>
                    <w:jc w:val="center"/>
                    <w:rPr>
                      <w:rFonts w:hint="eastAsia" w:eastAsia="宋体"/>
                      <w:color w:val="auto"/>
                      <w:szCs w:val="21"/>
                      <w:lang w:eastAsia="zh-CN"/>
                    </w:rPr>
                  </w:pPr>
                  <w:r>
                    <w:rPr>
                      <w:rFonts w:hint="eastAsia"/>
                      <w:color w:val="auto"/>
                      <w:lang w:eastAsia="zh-CN"/>
                    </w:rPr>
                    <w:t>自然干化后回用</w:t>
                  </w:r>
                </w:p>
              </w:tc>
              <w:tc>
                <w:tcPr>
                  <w:tcW w:w="2745" w:type="dxa"/>
                  <w:vMerge w:val="continue"/>
                  <w:noWrap w:val="0"/>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adjustRightInd w:val="0"/>
                    <w:snapToGrid w:val="0"/>
                    <w:jc w:val="center"/>
                    <w:rPr>
                      <w:rFonts w:hint="eastAsia" w:eastAsia="宋体"/>
                      <w:color w:val="auto"/>
                      <w:szCs w:val="21"/>
                      <w:lang w:eastAsia="zh-CN"/>
                    </w:rPr>
                  </w:pPr>
                  <w:r>
                    <w:rPr>
                      <w:rFonts w:hint="eastAsia"/>
                      <w:color w:val="auto"/>
                      <w:kern w:val="0"/>
                      <w:szCs w:val="21"/>
                      <w:lang w:eastAsia="zh-CN"/>
                    </w:rPr>
                    <w:t>残次品</w:t>
                  </w:r>
                </w:p>
              </w:tc>
              <w:tc>
                <w:tcPr>
                  <w:tcW w:w="1596" w:type="dxa"/>
                  <w:noWrap w:val="0"/>
                  <w:vAlign w:val="center"/>
                </w:tcPr>
                <w:p>
                  <w:pPr>
                    <w:adjustRightInd w:val="0"/>
                    <w:snapToGrid w:val="0"/>
                    <w:jc w:val="center"/>
                    <w:rPr>
                      <w:color w:val="auto"/>
                      <w:szCs w:val="21"/>
                    </w:rPr>
                  </w:pPr>
                  <w:r>
                    <w:rPr>
                      <w:rFonts w:hint="eastAsia"/>
                      <w:color w:val="auto"/>
                      <w:kern w:val="0"/>
                      <w:szCs w:val="21"/>
                      <w:lang w:eastAsia="zh-CN"/>
                    </w:rPr>
                    <w:t>残次品</w:t>
                  </w:r>
                </w:p>
              </w:tc>
              <w:tc>
                <w:tcPr>
                  <w:tcW w:w="2413" w:type="dxa"/>
                  <w:gridSpan w:val="2"/>
                  <w:noWrap w:val="0"/>
                  <w:vAlign w:val="center"/>
                </w:tcPr>
                <w:p>
                  <w:pPr>
                    <w:widowControl/>
                    <w:jc w:val="center"/>
                    <w:rPr>
                      <w:rFonts w:hint="eastAsia" w:eastAsia="宋体"/>
                      <w:color w:val="auto"/>
                      <w:szCs w:val="21"/>
                      <w:lang w:eastAsia="zh-CN"/>
                    </w:rPr>
                  </w:pPr>
                  <w:r>
                    <w:rPr>
                      <w:rFonts w:hint="eastAsia"/>
                      <w:color w:val="auto"/>
                      <w:lang w:eastAsia="zh-CN"/>
                    </w:rPr>
                    <w:t>用作烘干炉燃料燃烧</w:t>
                  </w:r>
                </w:p>
              </w:tc>
              <w:tc>
                <w:tcPr>
                  <w:tcW w:w="2745" w:type="dxa"/>
                  <w:vMerge w:val="continue"/>
                  <w:noWrap w:val="0"/>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adjustRightInd w:val="0"/>
                    <w:snapToGrid w:val="0"/>
                    <w:jc w:val="center"/>
                    <w:rPr>
                      <w:color w:val="auto"/>
                      <w:szCs w:val="21"/>
                    </w:rPr>
                  </w:pPr>
                  <w:r>
                    <w:rPr>
                      <w:rFonts w:hint="eastAsia"/>
                      <w:color w:val="auto"/>
                      <w:kern w:val="0"/>
                      <w:szCs w:val="21"/>
                      <w:lang w:eastAsia="zh-CN"/>
                    </w:rPr>
                    <w:t>静电除尘器</w:t>
                  </w:r>
                  <w:r>
                    <w:rPr>
                      <w:color w:val="auto"/>
                      <w:kern w:val="0"/>
                      <w:szCs w:val="21"/>
                    </w:rPr>
                    <w:t>收尘灰</w:t>
                  </w:r>
                </w:p>
              </w:tc>
              <w:tc>
                <w:tcPr>
                  <w:tcW w:w="1596" w:type="dxa"/>
                  <w:noWrap w:val="0"/>
                  <w:vAlign w:val="center"/>
                </w:tcPr>
                <w:p>
                  <w:pPr>
                    <w:adjustRightInd w:val="0"/>
                    <w:snapToGrid w:val="0"/>
                    <w:jc w:val="center"/>
                    <w:rPr>
                      <w:color w:val="auto"/>
                      <w:szCs w:val="21"/>
                    </w:rPr>
                  </w:pPr>
                  <w:r>
                    <w:rPr>
                      <w:color w:val="auto"/>
                      <w:kern w:val="0"/>
                      <w:szCs w:val="21"/>
                    </w:rPr>
                    <w:t>收尘灰</w:t>
                  </w:r>
                </w:p>
              </w:tc>
              <w:tc>
                <w:tcPr>
                  <w:tcW w:w="2413" w:type="dxa"/>
                  <w:gridSpan w:val="2"/>
                  <w:noWrap w:val="0"/>
                  <w:vAlign w:val="center"/>
                </w:tcPr>
                <w:p>
                  <w:pPr>
                    <w:widowControl/>
                    <w:jc w:val="center"/>
                    <w:rPr>
                      <w:rFonts w:hint="eastAsia" w:eastAsia="宋体"/>
                      <w:color w:val="auto"/>
                      <w:szCs w:val="21"/>
                      <w:lang w:eastAsia="zh-CN"/>
                    </w:rPr>
                  </w:pPr>
                  <w:r>
                    <w:rPr>
                      <w:rFonts w:hint="eastAsia"/>
                      <w:color w:val="auto"/>
                      <w:lang w:eastAsia="zh-CN"/>
                    </w:rPr>
                    <w:t>回用于生产</w:t>
                  </w:r>
                </w:p>
              </w:tc>
              <w:tc>
                <w:tcPr>
                  <w:tcW w:w="2745" w:type="dxa"/>
                  <w:vMerge w:val="continue"/>
                  <w:noWrap w:val="0"/>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adjustRightInd w:val="0"/>
                    <w:snapToGrid w:val="0"/>
                    <w:jc w:val="center"/>
                    <w:rPr>
                      <w:color w:val="auto"/>
                      <w:szCs w:val="21"/>
                    </w:rPr>
                  </w:pPr>
                  <w:r>
                    <w:rPr>
                      <w:bCs/>
                      <w:color w:val="auto"/>
                      <w:szCs w:val="21"/>
                    </w:rPr>
                    <w:t>生活垃圾</w:t>
                  </w:r>
                </w:p>
              </w:tc>
              <w:tc>
                <w:tcPr>
                  <w:tcW w:w="1596" w:type="dxa"/>
                  <w:noWrap w:val="0"/>
                  <w:vAlign w:val="center"/>
                </w:tcPr>
                <w:p>
                  <w:pPr>
                    <w:adjustRightInd w:val="0"/>
                    <w:snapToGrid w:val="0"/>
                    <w:jc w:val="center"/>
                    <w:rPr>
                      <w:color w:val="auto"/>
                      <w:szCs w:val="21"/>
                    </w:rPr>
                  </w:pPr>
                  <w:r>
                    <w:rPr>
                      <w:bCs/>
                      <w:color w:val="auto"/>
                      <w:szCs w:val="21"/>
                    </w:rPr>
                    <w:t>生活垃圾</w:t>
                  </w:r>
                </w:p>
              </w:tc>
              <w:tc>
                <w:tcPr>
                  <w:tcW w:w="2413" w:type="dxa"/>
                  <w:gridSpan w:val="2"/>
                  <w:noWrap w:val="0"/>
                  <w:vAlign w:val="center"/>
                </w:tcPr>
                <w:p>
                  <w:pPr>
                    <w:widowControl/>
                    <w:jc w:val="center"/>
                    <w:rPr>
                      <w:color w:val="auto"/>
                      <w:szCs w:val="21"/>
                    </w:rPr>
                  </w:pPr>
                  <w:r>
                    <w:rPr>
                      <w:color w:val="auto"/>
                      <w:kern w:val="0"/>
                      <w:szCs w:val="21"/>
                    </w:rPr>
                    <w:t>集中收集，由环卫部门统一清运处理</w:t>
                  </w:r>
                </w:p>
              </w:tc>
              <w:tc>
                <w:tcPr>
                  <w:tcW w:w="2745" w:type="dxa"/>
                  <w:vMerge w:val="continue"/>
                  <w:noWrap w:val="0"/>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包装</w:t>
                  </w:r>
                </w:p>
              </w:tc>
              <w:tc>
                <w:tcPr>
                  <w:tcW w:w="1596" w:type="dxa"/>
                  <w:noWrap w:val="0"/>
                  <w:vAlign w:val="center"/>
                </w:tcPr>
                <w:p>
                  <w:pPr>
                    <w:adjustRightInd w:val="0"/>
                    <w:snapToGrid w:val="0"/>
                    <w:jc w:val="center"/>
                    <w:rPr>
                      <w:bCs/>
                      <w:color w:val="auto"/>
                      <w:szCs w:val="21"/>
                    </w:rPr>
                  </w:pPr>
                  <w:r>
                    <w:rPr>
                      <w:rFonts w:hint="eastAsia"/>
                      <w:bCs/>
                      <w:color w:val="auto"/>
                      <w:szCs w:val="21"/>
                      <w:lang w:eastAsia="zh-CN"/>
                    </w:rPr>
                    <w:t>包装废弃物</w:t>
                  </w:r>
                </w:p>
              </w:tc>
              <w:tc>
                <w:tcPr>
                  <w:tcW w:w="2413" w:type="dxa"/>
                  <w:gridSpan w:val="2"/>
                  <w:noWrap w:val="0"/>
                  <w:vAlign w:val="center"/>
                </w:tcPr>
                <w:p>
                  <w:pPr>
                    <w:widowControl/>
                    <w:jc w:val="center"/>
                    <w:rPr>
                      <w:color w:val="auto"/>
                      <w:kern w:val="0"/>
                      <w:szCs w:val="21"/>
                    </w:rPr>
                  </w:pPr>
                  <w:r>
                    <w:rPr>
                      <w:color w:val="auto"/>
                      <w:szCs w:val="21"/>
                    </w:rPr>
                    <w:t>外售废品收购站</w:t>
                  </w:r>
                </w:p>
              </w:tc>
              <w:tc>
                <w:tcPr>
                  <w:tcW w:w="2745" w:type="dxa"/>
                  <w:vMerge w:val="continue"/>
                  <w:noWrap w:val="0"/>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noWrap w:val="0"/>
                  <w:vAlign w:val="center"/>
                </w:tcPr>
                <w:p>
                  <w:pPr>
                    <w:adjustRightInd w:val="0"/>
                    <w:snapToGrid w:val="0"/>
                    <w:jc w:val="center"/>
                    <w:rPr>
                      <w:rFonts w:hint="eastAsia"/>
                      <w:bCs/>
                      <w:color w:val="auto"/>
                      <w:szCs w:val="21"/>
                      <w:u w:val="single"/>
                      <w:lang w:eastAsia="zh-CN"/>
                    </w:rPr>
                  </w:pPr>
                  <w:r>
                    <w:rPr>
                      <w:rFonts w:hint="eastAsia"/>
                      <w:bCs/>
                      <w:color w:val="auto"/>
                      <w:szCs w:val="21"/>
                      <w:u w:val="single"/>
                      <w:lang w:eastAsia="zh-CN"/>
                    </w:rPr>
                    <w:t>炭化窑</w:t>
                  </w:r>
                </w:p>
              </w:tc>
              <w:tc>
                <w:tcPr>
                  <w:tcW w:w="1596" w:type="dxa"/>
                  <w:noWrap w:val="0"/>
                  <w:vAlign w:val="center"/>
                </w:tcPr>
                <w:p>
                  <w:pPr>
                    <w:adjustRightInd w:val="0"/>
                    <w:snapToGrid w:val="0"/>
                    <w:jc w:val="center"/>
                    <w:rPr>
                      <w:rFonts w:hint="eastAsia" w:eastAsia="宋体"/>
                      <w:bCs/>
                      <w:color w:val="auto"/>
                      <w:szCs w:val="21"/>
                      <w:u w:val="single"/>
                      <w:lang w:eastAsia="zh-CN"/>
                    </w:rPr>
                  </w:pPr>
                  <w:r>
                    <w:rPr>
                      <w:rFonts w:hint="eastAsia"/>
                      <w:color w:val="auto"/>
                      <w:u w:val="single"/>
                      <w:lang w:eastAsia="zh-CN"/>
                    </w:rPr>
                    <w:t>木</w:t>
                  </w:r>
                  <w:r>
                    <w:rPr>
                      <w:rFonts w:hint="eastAsia"/>
                      <w:color w:val="auto"/>
                      <w:u w:val="single"/>
                    </w:rPr>
                    <w:t>焦油</w:t>
                  </w:r>
                  <w:r>
                    <w:rPr>
                      <w:rFonts w:hint="eastAsia"/>
                      <w:color w:val="auto"/>
                      <w:u w:val="single"/>
                      <w:lang w:eastAsia="zh-CN"/>
                    </w:rPr>
                    <w:t>、木</w:t>
                  </w:r>
                  <w:r>
                    <w:rPr>
                      <w:rFonts w:hint="eastAsia"/>
                      <w:color w:val="auto"/>
                      <w:u w:val="single"/>
                    </w:rPr>
                    <w:t>醋液</w:t>
                  </w:r>
                </w:p>
              </w:tc>
              <w:tc>
                <w:tcPr>
                  <w:tcW w:w="2413" w:type="dxa"/>
                  <w:gridSpan w:val="2"/>
                  <w:noWrap w:val="0"/>
                  <w:vAlign w:val="center"/>
                </w:tcPr>
                <w:p>
                  <w:pPr>
                    <w:widowControl/>
                    <w:jc w:val="center"/>
                    <w:rPr>
                      <w:rFonts w:hint="eastAsia" w:eastAsia="宋体"/>
                      <w:color w:val="auto"/>
                      <w:szCs w:val="21"/>
                      <w:u w:val="single"/>
                      <w:lang w:eastAsia="zh-CN"/>
                    </w:rPr>
                  </w:pPr>
                  <w:r>
                    <w:rPr>
                      <w:rFonts w:hint="eastAsia" w:ascii="T" w:hAnsi="T"/>
                      <w:color w:val="auto"/>
                      <w:kern w:val="1"/>
                      <w:u w:val="single"/>
                    </w:rPr>
                    <w:t>送至</w:t>
                  </w:r>
                  <w:r>
                    <w:rPr>
                      <w:rFonts w:hint="eastAsia" w:ascii="T" w:hAnsi="T"/>
                      <w:color w:val="auto"/>
                      <w:kern w:val="1"/>
                      <w:u w:val="single"/>
                      <w:lang w:eastAsia="zh-CN"/>
                    </w:rPr>
                    <w:t>烘干炉</w:t>
                  </w:r>
                  <w:r>
                    <w:rPr>
                      <w:rFonts w:hint="eastAsia" w:ascii="T" w:hAnsi="T"/>
                      <w:color w:val="auto"/>
                      <w:kern w:val="1"/>
                      <w:u w:val="single"/>
                    </w:rPr>
                    <w:t>做燃料</w:t>
                  </w:r>
                  <w:r>
                    <w:rPr>
                      <w:rFonts w:hint="eastAsia" w:ascii="T" w:hAnsi="T"/>
                      <w:color w:val="auto"/>
                      <w:kern w:val="1"/>
                      <w:u w:val="single"/>
                      <w:lang w:eastAsia="zh-CN"/>
                    </w:rPr>
                    <w:t>燃烧</w:t>
                  </w:r>
                </w:p>
              </w:tc>
              <w:tc>
                <w:tcPr>
                  <w:tcW w:w="2745" w:type="dxa"/>
                  <w:vMerge w:val="continue"/>
                  <w:noWrap w:val="0"/>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vMerge w:val="restart"/>
                  <w:noWrap w:val="0"/>
                  <w:vAlign w:val="center"/>
                </w:tcPr>
                <w:p>
                  <w:pPr>
                    <w:adjustRightInd w:val="0"/>
                    <w:snapToGrid w:val="0"/>
                    <w:jc w:val="center"/>
                    <w:rPr>
                      <w:rFonts w:hint="eastAsia"/>
                      <w:bCs/>
                      <w:color w:val="auto"/>
                      <w:szCs w:val="21"/>
                      <w:u w:val="single"/>
                      <w:lang w:eastAsia="zh-CN"/>
                    </w:rPr>
                  </w:pPr>
                  <w:r>
                    <w:rPr>
                      <w:rFonts w:hint="eastAsia"/>
                      <w:bCs/>
                      <w:color w:val="auto"/>
                      <w:szCs w:val="21"/>
                      <w:u w:val="single"/>
                      <w:lang w:eastAsia="zh-CN"/>
                    </w:rPr>
                    <w:t>设备维修</w:t>
                  </w:r>
                </w:p>
              </w:tc>
              <w:tc>
                <w:tcPr>
                  <w:tcW w:w="1596" w:type="dxa"/>
                  <w:noWrap w:val="0"/>
                  <w:vAlign w:val="center"/>
                </w:tcPr>
                <w:p>
                  <w:pPr>
                    <w:spacing w:line="300" w:lineRule="exact"/>
                    <w:jc w:val="center"/>
                    <w:rPr>
                      <w:rFonts w:hint="eastAsia"/>
                      <w:bCs/>
                      <w:color w:val="auto"/>
                      <w:szCs w:val="21"/>
                      <w:u w:val="single"/>
                      <w:lang w:eastAsia="zh-CN"/>
                    </w:rPr>
                  </w:pPr>
                  <w:r>
                    <w:rPr>
                      <w:rFonts w:hint="eastAsia"/>
                      <w:color w:val="auto"/>
                      <w:szCs w:val="21"/>
                      <w:u w:val="single"/>
                    </w:rPr>
                    <w:t>机械维修废润滑油</w:t>
                  </w:r>
                </w:p>
              </w:tc>
              <w:tc>
                <w:tcPr>
                  <w:tcW w:w="2413" w:type="dxa"/>
                  <w:gridSpan w:val="2"/>
                  <w:vMerge w:val="restart"/>
                  <w:noWrap w:val="0"/>
                  <w:vAlign w:val="center"/>
                </w:tcPr>
                <w:p>
                  <w:pPr>
                    <w:widowControl/>
                    <w:jc w:val="center"/>
                    <w:rPr>
                      <w:color w:val="auto"/>
                      <w:szCs w:val="21"/>
                      <w:u w:val="single"/>
                    </w:rPr>
                  </w:pPr>
                  <w:r>
                    <w:rPr>
                      <w:rFonts w:hint="eastAsia" w:ascii="T" w:hAnsi="T"/>
                      <w:color w:val="auto"/>
                      <w:kern w:val="1"/>
                      <w:szCs w:val="21"/>
                      <w:u w:val="single"/>
                      <w:lang w:eastAsia="zh-CN"/>
                    </w:rPr>
                    <w:t>暂存于危废暂存间，定期</w:t>
                  </w:r>
                  <w:r>
                    <w:rPr>
                      <w:rFonts w:ascii="T" w:hAnsi="T"/>
                      <w:color w:val="auto"/>
                      <w:kern w:val="1"/>
                      <w:szCs w:val="21"/>
                      <w:u w:val="single"/>
                    </w:rPr>
                    <w:t>交</w:t>
                  </w:r>
                  <w:r>
                    <w:rPr>
                      <w:rFonts w:hint="eastAsia" w:ascii="T" w:hAnsi="T"/>
                      <w:color w:val="auto"/>
                      <w:kern w:val="1"/>
                      <w:szCs w:val="21"/>
                      <w:u w:val="single"/>
                    </w:rPr>
                    <w:t>由</w:t>
                  </w:r>
                  <w:r>
                    <w:rPr>
                      <w:rFonts w:ascii="T" w:hAnsi="T"/>
                      <w:color w:val="auto"/>
                      <w:kern w:val="1"/>
                      <w:szCs w:val="21"/>
                      <w:u w:val="single"/>
                    </w:rPr>
                    <w:t>有资质单位处</w:t>
                  </w:r>
                  <w:r>
                    <w:rPr>
                      <w:rFonts w:hint="eastAsia" w:ascii="T" w:hAnsi="T"/>
                      <w:color w:val="auto"/>
                      <w:kern w:val="1"/>
                      <w:szCs w:val="21"/>
                      <w:u w:val="single"/>
                    </w:rPr>
                    <w:t>置</w:t>
                  </w:r>
                </w:p>
              </w:tc>
              <w:tc>
                <w:tcPr>
                  <w:tcW w:w="2745" w:type="dxa"/>
                  <w:vMerge w:val="restart"/>
                  <w:noWrap w:val="0"/>
                  <w:vAlign w:val="center"/>
                </w:tcPr>
                <w:p>
                  <w:pPr>
                    <w:widowControl/>
                    <w:jc w:val="center"/>
                    <w:rPr>
                      <w:color w:val="auto"/>
                      <w:szCs w:val="21"/>
                      <w:u w:val="single"/>
                    </w:rPr>
                  </w:pPr>
                  <w:r>
                    <w:rPr>
                      <w:rFonts w:hint="eastAsia"/>
                      <w:color w:val="auto"/>
                      <w:szCs w:val="21"/>
                      <w:u w:val="single"/>
                    </w:rPr>
                    <w:t>《危险废物贮存污染控制标准》（GB18597-2001）及 2013 修改单中要求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74" w:type="dxa"/>
                  <w:vMerge w:val="continue"/>
                  <w:noWrap w:val="0"/>
                  <w:vAlign w:val="center"/>
                </w:tcPr>
                <w:p>
                  <w:pPr>
                    <w:pStyle w:val="8"/>
                    <w:adjustRightInd w:val="0"/>
                    <w:snapToGrid w:val="0"/>
                    <w:jc w:val="center"/>
                    <w:rPr>
                      <w:rFonts w:ascii="Times New Roman" w:hAnsi="Times New Roman" w:eastAsia="宋体" w:cs="Times New Roman"/>
                      <w:color w:val="auto"/>
                      <w:sz w:val="21"/>
                      <w:szCs w:val="21"/>
                    </w:rPr>
                  </w:pPr>
                </w:p>
              </w:tc>
              <w:tc>
                <w:tcPr>
                  <w:tcW w:w="1290" w:type="dxa"/>
                  <w:vMerge w:val="continue"/>
                  <w:noWrap w:val="0"/>
                  <w:vAlign w:val="center"/>
                </w:tcPr>
                <w:p>
                  <w:pPr>
                    <w:adjustRightInd w:val="0"/>
                    <w:snapToGrid w:val="0"/>
                    <w:jc w:val="center"/>
                    <w:rPr>
                      <w:rFonts w:hint="eastAsia"/>
                      <w:bCs/>
                      <w:color w:val="auto"/>
                      <w:szCs w:val="21"/>
                      <w:u w:val="single"/>
                      <w:lang w:eastAsia="zh-CN"/>
                    </w:rPr>
                  </w:pPr>
                </w:p>
              </w:tc>
              <w:tc>
                <w:tcPr>
                  <w:tcW w:w="1596" w:type="dxa"/>
                  <w:noWrap w:val="0"/>
                  <w:vAlign w:val="center"/>
                </w:tcPr>
                <w:p>
                  <w:pPr>
                    <w:spacing w:line="300" w:lineRule="exact"/>
                    <w:jc w:val="center"/>
                    <w:rPr>
                      <w:rFonts w:hint="eastAsia"/>
                      <w:bCs/>
                      <w:color w:val="auto"/>
                      <w:szCs w:val="21"/>
                      <w:u w:val="single"/>
                      <w:lang w:eastAsia="zh-CN"/>
                    </w:rPr>
                  </w:pPr>
                  <w:r>
                    <w:rPr>
                      <w:rFonts w:hint="eastAsia"/>
                      <w:color w:val="auto"/>
                      <w:szCs w:val="21"/>
                      <w:u w:val="single"/>
                    </w:rPr>
                    <w:t>机械维修含油废手套（抹布）</w:t>
                  </w:r>
                </w:p>
              </w:tc>
              <w:tc>
                <w:tcPr>
                  <w:tcW w:w="2413" w:type="dxa"/>
                  <w:gridSpan w:val="2"/>
                  <w:vMerge w:val="continue"/>
                  <w:noWrap w:val="0"/>
                  <w:vAlign w:val="center"/>
                </w:tcPr>
                <w:p>
                  <w:pPr>
                    <w:widowControl/>
                    <w:jc w:val="center"/>
                    <w:rPr>
                      <w:color w:val="auto"/>
                      <w:szCs w:val="21"/>
                      <w:u w:val="single"/>
                    </w:rPr>
                  </w:pPr>
                </w:p>
              </w:tc>
              <w:tc>
                <w:tcPr>
                  <w:tcW w:w="2745" w:type="dxa"/>
                  <w:vMerge w:val="continue"/>
                  <w:noWrap w:val="0"/>
                  <w:vAlign w:val="center"/>
                </w:tcPr>
                <w:p>
                  <w:pPr>
                    <w:widowControl/>
                    <w:jc w:val="center"/>
                    <w:rPr>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74" w:type="dxa"/>
                  <w:noWrap w:val="0"/>
                  <w:vAlign w:val="center"/>
                </w:tcPr>
                <w:p>
                  <w:pPr>
                    <w:pStyle w:val="8"/>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环境风险</w:t>
                  </w:r>
                </w:p>
              </w:tc>
              <w:tc>
                <w:tcPr>
                  <w:tcW w:w="8044" w:type="dxa"/>
                  <w:gridSpan w:val="5"/>
                  <w:noWrap w:val="0"/>
                  <w:vAlign w:val="center"/>
                </w:tcPr>
                <w:p>
                  <w:pPr>
                    <w:widowControl/>
                    <w:jc w:val="center"/>
                    <w:rPr>
                      <w:rFonts w:hint="eastAsia" w:eastAsia="宋体"/>
                      <w:color w:val="auto"/>
                      <w:szCs w:val="21"/>
                      <w:lang w:eastAsia="zh-CN"/>
                    </w:rPr>
                  </w:pPr>
                  <w:r>
                    <w:rPr>
                      <w:rFonts w:hint="default" w:ascii="Times New Roman" w:hAnsi="Times New Roman" w:eastAsia="宋体" w:cs="Times New Roman"/>
                      <w:color w:val="auto"/>
                      <w:kern w:val="0"/>
                      <w:sz w:val="21"/>
                      <w:szCs w:val="21"/>
                      <w:u w:val="none"/>
                    </w:rPr>
                    <w:t>按照表7-</w:t>
                  </w:r>
                  <w:r>
                    <w:rPr>
                      <w:rFonts w:hint="eastAsia" w:ascii="Times New Roman" w:hAnsi="Times New Roman" w:eastAsia="宋体" w:cs="Times New Roman"/>
                      <w:color w:val="auto"/>
                      <w:kern w:val="0"/>
                      <w:sz w:val="21"/>
                      <w:szCs w:val="21"/>
                      <w:u w:val="none"/>
                      <w:lang w:val="en-US" w:eastAsia="zh-CN"/>
                    </w:rPr>
                    <w:t>25</w:t>
                  </w:r>
                  <w:r>
                    <w:rPr>
                      <w:rFonts w:hint="default" w:ascii="Times New Roman" w:hAnsi="Times New Roman" w:eastAsia="宋体" w:cs="Times New Roman"/>
                      <w:color w:val="auto"/>
                      <w:kern w:val="0"/>
                      <w:sz w:val="21"/>
                      <w:szCs w:val="21"/>
                      <w:u w:val="none"/>
                    </w:rPr>
                    <w:t>，自主进行环境监测，</w:t>
                  </w:r>
                  <w:r>
                    <w:rPr>
                      <w:rFonts w:hint="eastAsia" w:cs="Times New Roman"/>
                      <w:color w:val="auto"/>
                      <w:kern w:val="0"/>
                      <w:sz w:val="21"/>
                      <w:szCs w:val="21"/>
                      <w:u w:val="single"/>
                      <w:lang w:eastAsia="zh-CN"/>
                    </w:rPr>
                    <w:t>风险单元悬挂风险处置牌，设置消防水池事故池（3</w:t>
                  </w:r>
                  <w:r>
                    <w:rPr>
                      <w:rFonts w:hint="eastAsia" w:cs="Times New Roman"/>
                      <w:color w:val="auto"/>
                      <w:kern w:val="0"/>
                      <w:sz w:val="21"/>
                      <w:szCs w:val="21"/>
                      <w:u w:val="single"/>
                      <w:lang w:val="en-US" w:eastAsia="zh-CN"/>
                    </w:rPr>
                    <w:t>0</w:t>
                  </w:r>
                  <w:r>
                    <w:rPr>
                      <w:rFonts w:hint="eastAsia" w:cs="Times New Roman"/>
                      <w:color w:val="auto"/>
                      <w:kern w:val="0"/>
                      <w:sz w:val="21"/>
                      <w:szCs w:val="21"/>
                      <w:u w:val="single"/>
                      <w:lang w:eastAsia="zh-CN"/>
                    </w:rPr>
                    <w:t>m</w:t>
                  </w:r>
                  <w:r>
                    <w:rPr>
                      <w:rFonts w:hint="eastAsia" w:cs="Times New Roman"/>
                      <w:color w:val="auto"/>
                      <w:kern w:val="0"/>
                      <w:sz w:val="21"/>
                      <w:szCs w:val="21"/>
                      <w:u w:val="single"/>
                      <w:vertAlign w:val="superscript"/>
                      <w:lang w:eastAsia="zh-CN"/>
                    </w:rPr>
                    <w:t>3</w:t>
                  </w:r>
                  <w:r>
                    <w:rPr>
                      <w:rFonts w:hint="eastAsia" w:cs="Times New Roman"/>
                      <w:color w:val="auto"/>
                      <w:kern w:val="0"/>
                      <w:sz w:val="21"/>
                      <w:szCs w:val="21"/>
                      <w:u w:val="single"/>
                      <w:lang w:eastAsia="zh-CN"/>
                    </w:rPr>
                    <w:t>）。</w:t>
                  </w:r>
                  <w:r>
                    <w:rPr>
                      <w:rFonts w:hint="default" w:ascii="Times New Roman" w:hAnsi="Times New Roman" w:eastAsia="宋体" w:cs="Times New Roman"/>
                      <w:color w:val="auto"/>
                      <w:kern w:val="0"/>
                      <w:sz w:val="21"/>
                      <w:szCs w:val="21"/>
                      <w:u w:val="none"/>
                    </w:rPr>
                    <w:t>编制事故应急预案并于环保部门备案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74" w:type="dxa"/>
                  <w:noWrap w:val="0"/>
                  <w:vAlign w:val="center"/>
                </w:tcPr>
                <w:p>
                  <w:pPr>
                    <w:pStyle w:val="8"/>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排污许可</w:t>
                  </w:r>
                </w:p>
              </w:tc>
              <w:tc>
                <w:tcPr>
                  <w:tcW w:w="3976" w:type="dxa"/>
                  <w:gridSpan w:val="3"/>
                  <w:noWrap w:val="0"/>
                  <w:vAlign w:val="center"/>
                </w:tcPr>
                <w:p>
                  <w:pPr>
                    <w:widowControl/>
                    <w:jc w:val="center"/>
                    <w:rPr>
                      <w:color w:val="auto"/>
                      <w:szCs w:val="21"/>
                    </w:rPr>
                  </w:pPr>
                  <w:r>
                    <w:rPr>
                      <w:rFonts w:hint="eastAsia"/>
                      <w:color w:val="auto"/>
                      <w:szCs w:val="21"/>
                    </w:rPr>
                    <w:t>申报排污许可证</w:t>
                  </w:r>
                </w:p>
              </w:tc>
              <w:tc>
                <w:tcPr>
                  <w:tcW w:w="4068" w:type="dxa"/>
                  <w:gridSpan w:val="2"/>
                  <w:noWrap w:val="0"/>
                  <w:vAlign w:val="center"/>
                </w:tcPr>
                <w:p>
                  <w:pPr>
                    <w:widowControl/>
                    <w:jc w:val="center"/>
                    <w:rPr>
                      <w:color w:val="auto"/>
                      <w:szCs w:val="21"/>
                    </w:rPr>
                  </w:pPr>
                  <w:r>
                    <w:rPr>
                      <w:rFonts w:hint="eastAsia"/>
                      <w:color w:val="auto"/>
                      <w:szCs w:val="21"/>
                    </w:rPr>
                    <w:t>取得排污许可证</w:t>
                  </w:r>
                </w:p>
              </w:tc>
            </w:tr>
          </w:tbl>
          <w:p>
            <w:pPr>
              <w:spacing w:line="360" w:lineRule="auto"/>
              <w:rPr>
                <w:rFonts w:hint="eastAsia" w:ascii="Times New Roman" w:hAnsi="Times New Roman"/>
                <w:b/>
                <w:color w:val="auto"/>
                <w:sz w:val="28"/>
                <w:szCs w:val="28"/>
              </w:rPr>
            </w:pPr>
          </w:p>
          <w:p>
            <w:pPr>
              <w:spacing w:line="360" w:lineRule="auto"/>
              <w:rPr>
                <w:rFonts w:hint="eastAsia" w:ascii="Times New Roman" w:hAnsi="Times New Roman"/>
                <w:b/>
                <w:color w:val="auto"/>
                <w:sz w:val="28"/>
                <w:szCs w:val="28"/>
              </w:rPr>
            </w:pPr>
            <w:r>
              <w:rPr>
                <w:rFonts w:hint="eastAsia"/>
                <w:b/>
                <w:color w:val="auto"/>
                <w:sz w:val="28"/>
                <w:szCs w:val="28"/>
                <w:lang w:val="en-US" w:eastAsia="zh-CN"/>
              </w:rPr>
              <w:t>10</w:t>
            </w:r>
            <w:r>
              <w:rPr>
                <w:rFonts w:hint="eastAsia" w:ascii="Times New Roman" w:hAnsi="Times New Roman"/>
                <w:b/>
                <w:color w:val="auto"/>
                <w:sz w:val="28"/>
                <w:szCs w:val="28"/>
              </w:rPr>
              <w:t xml:space="preserve"> 环境管理与监测计划</w:t>
            </w:r>
          </w:p>
          <w:p>
            <w:pPr>
              <w:spacing w:line="360" w:lineRule="auto"/>
              <w:ind w:firstLine="361" w:firstLineChars="150"/>
              <w:rPr>
                <w:b/>
                <w:bCs/>
                <w:color w:val="auto"/>
                <w:sz w:val="24"/>
              </w:rPr>
            </w:pPr>
            <w:r>
              <w:rPr>
                <w:rFonts w:hint="eastAsia"/>
                <w:b/>
                <w:bCs/>
                <w:color w:val="auto"/>
                <w:sz w:val="24"/>
              </w:rPr>
              <w:t>1、</w:t>
            </w:r>
            <w:r>
              <w:rPr>
                <w:b/>
                <w:bCs/>
                <w:color w:val="auto"/>
                <w:sz w:val="24"/>
              </w:rPr>
              <w:t>环境管理</w:t>
            </w:r>
          </w:p>
          <w:p>
            <w:pPr>
              <w:spacing w:line="360" w:lineRule="auto"/>
              <w:ind w:firstLine="360" w:firstLineChars="150"/>
              <w:rPr>
                <w:color w:val="auto"/>
                <w:sz w:val="24"/>
              </w:rPr>
            </w:pPr>
            <w:r>
              <w:rPr>
                <w:color w:val="auto"/>
                <w:sz w:val="24"/>
              </w:rPr>
              <w:t>建议建设单位尽快成立环保专职管理机构并设管理机构负责人，对项目运营期实行监测管理。该机构由建设单位直接领导，并接受有关环保部门的指导和监督。</w:t>
            </w:r>
          </w:p>
          <w:p>
            <w:pPr>
              <w:spacing w:line="360" w:lineRule="auto"/>
              <w:ind w:firstLine="360" w:firstLineChars="150"/>
              <w:rPr>
                <w:color w:val="auto"/>
                <w:sz w:val="24"/>
              </w:rPr>
            </w:pPr>
            <w:r>
              <w:rPr>
                <w:color w:val="auto"/>
                <w:sz w:val="24"/>
              </w:rPr>
              <w:t>环境管理机构职责如下：</w:t>
            </w:r>
          </w:p>
          <w:p>
            <w:pPr>
              <w:spacing w:line="360" w:lineRule="auto"/>
              <w:ind w:firstLine="360" w:firstLineChars="150"/>
              <w:rPr>
                <w:color w:val="auto"/>
                <w:sz w:val="24"/>
              </w:rPr>
            </w:pPr>
            <w:r>
              <w:rPr>
                <w:rFonts w:hint="eastAsia" w:ascii="宋体" w:hAnsi="宋体" w:cs="宋体"/>
                <w:color w:val="auto"/>
                <w:sz w:val="24"/>
              </w:rPr>
              <w:t>①</w:t>
            </w:r>
            <w:r>
              <w:rPr>
                <w:color w:val="auto"/>
                <w:sz w:val="24"/>
              </w:rPr>
              <w:t>宣传并贯彻国家和地方的有关环保法规、条例、标准，提高施工、维护、管理及使用人员的环保意识，并贯彻于本职岗位中；</w:t>
            </w:r>
          </w:p>
          <w:p>
            <w:pPr>
              <w:spacing w:line="360" w:lineRule="auto"/>
              <w:ind w:firstLine="360" w:firstLineChars="150"/>
              <w:rPr>
                <w:color w:val="auto"/>
                <w:sz w:val="24"/>
              </w:rPr>
            </w:pPr>
            <w:r>
              <w:rPr>
                <w:rFonts w:hint="eastAsia" w:ascii="宋体" w:hAnsi="宋体" w:cs="宋体"/>
                <w:color w:val="auto"/>
                <w:sz w:val="24"/>
              </w:rPr>
              <w:t>②</w:t>
            </w:r>
            <w:r>
              <w:rPr>
                <w:color w:val="auto"/>
                <w:sz w:val="24"/>
              </w:rPr>
              <w:t>组织制定环保工作计划，并制定年度实施计划，纳入到施工、运营过程，并责成有关部门落实；</w:t>
            </w:r>
          </w:p>
          <w:p>
            <w:pPr>
              <w:spacing w:line="360" w:lineRule="auto"/>
              <w:ind w:firstLine="360" w:firstLineChars="150"/>
              <w:rPr>
                <w:color w:val="auto"/>
                <w:sz w:val="24"/>
              </w:rPr>
            </w:pPr>
            <w:r>
              <w:rPr>
                <w:rFonts w:hint="eastAsia" w:ascii="宋体" w:hAnsi="宋体" w:cs="宋体"/>
                <w:color w:val="auto"/>
                <w:sz w:val="24"/>
              </w:rPr>
              <w:t>③</w:t>
            </w:r>
            <w:r>
              <w:rPr>
                <w:color w:val="auto"/>
                <w:sz w:val="24"/>
              </w:rPr>
              <w:t>负责监督本工程各项环保措施的落实，确定建设项目主体工程和环保措施“三同时”；</w:t>
            </w:r>
          </w:p>
          <w:p>
            <w:pPr>
              <w:spacing w:line="360" w:lineRule="auto"/>
              <w:ind w:firstLine="360" w:firstLineChars="150"/>
              <w:rPr>
                <w:color w:val="auto"/>
                <w:sz w:val="24"/>
              </w:rPr>
            </w:pPr>
            <w:r>
              <w:rPr>
                <w:rFonts w:hint="eastAsia" w:ascii="宋体" w:hAnsi="宋体" w:cs="宋体"/>
                <w:color w:val="auto"/>
                <w:sz w:val="24"/>
              </w:rPr>
              <w:t>④</w:t>
            </w:r>
            <w:r>
              <w:rPr>
                <w:color w:val="auto"/>
                <w:sz w:val="24"/>
              </w:rPr>
              <w:t>制定本工程运营期监测计划，并组织监测计划的实施；</w:t>
            </w:r>
          </w:p>
          <w:p>
            <w:pPr>
              <w:spacing w:line="360" w:lineRule="auto"/>
              <w:ind w:firstLine="360" w:firstLineChars="150"/>
              <w:rPr>
                <w:color w:val="auto"/>
                <w:sz w:val="24"/>
              </w:rPr>
            </w:pPr>
            <w:r>
              <w:rPr>
                <w:rFonts w:hint="eastAsia" w:ascii="宋体" w:hAnsi="宋体" w:cs="宋体"/>
                <w:color w:val="auto"/>
                <w:sz w:val="24"/>
              </w:rPr>
              <w:t>⑤</w:t>
            </w:r>
            <w:r>
              <w:rPr>
                <w:color w:val="auto"/>
                <w:sz w:val="24"/>
              </w:rPr>
              <w:t>负责做好工程区固体废弃物的合理处置工作；</w:t>
            </w:r>
          </w:p>
          <w:p>
            <w:pPr>
              <w:spacing w:line="360" w:lineRule="auto"/>
              <w:ind w:firstLine="360" w:firstLineChars="150"/>
              <w:rPr>
                <w:color w:val="auto"/>
                <w:sz w:val="24"/>
              </w:rPr>
            </w:pPr>
            <w:r>
              <w:rPr>
                <w:rFonts w:hint="eastAsia" w:ascii="宋体" w:hAnsi="宋体" w:cs="宋体"/>
                <w:color w:val="auto"/>
                <w:sz w:val="24"/>
              </w:rPr>
              <w:t>⑥</w:t>
            </w:r>
            <w:r>
              <w:rPr>
                <w:color w:val="auto"/>
                <w:sz w:val="24"/>
              </w:rPr>
              <w:t>负责污染事故的防范及应急处理和报告工作。</w:t>
            </w:r>
          </w:p>
          <w:p>
            <w:pPr>
              <w:spacing w:line="360" w:lineRule="auto"/>
              <w:ind w:firstLine="360" w:firstLineChars="150"/>
              <w:rPr>
                <w:color w:val="auto"/>
                <w:sz w:val="24"/>
              </w:rPr>
            </w:pPr>
            <w:r>
              <w:rPr>
                <w:color w:val="auto"/>
                <w:sz w:val="24"/>
              </w:rPr>
              <w:t>环境管理机构负责人应领导环境管理机构人员履行其职责；掌握本建设项目环保工作的全面动态情况；负责审批项目环保岗位制度、工作和年度计划；指挥项目环保工作的实施；协调各有关部门的关系；保障环境保护工作所必须的资源。</w:t>
            </w:r>
          </w:p>
          <w:p>
            <w:pPr>
              <w:spacing w:line="360" w:lineRule="auto"/>
              <w:ind w:firstLine="360" w:firstLineChars="150"/>
              <w:rPr>
                <w:color w:val="auto"/>
                <w:sz w:val="24"/>
              </w:rPr>
            </w:pPr>
            <w:r>
              <w:rPr>
                <w:color w:val="auto"/>
                <w:sz w:val="24"/>
              </w:rPr>
              <w:t>加强建设项目营运期的环境管理，制定出切实可行的环境污染防治办法和具体操作规程，做好环境教育和宣传工作，提高各级管理人员和工作人员的环境保护意识和技术水平，加强员工对环境污染防治的责任心，自觉遵守和执行各项环境保护规章制度；定期对环境保护设施进行维护和保养，确保环境保护设施的正常运行，防治污染事故的发生；管理、监督和指导。要大力推广清洁生产，努力提高清洁生产水平，实现环境保护与经济建设的可持续协调发展。</w:t>
            </w:r>
          </w:p>
          <w:p>
            <w:pPr>
              <w:spacing w:line="360" w:lineRule="auto"/>
              <w:ind w:firstLine="361" w:firstLineChars="150"/>
              <w:rPr>
                <w:rFonts w:ascii="Times New Roman" w:hAnsi="Times New Roman"/>
                <w:color w:val="auto"/>
                <w:sz w:val="24"/>
                <w:szCs w:val="24"/>
                <w:lang w:val="en-GB"/>
              </w:rPr>
            </w:pPr>
            <w:r>
              <w:rPr>
                <w:rFonts w:hint="eastAsia"/>
                <w:b/>
                <w:bCs/>
                <w:color w:val="auto"/>
                <w:sz w:val="24"/>
              </w:rPr>
              <w:t>2、</w:t>
            </w:r>
            <w:r>
              <w:rPr>
                <w:b/>
                <w:bCs/>
                <w:color w:val="auto"/>
                <w:sz w:val="24"/>
              </w:rPr>
              <w:t>环境监测计划</w:t>
            </w:r>
          </w:p>
          <w:p>
            <w:pPr>
              <w:suppressAutoHyphens/>
              <w:topLinePunct/>
              <w:spacing w:line="360" w:lineRule="auto"/>
              <w:ind w:firstLine="480" w:firstLineChars="200"/>
              <w:jc w:val="left"/>
              <w:rPr>
                <w:rFonts w:ascii="Times New Roman" w:hAnsi="Times New Roman"/>
                <w:b/>
                <w:color w:val="auto"/>
                <w:kern w:val="28"/>
                <w:szCs w:val="32"/>
              </w:rPr>
            </w:pPr>
            <w:r>
              <w:rPr>
                <w:rFonts w:ascii="Times New Roman" w:hAnsi="Times New Roman"/>
                <w:color w:val="auto"/>
                <w:sz w:val="24"/>
                <w:szCs w:val="24"/>
                <w:lang w:val="en-GB"/>
              </w:rPr>
              <w:t>制定环境监测计划的目的是为了监督各项措施的落实，根据监测结果适时调整环境保护行动计划，为环保措施的实施时间和实施方案提供依据。</w:t>
            </w:r>
            <w:r>
              <w:rPr>
                <w:rFonts w:hint="eastAsia" w:ascii="Times New Roman" w:hAnsi="Times New Roman"/>
                <w:color w:val="auto"/>
                <w:sz w:val="24"/>
                <w:szCs w:val="24"/>
                <w:lang w:val="en-GB"/>
              </w:rPr>
              <w:t>本次</w:t>
            </w:r>
            <w:r>
              <w:rPr>
                <w:rFonts w:hint="eastAsia"/>
                <w:color w:val="auto"/>
                <w:sz w:val="24"/>
                <w:szCs w:val="24"/>
                <w:lang w:val="en-GB" w:eastAsia="zh-CN"/>
              </w:rPr>
              <w:t>环评</w:t>
            </w:r>
            <w:r>
              <w:rPr>
                <w:rFonts w:hint="eastAsia" w:ascii="Times New Roman" w:hAnsi="Times New Roman"/>
                <w:color w:val="auto"/>
                <w:sz w:val="24"/>
                <w:szCs w:val="24"/>
                <w:lang w:val="en-GB"/>
              </w:rPr>
              <w:t>结合《企业自行监测指南》、《排污许可证申请与核发技术规范 专用化学产品制造工业》中相关要求，制定自行监测方案</w:t>
            </w:r>
            <w:r>
              <w:rPr>
                <w:rFonts w:hint="eastAsia"/>
                <w:color w:val="auto"/>
                <w:sz w:val="24"/>
                <w:szCs w:val="24"/>
                <w:lang w:val="en-GB" w:eastAsia="zh-CN"/>
              </w:rPr>
              <w:t>。</w:t>
            </w:r>
            <w:r>
              <w:rPr>
                <w:rFonts w:hint="eastAsia" w:ascii="Times New Roman" w:hAnsi="Times New Roman"/>
                <w:color w:val="auto"/>
                <w:sz w:val="24"/>
                <w:szCs w:val="24"/>
                <w:lang w:val="en-GB"/>
              </w:rPr>
              <w:t>环境监测计划详见表</w:t>
            </w:r>
            <w:r>
              <w:rPr>
                <w:rFonts w:hint="eastAsia" w:ascii="Times New Roman" w:hAnsi="Times New Roman"/>
                <w:color w:val="auto"/>
                <w:sz w:val="24"/>
                <w:szCs w:val="24"/>
              </w:rPr>
              <w:t>7-</w:t>
            </w:r>
            <w:r>
              <w:rPr>
                <w:rFonts w:ascii="Times New Roman" w:hAnsi="Times New Roman"/>
                <w:color w:val="auto"/>
                <w:sz w:val="24"/>
                <w:szCs w:val="24"/>
              </w:rPr>
              <w:t>2</w:t>
            </w:r>
            <w:r>
              <w:rPr>
                <w:rFonts w:hint="eastAsia"/>
                <w:color w:val="auto"/>
                <w:sz w:val="24"/>
                <w:szCs w:val="24"/>
                <w:lang w:val="en-US" w:eastAsia="zh-CN"/>
              </w:rPr>
              <w:t>8</w:t>
            </w:r>
            <w:r>
              <w:rPr>
                <w:rFonts w:ascii="Times New Roman" w:hAnsi="Times New Roman"/>
                <w:color w:val="auto"/>
                <w:sz w:val="24"/>
                <w:szCs w:val="24"/>
                <w:lang w:val="en-GB"/>
              </w:rPr>
              <w:t>。</w:t>
            </w:r>
          </w:p>
          <w:p>
            <w:pPr>
              <w:jc w:val="center"/>
              <w:rPr>
                <w:rFonts w:ascii="Times New Roman" w:hAnsi="Times New Roman"/>
                <w:b/>
                <w:color w:val="auto"/>
                <w:kern w:val="28"/>
                <w:szCs w:val="32"/>
              </w:rPr>
            </w:pPr>
            <w:r>
              <w:rPr>
                <w:rFonts w:ascii="Times New Roman" w:hAnsi="Times New Roman"/>
                <w:b/>
                <w:color w:val="auto"/>
                <w:kern w:val="28"/>
                <w:szCs w:val="32"/>
              </w:rPr>
              <w:t>表7-2</w:t>
            </w:r>
            <w:r>
              <w:rPr>
                <w:rFonts w:hint="eastAsia"/>
                <w:b/>
                <w:color w:val="auto"/>
                <w:kern w:val="28"/>
                <w:szCs w:val="32"/>
                <w:lang w:val="en-US" w:eastAsia="zh-CN"/>
              </w:rPr>
              <w:t>8</w:t>
            </w:r>
            <w:r>
              <w:rPr>
                <w:rFonts w:ascii="Times New Roman" w:hAnsi="Times New Roman"/>
                <w:b/>
                <w:color w:val="auto"/>
                <w:kern w:val="28"/>
                <w:szCs w:val="32"/>
              </w:rPr>
              <w:t>：营运期环境监测计划表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560"/>
              <w:gridCol w:w="4069"/>
              <w:gridCol w:w="1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0" w:type="dxa"/>
                  <w:noWrap w:val="0"/>
                  <w:vAlign w:val="center"/>
                </w:tcPr>
                <w:p>
                  <w:pPr>
                    <w:jc w:val="center"/>
                    <w:rPr>
                      <w:rFonts w:ascii="Times New Roman" w:hAnsi="Times New Roman"/>
                      <w:color w:val="auto"/>
                      <w:szCs w:val="21"/>
                      <w:u w:val="none"/>
                    </w:rPr>
                  </w:pPr>
                  <w:r>
                    <w:rPr>
                      <w:rFonts w:hint="eastAsia" w:ascii="Times New Roman" w:hAnsi="Times New Roman"/>
                      <w:color w:val="auto"/>
                      <w:szCs w:val="21"/>
                      <w:u w:val="none"/>
                    </w:rPr>
                    <w:t>监测项目</w:t>
                  </w:r>
                </w:p>
              </w:tc>
              <w:tc>
                <w:tcPr>
                  <w:tcW w:w="1560" w:type="dxa"/>
                  <w:noWrap w:val="0"/>
                  <w:vAlign w:val="center"/>
                </w:tcPr>
                <w:p>
                  <w:pPr>
                    <w:jc w:val="center"/>
                    <w:rPr>
                      <w:rFonts w:ascii="Times New Roman" w:hAnsi="Times New Roman"/>
                      <w:color w:val="auto"/>
                      <w:szCs w:val="21"/>
                      <w:u w:val="none"/>
                    </w:rPr>
                  </w:pPr>
                  <w:r>
                    <w:rPr>
                      <w:rFonts w:hint="eastAsia" w:ascii="Times New Roman" w:hAnsi="Times New Roman"/>
                      <w:color w:val="auto"/>
                      <w:szCs w:val="21"/>
                      <w:u w:val="none"/>
                    </w:rPr>
                    <w:t>监测点</w:t>
                  </w:r>
                </w:p>
              </w:tc>
              <w:tc>
                <w:tcPr>
                  <w:tcW w:w="4069" w:type="dxa"/>
                  <w:noWrap w:val="0"/>
                  <w:vAlign w:val="center"/>
                </w:tcPr>
                <w:p>
                  <w:pPr>
                    <w:jc w:val="center"/>
                    <w:rPr>
                      <w:rFonts w:ascii="Times New Roman" w:hAnsi="Times New Roman"/>
                      <w:color w:val="auto"/>
                      <w:szCs w:val="21"/>
                      <w:u w:val="none"/>
                    </w:rPr>
                  </w:pPr>
                  <w:r>
                    <w:rPr>
                      <w:rFonts w:hint="eastAsia" w:ascii="Times New Roman" w:hAnsi="Times New Roman"/>
                      <w:color w:val="auto"/>
                      <w:szCs w:val="21"/>
                      <w:u w:val="none"/>
                    </w:rPr>
                    <w:t>监测内容</w:t>
                  </w:r>
                </w:p>
              </w:tc>
              <w:tc>
                <w:tcPr>
                  <w:tcW w:w="1619" w:type="dxa"/>
                  <w:noWrap w:val="0"/>
                  <w:vAlign w:val="center"/>
                </w:tcPr>
                <w:p>
                  <w:pPr>
                    <w:jc w:val="center"/>
                    <w:rPr>
                      <w:rFonts w:ascii="Times New Roman" w:hAnsi="Times New Roman"/>
                      <w:color w:val="auto"/>
                      <w:szCs w:val="21"/>
                      <w:u w:val="none"/>
                    </w:rPr>
                  </w:pPr>
                  <w:r>
                    <w:rPr>
                      <w:rFonts w:hint="eastAsia" w:ascii="Times New Roman" w:hAnsi="Times New Roman"/>
                      <w:color w:val="auto"/>
                      <w:szCs w:val="21"/>
                      <w:u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0" w:type="dxa"/>
                  <w:vMerge w:val="restart"/>
                  <w:noWrap w:val="0"/>
                  <w:vAlign w:val="center"/>
                </w:tcPr>
                <w:p>
                  <w:pPr>
                    <w:jc w:val="center"/>
                    <w:rPr>
                      <w:rFonts w:ascii="Times New Roman" w:hAnsi="Times New Roman"/>
                      <w:color w:val="auto"/>
                      <w:szCs w:val="21"/>
                      <w:u w:val="none"/>
                    </w:rPr>
                  </w:pPr>
                  <w:r>
                    <w:rPr>
                      <w:rFonts w:hint="eastAsia" w:ascii="Times New Roman" w:hAnsi="Times New Roman"/>
                      <w:color w:val="auto"/>
                      <w:szCs w:val="21"/>
                      <w:u w:val="none"/>
                    </w:rPr>
                    <w:t>废气</w:t>
                  </w:r>
                </w:p>
              </w:tc>
              <w:tc>
                <w:tcPr>
                  <w:tcW w:w="1560" w:type="dxa"/>
                  <w:vMerge w:val="restart"/>
                  <w:noWrap w:val="0"/>
                  <w:vAlign w:val="center"/>
                </w:tcPr>
                <w:p>
                  <w:pPr>
                    <w:jc w:val="center"/>
                    <w:rPr>
                      <w:rFonts w:hint="eastAsia" w:ascii="Times New Roman" w:hAnsi="Times New Roman" w:eastAsia="宋体"/>
                      <w:color w:val="auto"/>
                      <w:szCs w:val="21"/>
                      <w:u w:val="none"/>
                      <w:lang w:eastAsia="zh-CN"/>
                    </w:rPr>
                  </w:pPr>
                  <w:r>
                    <w:rPr>
                      <w:rFonts w:hint="eastAsia"/>
                      <w:color w:val="auto"/>
                      <w:szCs w:val="21"/>
                      <w:u w:val="none"/>
                      <w:lang w:eastAsia="zh-CN"/>
                    </w:rPr>
                    <w:t>排气筒</w:t>
                  </w:r>
                </w:p>
              </w:tc>
              <w:tc>
                <w:tcPr>
                  <w:tcW w:w="4069" w:type="dxa"/>
                  <w:noWrap w:val="0"/>
                  <w:vAlign w:val="center"/>
                </w:tcPr>
                <w:p>
                  <w:pPr>
                    <w:jc w:val="center"/>
                    <w:rPr>
                      <w:color w:val="auto"/>
                      <w:sz w:val="21"/>
                      <w:szCs w:val="21"/>
                      <w:u w:val="none"/>
                    </w:rPr>
                  </w:pPr>
                  <w:r>
                    <w:rPr>
                      <w:rFonts w:hint="eastAsia" w:ascii="宋体" w:hAnsi="宋体"/>
                      <w:color w:val="auto"/>
                      <w:u w:val="none"/>
                      <w:lang w:eastAsia="zh-CN"/>
                    </w:rPr>
                    <w:t>林格曼黑度、挥发性有机物</w:t>
                  </w:r>
                </w:p>
              </w:tc>
              <w:tc>
                <w:tcPr>
                  <w:tcW w:w="1619" w:type="dxa"/>
                  <w:noWrap w:val="0"/>
                  <w:vAlign w:val="center"/>
                </w:tcPr>
                <w:p>
                  <w:pPr>
                    <w:spacing w:line="360" w:lineRule="exact"/>
                    <w:jc w:val="center"/>
                    <w:rPr>
                      <w:rFonts w:ascii="Times New Roman" w:hAnsi="Times New Roman"/>
                      <w:color w:val="auto"/>
                      <w:szCs w:val="21"/>
                      <w:u w:val="none"/>
                    </w:rPr>
                  </w:pPr>
                  <w:r>
                    <w:rPr>
                      <w:rFonts w:hint="eastAsia" w:ascii="宋体" w:hAnsi="宋体"/>
                      <w:color w:val="auto"/>
                      <w:u w:val="none"/>
                      <w:lang w:val="en-US" w:eastAsia="zh-CN"/>
                    </w:rPr>
                    <w:t>1次/季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0" w:type="dxa"/>
                  <w:vMerge w:val="continue"/>
                  <w:noWrap w:val="0"/>
                  <w:vAlign w:val="center"/>
                </w:tcPr>
                <w:p>
                  <w:pPr>
                    <w:jc w:val="center"/>
                    <w:rPr>
                      <w:rFonts w:hint="eastAsia" w:ascii="Times New Roman" w:hAnsi="Times New Roman"/>
                      <w:color w:val="auto"/>
                      <w:szCs w:val="21"/>
                      <w:u w:val="none"/>
                    </w:rPr>
                  </w:pPr>
                </w:p>
              </w:tc>
              <w:tc>
                <w:tcPr>
                  <w:tcW w:w="1560" w:type="dxa"/>
                  <w:vMerge w:val="continue"/>
                  <w:noWrap w:val="0"/>
                  <w:vAlign w:val="center"/>
                </w:tcPr>
                <w:p>
                  <w:pPr>
                    <w:jc w:val="center"/>
                    <w:rPr>
                      <w:rFonts w:hint="eastAsia"/>
                      <w:color w:val="auto"/>
                      <w:szCs w:val="21"/>
                      <w:u w:val="none"/>
                      <w:lang w:eastAsia="zh-CN"/>
                    </w:rPr>
                  </w:pPr>
                </w:p>
              </w:tc>
              <w:tc>
                <w:tcPr>
                  <w:tcW w:w="4069" w:type="dxa"/>
                  <w:noWrap w:val="0"/>
                  <w:vAlign w:val="center"/>
                </w:tcPr>
                <w:p>
                  <w:pPr>
                    <w:jc w:val="center"/>
                    <w:rPr>
                      <w:color w:val="auto"/>
                      <w:sz w:val="21"/>
                      <w:szCs w:val="21"/>
                      <w:u w:val="none"/>
                    </w:rPr>
                  </w:pPr>
                  <w:r>
                    <w:rPr>
                      <w:color w:val="auto"/>
                      <w:sz w:val="21"/>
                      <w:szCs w:val="21"/>
                      <w:u w:val="none"/>
                    </w:rPr>
                    <w:t>颗粒物、SO</w:t>
                  </w:r>
                  <w:r>
                    <w:rPr>
                      <w:color w:val="auto"/>
                      <w:sz w:val="21"/>
                      <w:szCs w:val="21"/>
                      <w:u w:val="none"/>
                      <w:vertAlign w:val="subscript"/>
                    </w:rPr>
                    <w:t>2</w:t>
                  </w:r>
                  <w:r>
                    <w:rPr>
                      <w:color w:val="auto"/>
                      <w:sz w:val="21"/>
                      <w:szCs w:val="21"/>
                      <w:u w:val="none"/>
                    </w:rPr>
                    <w:t>、NOx</w:t>
                  </w:r>
                </w:p>
              </w:tc>
              <w:tc>
                <w:tcPr>
                  <w:tcW w:w="1619" w:type="dxa"/>
                  <w:noWrap w:val="0"/>
                  <w:vAlign w:val="center"/>
                </w:tcPr>
                <w:p>
                  <w:pPr>
                    <w:spacing w:line="360" w:lineRule="exact"/>
                    <w:jc w:val="center"/>
                    <w:rPr>
                      <w:rFonts w:hint="eastAsia" w:ascii="Times New Roman" w:hAnsi="Times New Roman"/>
                      <w:color w:val="auto"/>
                      <w:szCs w:val="21"/>
                      <w:u w:val="none"/>
                    </w:rPr>
                  </w:pPr>
                  <w:r>
                    <w:rPr>
                      <w:rFonts w:hint="eastAsia" w:ascii="宋体" w:hAnsi="宋体"/>
                      <w:color w:val="auto"/>
                      <w:u w:val="none"/>
                      <w:lang w:eastAsia="zh-CN"/>
                    </w:rPr>
                    <w:t>自动监测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0" w:type="dxa"/>
                  <w:vMerge w:val="continue"/>
                  <w:noWrap w:val="0"/>
                  <w:vAlign w:val="center"/>
                </w:tcPr>
                <w:p>
                  <w:pPr>
                    <w:jc w:val="center"/>
                    <w:rPr>
                      <w:rFonts w:hint="eastAsia" w:ascii="Times New Roman" w:hAnsi="Times New Roman"/>
                      <w:color w:val="auto"/>
                      <w:szCs w:val="21"/>
                      <w:u w:val="none"/>
                    </w:rPr>
                  </w:pPr>
                </w:p>
              </w:tc>
              <w:tc>
                <w:tcPr>
                  <w:tcW w:w="1560" w:type="dxa"/>
                  <w:noWrap w:val="0"/>
                  <w:vAlign w:val="center"/>
                </w:tcPr>
                <w:p>
                  <w:pPr>
                    <w:jc w:val="center"/>
                    <w:rPr>
                      <w:rFonts w:hint="eastAsia" w:ascii="Times New Roman" w:hAnsi="Times New Roman"/>
                      <w:color w:val="auto"/>
                      <w:szCs w:val="21"/>
                      <w:u w:val="none"/>
                    </w:rPr>
                  </w:pPr>
                  <w:r>
                    <w:rPr>
                      <w:color w:val="auto"/>
                      <w:sz w:val="21"/>
                      <w:szCs w:val="21"/>
                      <w:u w:val="none"/>
                    </w:rPr>
                    <w:t>厂界上风向、下风向</w:t>
                  </w:r>
                </w:p>
              </w:tc>
              <w:tc>
                <w:tcPr>
                  <w:tcW w:w="4069" w:type="dxa"/>
                  <w:noWrap w:val="0"/>
                  <w:vAlign w:val="center"/>
                </w:tcPr>
                <w:p>
                  <w:pPr>
                    <w:jc w:val="center"/>
                    <w:rPr>
                      <w:rFonts w:hint="eastAsia" w:eastAsia="宋体"/>
                      <w:color w:val="auto"/>
                      <w:sz w:val="21"/>
                      <w:szCs w:val="21"/>
                      <w:u w:val="none"/>
                      <w:lang w:eastAsia="zh-CN"/>
                    </w:rPr>
                  </w:pPr>
                  <w:r>
                    <w:rPr>
                      <w:color w:val="auto"/>
                      <w:sz w:val="21"/>
                      <w:szCs w:val="21"/>
                      <w:u w:val="none"/>
                    </w:rPr>
                    <w:t>颗粒物、</w:t>
                  </w:r>
                  <w:r>
                    <w:rPr>
                      <w:rFonts w:hint="eastAsia"/>
                      <w:color w:val="auto"/>
                      <w:sz w:val="21"/>
                      <w:szCs w:val="21"/>
                      <w:u w:val="none"/>
                      <w:lang w:eastAsia="zh-CN"/>
                    </w:rPr>
                    <w:t>挥发性有机物</w:t>
                  </w:r>
                </w:p>
              </w:tc>
              <w:tc>
                <w:tcPr>
                  <w:tcW w:w="1619" w:type="dxa"/>
                  <w:noWrap w:val="0"/>
                  <w:vAlign w:val="center"/>
                </w:tcPr>
                <w:p>
                  <w:pPr>
                    <w:jc w:val="center"/>
                    <w:rPr>
                      <w:rFonts w:hint="eastAsia" w:ascii="Times New Roman" w:hAnsi="Times New Roman"/>
                      <w:color w:val="auto"/>
                      <w:szCs w:val="21"/>
                      <w:u w:val="none"/>
                    </w:rPr>
                  </w:pPr>
                  <w:r>
                    <w:rPr>
                      <w:rFonts w:hint="eastAsia" w:ascii="Times New Roman" w:hAnsi="Times New Roman"/>
                      <w:color w:val="auto"/>
                      <w:szCs w:val="21"/>
                      <w:u w:val="none"/>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0" w:type="dxa"/>
                  <w:noWrap w:val="0"/>
                  <w:vAlign w:val="center"/>
                </w:tcPr>
                <w:p>
                  <w:pPr>
                    <w:jc w:val="center"/>
                    <w:rPr>
                      <w:rFonts w:ascii="Times New Roman" w:hAnsi="Times New Roman"/>
                      <w:color w:val="auto"/>
                      <w:szCs w:val="21"/>
                      <w:u w:val="none"/>
                    </w:rPr>
                  </w:pPr>
                  <w:r>
                    <w:rPr>
                      <w:rFonts w:hint="eastAsia" w:ascii="Times New Roman" w:hAnsi="Times New Roman"/>
                      <w:color w:val="auto"/>
                      <w:szCs w:val="21"/>
                      <w:u w:val="none"/>
                    </w:rPr>
                    <w:t>噪声</w:t>
                  </w:r>
                </w:p>
              </w:tc>
              <w:tc>
                <w:tcPr>
                  <w:tcW w:w="1560" w:type="dxa"/>
                  <w:noWrap w:val="0"/>
                  <w:vAlign w:val="center"/>
                </w:tcPr>
                <w:p>
                  <w:pPr>
                    <w:jc w:val="center"/>
                    <w:rPr>
                      <w:rFonts w:ascii="Times New Roman" w:hAnsi="Times New Roman"/>
                      <w:color w:val="auto"/>
                      <w:szCs w:val="21"/>
                      <w:u w:val="none"/>
                    </w:rPr>
                  </w:pPr>
                  <w:r>
                    <w:rPr>
                      <w:rFonts w:hint="eastAsia" w:ascii="Times New Roman" w:hAnsi="Times New Roman"/>
                      <w:color w:val="auto"/>
                      <w:szCs w:val="21"/>
                      <w:u w:val="none"/>
                    </w:rPr>
                    <w:t>场界四周</w:t>
                  </w:r>
                </w:p>
              </w:tc>
              <w:tc>
                <w:tcPr>
                  <w:tcW w:w="4069" w:type="dxa"/>
                  <w:noWrap w:val="0"/>
                  <w:vAlign w:val="center"/>
                </w:tcPr>
                <w:p>
                  <w:pPr>
                    <w:jc w:val="center"/>
                    <w:rPr>
                      <w:rFonts w:ascii="Times New Roman" w:hAnsi="Times New Roman"/>
                      <w:color w:val="auto"/>
                      <w:szCs w:val="21"/>
                      <w:u w:val="none"/>
                    </w:rPr>
                  </w:pPr>
                  <w:r>
                    <w:rPr>
                      <w:rFonts w:hint="eastAsia" w:ascii="Times New Roman" w:hAnsi="Times New Roman"/>
                      <w:color w:val="auto"/>
                      <w:szCs w:val="21"/>
                      <w:u w:val="none"/>
                    </w:rPr>
                    <w:t>等效A声级</w:t>
                  </w:r>
                </w:p>
              </w:tc>
              <w:tc>
                <w:tcPr>
                  <w:tcW w:w="1619" w:type="dxa"/>
                  <w:noWrap w:val="0"/>
                  <w:vAlign w:val="center"/>
                </w:tcPr>
                <w:p>
                  <w:pPr>
                    <w:jc w:val="center"/>
                    <w:rPr>
                      <w:rFonts w:ascii="Times New Roman" w:hAnsi="Times New Roman"/>
                      <w:color w:val="auto"/>
                      <w:szCs w:val="21"/>
                      <w:u w:val="none"/>
                    </w:rPr>
                  </w:pPr>
                  <w:r>
                    <w:rPr>
                      <w:rFonts w:hint="eastAsia" w:ascii="Times New Roman" w:hAnsi="Times New Roman"/>
                      <w:color w:val="auto"/>
                      <w:szCs w:val="21"/>
                      <w:u w:val="none"/>
                    </w:rPr>
                    <w:t>1 次/</w:t>
                  </w:r>
                  <w:r>
                    <w:rPr>
                      <w:rFonts w:hint="eastAsia" w:ascii="宋体" w:hAnsi="宋体"/>
                      <w:color w:val="auto"/>
                      <w:u w:val="none"/>
                      <w:lang w:val="en-US" w:eastAsia="zh-CN"/>
                    </w:rPr>
                    <w:t>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0" w:type="dxa"/>
                  <w:noWrap w:val="0"/>
                  <w:vAlign w:val="center"/>
                </w:tcPr>
                <w:p>
                  <w:pPr>
                    <w:jc w:val="center"/>
                    <w:rPr>
                      <w:rFonts w:hint="eastAsia" w:ascii="Times New Roman" w:hAnsi="Times New Roman" w:eastAsia="宋体"/>
                      <w:color w:val="auto"/>
                      <w:szCs w:val="21"/>
                      <w:u w:val="none"/>
                      <w:lang w:eastAsia="zh-CN"/>
                    </w:rPr>
                  </w:pPr>
                  <w:r>
                    <w:rPr>
                      <w:rFonts w:hint="eastAsia"/>
                      <w:color w:val="auto"/>
                      <w:szCs w:val="21"/>
                      <w:u w:val="none"/>
                      <w:lang w:eastAsia="zh-CN"/>
                    </w:rPr>
                    <w:t>废水</w:t>
                  </w:r>
                </w:p>
              </w:tc>
              <w:tc>
                <w:tcPr>
                  <w:tcW w:w="1560" w:type="dxa"/>
                  <w:noWrap w:val="0"/>
                  <w:vAlign w:val="center"/>
                </w:tcPr>
                <w:p>
                  <w:pPr>
                    <w:jc w:val="center"/>
                    <w:rPr>
                      <w:rFonts w:hint="eastAsia" w:ascii="Times New Roman" w:hAnsi="Times New Roman" w:eastAsia="宋体"/>
                      <w:color w:val="auto"/>
                      <w:szCs w:val="21"/>
                      <w:u w:val="none"/>
                      <w:lang w:eastAsia="zh-CN"/>
                    </w:rPr>
                  </w:pPr>
                  <w:r>
                    <w:rPr>
                      <w:rFonts w:hint="eastAsia"/>
                      <w:color w:val="auto"/>
                      <w:szCs w:val="21"/>
                      <w:u w:val="none"/>
                      <w:lang w:eastAsia="zh-CN"/>
                    </w:rPr>
                    <w:t>雨水排放口</w:t>
                  </w:r>
                </w:p>
              </w:tc>
              <w:tc>
                <w:tcPr>
                  <w:tcW w:w="4069" w:type="dxa"/>
                  <w:noWrap w:val="0"/>
                  <w:vAlign w:val="center"/>
                </w:tcPr>
                <w:p>
                  <w:pPr>
                    <w:jc w:val="center"/>
                    <w:rPr>
                      <w:rFonts w:hint="eastAsia" w:ascii="Times New Roman" w:hAnsi="Times New Roman"/>
                      <w:color w:val="auto"/>
                      <w:szCs w:val="21"/>
                      <w:u w:val="none"/>
                    </w:rPr>
                  </w:pPr>
                  <w:r>
                    <w:rPr>
                      <w:rFonts w:hint="eastAsia" w:ascii="Times New Roman" w:hAnsi="Times New Roman" w:eastAsia="宋体"/>
                      <w:color w:val="auto"/>
                      <w:kern w:val="2"/>
                      <w:sz w:val="21"/>
                      <w:szCs w:val="21"/>
                      <w:u w:val="none"/>
                      <w:lang w:eastAsia="zh-CN"/>
                    </w:rPr>
                    <w:t>化学需氧量、悬浮物</w:t>
                  </w:r>
                </w:p>
              </w:tc>
              <w:tc>
                <w:tcPr>
                  <w:tcW w:w="1619" w:type="dxa"/>
                  <w:noWrap w:val="0"/>
                  <w:vAlign w:val="center"/>
                </w:tcPr>
                <w:p>
                  <w:pPr>
                    <w:jc w:val="center"/>
                    <w:rPr>
                      <w:rFonts w:hint="eastAsia" w:ascii="Times New Roman" w:hAnsi="Times New Roman"/>
                      <w:color w:val="auto"/>
                      <w:szCs w:val="21"/>
                      <w:u w:val="none"/>
                    </w:rPr>
                  </w:pPr>
                  <w:r>
                    <w:rPr>
                      <w:rFonts w:hint="eastAsia" w:ascii="Times New Roman" w:hAnsi="Times New Roman" w:eastAsia="宋体"/>
                      <w:color w:val="auto"/>
                      <w:kern w:val="2"/>
                      <w:sz w:val="21"/>
                      <w:szCs w:val="21"/>
                      <w:u w:val="none"/>
                      <w:lang w:val="en-US" w:eastAsia="zh-CN"/>
                    </w:rPr>
                    <w:t>1次/月</w:t>
                  </w:r>
                </w:p>
              </w:tc>
            </w:tr>
          </w:tbl>
          <w:p>
            <w:pPr>
              <w:spacing w:line="360" w:lineRule="auto"/>
              <w:ind w:firstLine="420" w:firstLineChars="200"/>
              <w:rPr>
                <w:rFonts w:hint="eastAsia" w:eastAsia="宋体"/>
                <w:b w:val="0"/>
                <w:bCs w:val="0"/>
                <w:color w:val="auto"/>
                <w:sz w:val="21"/>
                <w:szCs w:val="20"/>
                <w:lang w:eastAsia="zh-CN"/>
              </w:rPr>
            </w:pPr>
            <w:r>
              <w:rPr>
                <w:rFonts w:hint="eastAsia"/>
                <w:b w:val="0"/>
                <w:bCs w:val="0"/>
                <w:color w:val="auto"/>
                <w:sz w:val="21"/>
                <w:szCs w:val="20"/>
                <w:lang w:eastAsia="zh-CN"/>
              </w:rPr>
              <w:t>注：</w:t>
            </w:r>
            <w:r>
              <w:rPr>
                <w:rFonts w:hint="eastAsia" w:ascii="Times New Roman" w:hAnsi="Times New Roman" w:eastAsia="宋体"/>
                <w:color w:val="auto"/>
                <w:kern w:val="2"/>
                <w:sz w:val="21"/>
                <w:szCs w:val="21"/>
                <w:lang w:eastAsia="zh-CN"/>
              </w:rPr>
              <w:t>雨水排放口每月有流动水排放时开展一次监测。如监测一年无异常情况，可放宽至每季度有流动水排放时开展一次监测。</w:t>
            </w:r>
          </w:p>
          <w:p>
            <w:pPr>
              <w:spacing w:line="360" w:lineRule="auto"/>
              <w:ind w:firstLine="482" w:firstLineChars="200"/>
              <w:rPr>
                <w:b/>
                <w:bCs/>
                <w:color w:val="auto"/>
                <w:sz w:val="24"/>
              </w:rPr>
            </w:pPr>
            <w:r>
              <w:rPr>
                <w:rFonts w:hint="eastAsia"/>
                <w:b/>
                <w:bCs/>
                <w:color w:val="auto"/>
                <w:sz w:val="24"/>
              </w:rPr>
              <w:t>3、</w:t>
            </w:r>
            <w:r>
              <w:rPr>
                <w:b/>
                <w:bCs/>
                <w:color w:val="auto"/>
                <w:sz w:val="24"/>
              </w:rPr>
              <w:t>排污口规范化要求</w:t>
            </w:r>
          </w:p>
          <w:p>
            <w:pPr>
              <w:pStyle w:val="2"/>
              <w:spacing w:line="360" w:lineRule="auto"/>
              <w:ind w:firstLine="480" w:firstLineChars="200"/>
              <w:rPr>
                <w:rFonts w:ascii="Times New Roman" w:cs="Times New Roman"/>
                <w:color w:val="auto"/>
              </w:rPr>
            </w:pPr>
            <w:r>
              <w:rPr>
                <w:rFonts w:ascii="Times New Roman" w:cs="Times New Roman"/>
                <w:color w:val="auto"/>
              </w:rPr>
              <w:t>根据国家标准《环境保护图案标志—排放口（源）》和国家环保总局《排污口规范化整治要求》（试行）的技术要求，企业废气排放口必须按照“便于采样、便于计量检测、便于日常现场监督检查”的原则和规范化要求，设置与之相适应的环境保护图形标志牌，绘制企业排污口分布图，排污口的规范化要求符合国家的有关要求。</w:t>
            </w:r>
          </w:p>
          <w:p>
            <w:pPr>
              <w:pStyle w:val="2"/>
              <w:spacing w:line="360" w:lineRule="auto"/>
              <w:rPr>
                <w:rFonts w:ascii="Times New Roman" w:cs="Times New Roman"/>
                <w:b/>
                <w:color w:val="auto"/>
              </w:rPr>
            </w:pPr>
            <w:r>
              <w:rPr>
                <w:rFonts w:hint="eastAsia" w:ascii="Times New Roman" w:cs="Times New Roman"/>
                <w:b/>
                <w:color w:val="auto"/>
              </w:rPr>
              <w:t>十</w:t>
            </w:r>
            <w:r>
              <w:rPr>
                <w:rFonts w:hint="eastAsia" w:ascii="Times New Roman" w:cs="Times New Roman"/>
                <w:b/>
                <w:color w:val="auto"/>
                <w:lang w:eastAsia="zh-CN"/>
              </w:rPr>
              <w:t>一</w:t>
            </w:r>
            <w:r>
              <w:rPr>
                <w:rFonts w:ascii="Times New Roman" w:cs="Times New Roman"/>
                <w:b/>
                <w:color w:val="auto"/>
              </w:rPr>
              <w:t>、总量控制</w:t>
            </w:r>
          </w:p>
          <w:p>
            <w:pPr>
              <w:tabs>
                <w:tab w:val="left" w:pos="735"/>
              </w:tabs>
              <w:spacing w:line="360" w:lineRule="auto"/>
              <w:ind w:firstLine="480" w:firstLineChars="200"/>
              <w:rPr>
                <w:color w:val="auto"/>
                <w:sz w:val="24"/>
              </w:rPr>
            </w:pPr>
            <w:r>
              <w:rPr>
                <w:rFonts w:hint="eastAsia"/>
                <w:color w:val="auto"/>
                <w:sz w:val="24"/>
                <w:lang w:eastAsia="zh-CN"/>
              </w:rPr>
              <w:t>怀化市生态环境</w:t>
            </w:r>
            <w:r>
              <w:rPr>
                <w:rFonts w:hint="eastAsia"/>
                <w:color w:val="auto"/>
                <w:sz w:val="24"/>
              </w:rPr>
              <w:t>局于201</w:t>
            </w:r>
            <w:r>
              <w:rPr>
                <w:rFonts w:hint="eastAsia"/>
                <w:color w:val="auto"/>
                <w:sz w:val="24"/>
                <w:lang w:val="en-US" w:eastAsia="zh-CN"/>
              </w:rPr>
              <w:t>6</w:t>
            </w:r>
            <w:r>
              <w:rPr>
                <w:rFonts w:hint="eastAsia"/>
                <w:color w:val="auto"/>
                <w:sz w:val="24"/>
              </w:rPr>
              <w:t>年核定</w:t>
            </w:r>
            <w:r>
              <w:rPr>
                <w:rFonts w:hint="eastAsia"/>
                <w:color w:val="auto"/>
                <w:sz w:val="24"/>
                <w:lang w:eastAsia="zh-CN"/>
              </w:rPr>
              <w:t>怀化市洪江区欣隆竹胶板厂</w:t>
            </w:r>
            <w:r>
              <w:rPr>
                <w:rFonts w:hint="eastAsia"/>
                <w:color w:val="auto"/>
                <w:sz w:val="24"/>
              </w:rPr>
              <w:t>主要污染物排放权初始分配总量指标为：SO</w:t>
            </w:r>
            <w:r>
              <w:rPr>
                <w:rFonts w:hint="eastAsia"/>
                <w:color w:val="auto"/>
                <w:sz w:val="24"/>
                <w:vertAlign w:val="subscript"/>
              </w:rPr>
              <w:t>2</w:t>
            </w:r>
            <w:r>
              <w:rPr>
                <w:rFonts w:hint="eastAsia"/>
                <w:color w:val="auto"/>
                <w:sz w:val="24"/>
              </w:rPr>
              <w:t xml:space="preserve"> </w:t>
            </w:r>
            <w:r>
              <w:rPr>
                <w:rFonts w:hint="eastAsia"/>
                <w:color w:val="auto"/>
                <w:sz w:val="24"/>
                <w:lang w:val="en-US" w:eastAsia="zh-CN"/>
              </w:rPr>
              <w:t>2.7</w:t>
            </w:r>
            <w:r>
              <w:rPr>
                <w:rFonts w:hint="eastAsia"/>
                <w:color w:val="auto"/>
                <w:sz w:val="24"/>
              </w:rPr>
              <w:t>t/a</w:t>
            </w:r>
            <w:r>
              <w:rPr>
                <w:rFonts w:hint="eastAsia"/>
                <w:color w:val="auto"/>
                <w:sz w:val="24"/>
                <w:lang w:eastAsia="zh-CN"/>
              </w:rPr>
              <w:t>。怀化市洪江区欣隆竹胶板厂于</w:t>
            </w:r>
            <w:r>
              <w:rPr>
                <w:rFonts w:hint="eastAsia"/>
                <w:color w:val="auto"/>
                <w:sz w:val="24"/>
                <w:lang w:val="en-US" w:eastAsia="zh-CN"/>
              </w:rPr>
              <w:t>2016年4月11日</w:t>
            </w:r>
            <w:r>
              <w:rPr>
                <w:rFonts w:hint="eastAsia"/>
                <w:color w:val="auto"/>
                <w:sz w:val="24"/>
                <w:lang w:eastAsia="zh-CN"/>
              </w:rPr>
              <w:t>取得排污权证（（怀）排污权证（</w:t>
            </w:r>
            <w:r>
              <w:rPr>
                <w:rFonts w:hint="eastAsia"/>
                <w:color w:val="auto"/>
                <w:sz w:val="24"/>
                <w:lang w:val="en-US" w:eastAsia="zh-CN"/>
              </w:rPr>
              <w:t>2016</w:t>
            </w:r>
            <w:r>
              <w:rPr>
                <w:rFonts w:hint="eastAsia"/>
                <w:color w:val="auto"/>
                <w:sz w:val="24"/>
                <w:lang w:eastAsia="zh-CN"/>
              </w:rPr>
              <w:t>）第</w:t>
            </w:r>
            <w:r>
              <w:rPr>
                <w:rFonts w:hint="eastAsia"/>
                <w:color w:val="auto"/>
                <w:sz w:val="24"/>
                <w:lang w:val="en-US" w:eastAsia="zh-CN"/>
              </w:rPr>
              <w:t>85号</w:t>
            </w:r>
            <w:r>
              <w:rPr>
                <w:rFonts w:hint="eastAsia"/>
                <w:color w:val="auto"/>
                <w:sz w:val="24"/>
                <w:lang w:eastAsia="zh-CN"/>
              </w:rPr>
              <w:t>）</w:t>
            </w:r>
            <w:r>
              <w:rPr>
                <w:rFonts w:hint="eastAsia"/>
                <w:color w:val="auto"/>
                <w:sz w:val="24"/>
              </w:rPr>
              <w:t>。</w:t>
            </w:r>
          </w:p>
          <w:p>
            <w:pPr>
              <w:tabs>
                <w:tab w:val="left" w:pos="735"/>
              </w:tabs>
              <w:spacing w:line="360" w:lineRule="auto"/>
              <w:ind w:firstLine="480" w:firstLineChars="200"/>
              <w:rPr>
                <w:color w:val="auto"/>
                <w:sz w:val="24"/>
              </w:rPr>
            </w:pPr>
            <w:r>
              <w:rPr>
                <w:color w:val="auto"/>
                <w:sz w:val="24"/>
              </w:rPr>
              <w:t>根据环境特征和本项目污染物排污情况，本</w:t>
            </w:r>
            <w:r>
              <w:rPr>
                <w:rFonts w:hint="eastAsia"/>
                <w:color w:val="auto"/>
                <w:sz w:val="24"/>
                <w:lang w:eastAsia="zh-CN"/>
              </w:rPr>
              <w:t>次扩建</w:t>
            </w:r>
            <w:r>
              <w:rPr>
                <w:color w:val="auto"/>
                <w:sz w:val="24"/>
              </w:rPr>
              <w:t>项目废水主要为</w:t>
            </w:r>
            <w:r>
              <w:rPr>
                <w:rFonts w:hint="eastAsia"/>
                <w:color w:val="auto"/>
                <w:sz w:val="24"/>
                <w:lang w:eastAsia="zh-CN"/>
              </w:rPr>
              <w:t>生产废水，生产废水经沉淀处理后回用，不外排</w:t>
            </w:r>
            <w:r>
              <w:rPr>
                <w:color w:val="auto"/>
                <w:sz w:val="24"/>
              </w:rPr>
              <w:t>，废气主要为颗粒物、二氧化硫和氮氧化物，本</w:t>
            </w:r>
            <w:r>
              <w:rPr>
                <w:rFonts w:hint="eastAsia"/>
                <w:color w:val="auto"/>
                <w:sz w:val="24"/>
                <w:lang w:eastAsia="zh-CN"/>
              </w:rPr>
              <w:t>次扩建</w:t>
            </w:r>
            <w:r>
              <w:rPr>
                <w:color w:val="auto"/>
                <w:sz w:val="24"/>
              </w:rPr>
              <w:t>项目需总量排放指标为</w:t>
            </w:r>
            <w:r>
              <w:rPr>
                <w:color w:val="auto"/>
                <w:sz w:val="24"/>
                <w:u w:val="single"/>
              </w:rPr>
              <w:t>SO</w:t>
            </w:r>
            <w:r>
              <w:rPr>
                <w:color w:val="auto"/>
                <w:sz w:val="24"/>
                <w:u w:val="single"/>
                <w:vertAlign w:val="subscript"/>
              </w:rPr>
              <w:t>2</w:t>
            </w:r>
            <w:r>
              <w:rPr>
                <w:color w:val="auto"/>
                <w:sz w:val="24"/>
                <w:u w:val="single"/>
              </w:rPr>
              <w:t>：</w:t>
            </w:r>
            <w:r>
              <w:rPr>
                <w:rFonts w:hint="eastAsia"/>
                <w:color w:val="auto"/>
                <w:sz w:val="24"/>
                <w:u w:val="single"/>
                <w:lang w:val="en-US" w:eastAsia="zh-CN"/>
              </w:rPr>
              <w:t>1.24</w:t>
            </w:r>
            <w:r>
              <w:rPr>
                <w:color w:val="auto"/>
                <w:sz w:val="24"/>
                <w:u w:val="single"/>
              </w:rPr>
              <w:t>t/a，NO</w:t>
            </w:r>
            <w:r>
              <w:rPr>
                <w:color w:val="auto"/>
                <w:sz w:val="24"/>
                <w:u w:val="single"/>
                <w:vertAlign w:val="subscript"/>
              </w:rPr>
              <w:t>x</w:t>
            </w:r>
            <w:r>
              <w:rPr>
                <w:color w:val="auto"/>
                <w:sz w:val="24"/>
                <w:u w:val="single"/>
              </w:rPr>
              <w:t>：</w:t>
            </w:r>
            <w:r>
              <w:rPr>
                <w:rFonts w:hint="eastAsia"/>
                <w:color w:val="auto"/>
                <w:sz w:val="24"/>
                <w:u w:val="single"/>
                <w:lang w:val="en-US" w:eastAsia="zh-CN"/>
              </w:rPr>
              <w:t>2.04</w:t>
            </w:r>
            <w:r>
              <w:rPr>
                <w:color w:val="auto"/>
                <w:sz w:val="24"/>
                <w:u w:val="single"/>
              </w:rPr>
              <w:t>t/a。</w:t>
            </w:r>
          </w:p>
          <w:p>
            <w:pPr>
              <w:spacing w:line="360" w:lineRule="auto"/>
              <w:ind w:firstLine="480" w:firstLineChars="200"/>
              <w:rPr>
                <w:b/>
                <w:color w:val="auto"/>
                <w:spacing w:val="4"/>
                <w:szCs w:val="21"/>
                <w:u w:val="none"/>
              </w:rPr>
            </w:pPr>
            <w:r>
              <w:rPr>
                <w:rFonts w:hint="eastAsia"/>
                <w:color w:val="auto"/>
                <w:kern w:val="0"/>
                <w:sz w:val="24"/>
                <w:szCs w:val="24"/>
                <w:u w:val="none"/>
              </w:rPr>
              <w:t>扩建项目实施后，经核算全厂SO</w:t>
            </w:r>
            <w:r>
              <w:rPr>
                <w:rFonts w:hint="eastAsia"/>
                <w:color w:val="auto"/>
                <w:kern w:val="0"/>
                <w:sz w:val="24"/>
                <w:szCs w:val="24"/>
                <w:u w:val="none"/>
                <w:vertAlign w:val="subscript"/>
              </w:rPr>
              <w:t>2</w:t>
            </w:r>
            <w:r>
              <w:rPr>
                <w:rFonts w:hint="eastAsia"/>
                <w:color w:val="auto"/>
                <w:kern w:val="0"/>
                <w:sz w:val="24"/>
                <w:szCs w:val="24"/>
                <w:u w:val="none"/>
              </w:rPr>
              <w:t>实际总排放量</w:t>
            </w:r>
            <w:r>
              <w:rPr>
                <w:rFonts w:hint="eastAsia"/>
                <w:color w:val="auto"/>
                <w:kern w:val="0"/>
                <w:sz w:val="24"/>
                <w:szCs w:val="24"/>
                <w:u w:val="single"/>
                <w:lang w:val="en-US" w:eastAsia="zh-CN"/>
              </w:rPr>
              <w:t>1.66</w:t>
            </w:r>
            <w:r>
              <w:rPr>
                <w:rFonts w:hint="eastAsia"/>
                <w:color w:val="auto"/>
                <w:kern w:val="0"/>
                <w:sz w:val="24"/>
                <w:szCs w:val="24"/>
                <w:u w:val="single"/>
              </w:rPr>
              <w:t>t</w:t>
            </w:r>
            <w:r>
              <w:rPr>
                <w:rFonts w:hint="eastAsia"/>
                <w:color w:val="auto"/>
                <w:kern w:val="0"/>
                <w:sz w:val="24"/>
                <w:szCs w:val="24"/>
                <w:u w:val="none"/>
              </w:rPr>
              <w:t>/a，全厂NOx实际总排放量</w:t>
            </w:r>
            <w:r>
              <w:rPr>
                <w:rFonts w:hint="eastAsia"/>
                <w:color w:val="auto"/>
                <w:kern w:val="0"/>
                <w:sz w:val="24"/>
                <w:szCs w:val="24"/>
                <w:u w:val="single"/>
                <w:lang w:val="en-US" w:eastAsia="zh-CN"/>
              </w:rPr>
              <w:t>2.89</w:t>
            </w:r>
            <w:r>
              <w:rPr>
                <w:rFonts w:hint="eastAsia"/>
                <w:color w:val="auto"/>
                <w:kern w:val="0"/>
                <w:sz w:val="24"/>
                <w:szCs w:val="24"/>
                <w:u w:val="none"/>
              </w:rPr>
              <w:t>t/a。</w:t>
            </w:r>
            <w:r>
              <w:rPr>
                <w:rFonts w:hint="eastAsia"/>
                <w:color w:val="auto"/>
                <w:sz w:val="24"/>
                <w:szCs w:val="24"/>
                <w:u w:val="none"/>
              </w:rPr>
              <w:t>氮氧化物超出总量控制指标要求，</w:t>
            </w:r>
            <w:r>
              <w:rPr>
                <w:rFonts w:hint="eastAsia"/>
                <w:color w:val="auto"/>
                <w:sz w:val="24"/>
                <w:szCs w:val="20"/>
                <w:u w:val="none"/>
              </w:rPr>
              <w:t>企业</w:t>
            </w:r>
            <w:r>
              <w:rPr>
                <w:rFonts w:hint="eastAsia"/>
                <w:color w:val="auto"/>
                <w:sz w:val="24"/>
                <w:szCs w:val="20"/>
                <w:u w:val="none"/>
                <w:lang w:eastAsia="zh-CN"/>
              </w:rPr>
              <w:t>需</w:t>
            </w:r>
            <w:r>
              <w:rPr>
                <w:rFonts w:hint="eastAsia"/>
                <w:color w:val="auto"/>
                <w:sz w:val="24"/>
                <w:szCs w:val="20"/>
                <w:u w:val="none"/>
              </w:rPr>
              <w:t>重新购买污染物交易权</w:t>
            </w:r>
            <w:r>
              <w:rPr>
                <w:rFonts w:hint="eastAsia"/>
                <w:color w:val="auto"/>
                <w:kern w:val="0"/>
                <w:sz w:val="24"/>
                <w:szCs w:val="24"/>
                <w:u w:val="none"/>
              </w:rPr>
              <w:t>。</w:t>
            </w:r>
          </w:p>
          <w:p>
            <w:pPr>
              <w:ind w:firstLine="438" w:firstLineChars="200"/>
              <w:jc w:val="center"/>
              <w:rPr>
                <w:b/>
                <w:color w:val="auto"/>
                <w:spacing w:val="4"/>
                <w:szCs w:val="21"/>
                <w:u w:val="none"/>
              </w:rPr>
            </w:pPr>
            <w:r>
              <w:rPr>
                <w:b/>
                <w:color w:val="auto"/>
                <w:spacing w:val="4"/>
                <w:szCs w:val="21"/>
                <w:u w:val="none"/>
              </w:rPr>
              <w:t>表</w:t>
            </w:r>
            <w:r>
              <w:rPr>
                <w:rFonts w:hint="eastAsia"/>
                <w:b/>
                <w:color w:val="auto"/>
                <w:spacing w:val="4"/>
                <w:szCs w:val="21"/>
                <w:u w:val="none"/>
                <w:lang w:val="en-US" w:eastAsia="zh-CN"/>
              </w:rPr>
              <w:t>7-29</w:t>
            </w:r>
            <w:r>
              <w:rPr>
                <w:b/>
                <w:color w:val="auto"/>
                <w:spacing w:val="4"/>
                <w:szCs w:val="21"/>
                <w:u w:val="none"/>
              </w:rPr>
              <w:t xml:space="preserve">  总量控制指标</w:t>
            </w:r>
            <w:r>
              <w:rPr>
                <w:rFonts w:hint="eastAsia"/>
                <w:b/>
                <w:color w:val="auto"/>
                <w:spacing w:val="4"/>
                <w:szCs w:val="21"/>
                <w:u w:val="none"/>
                <w:lang w:eastAsia="zh-CN"/>
              </w:rPr>
              <w:t>情况</w:t>
            </w:r>
            <w:r>
              <w:rPr>
                <w:b/>
                <w:color w:val="auto"/>
                <w:spacing w:val="4"/>
                <w:szCs w:val="21"/>
                <w:u w:val="none"/>
              </w:rPr>
              <w:t xml:space="preserve">  单位：t/a</w:t>
            </w:r>
          </w:p>
          <w:tbl>
            <w:tblPr>
              <w:tblStyle w:val="22"/>
              <w:tblW w:w="502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64"/>
              <w:gridCol w:w="2905"/>
              <w:gridCol w:w="25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1839" w:type="pct"/>
                  <w:vMerge w:val="restart"/>
                  <w:noWrap w:val="0"/>
                  <w:vAlign w:val="center"/>
                </w:tcPr>
                <w:p>
                  <w:pPr>
                    <w:jc w:val="center"/>
                    <w:rPr>
                      <w:rFonts w:hint="eastAsia" w:eastAsia="宋体"/>
                      <w:color w:val="auto"/>
                      <w:szCs w:val="21"/>
                      <w:u w:val="none"/>
                      <w:lang w:eastAsia="zh-CN"/>
                    </w:rPr>
                  </w:pPr>
                  <w:r>
                    <w:rPr>
                      <w:rFonts w:hint="eastAsia"/>
                      <w:color w:val="auto"/>
                      <w:szCs w:val="21"/>
                      <w:u w:val="none"/>
                      <w:lang w:eastAsia="zh-CN"/>
                    </w:rPr>
                    <w:t>类别</w:t>
                  </w:r>
                </w:p>
              </w:tc>
              <w:tc>
                <w:tcPr>
                  <w:tcW w:w="3160" w:type="pct"/>
                  <w:gridSpan w:val="2"/>
                  <w:noWrap w:val="0"/>
                  <w:vAlign w:val="center"/>
                </w:tcPr>
                <w:p>
                  <w:pPr>
                    <w:autoSpaceDE w:val="0"/>
                    <w:autoSpaceDN w:val="0"/>
                    <w:adjustRightInd w:val="0"/>
                    <w:jc w:val="center"/>
                    <w:rPr>
                      <w:color w:val="auto"/>
                      <w:szCs w:val="21"/>
                      <w:u w:val="none"/>
                    </w:rPr>
                  </w:pPr>
                  <w:r>
                    <w:rPr>
                      <w:rFonts w:hint="eastAsia"/>
                      <w:b/>
                      <w:color w:val="auto"/>
                      <w:u w:val="none"/>
                    </w:rPr>
                    <w:t>气型污染物（t/a）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1839" w:type="pct"/>
                  <w:vMerge w:val="continue"/>
                  <w:noWrap w:val="0"/>
                  <w:vAlign w:val="center"/>
                </w:tcPr>
                <w:p>
                  <w:pPr>
                    <w:jc w:val="center"/>
                    <w:rPr>
                      <w:rFonts w:hint="eastAsia"/>
                      <w:color w:val="auto"/>
                      <w:szCs w:val="21"/>
                      <w:u w:val="none"/>
                      <w:lang w:eastAsia="zh-CN"/>
                    </w:rPr>
                  </w:pPr>
                </w:p>
              </w:tc>
              <w:tc>
                <w:tcPr>
                  <w:tcW w:w="1688" w:type="pct"/>
                  <w:noWrap w:val="0"/>
                  <w:vAlign w:val="center"/>
                </w:tcPr>
                <w:p>
                  <w:pPr>
                    <w:autoSpaceDE w:val="0"/>
                    <w:autoSpaceDN w:val="0"/>
                    <w:adjustRightInd w:val="0"/>
                    <w:jc w:val="center"/>
                    <w:rPr>
                      <w:color w:val="auto"/>
                      <w:szCs w:val="21"/>
                      <w:u w:val="none"/>
                    </w:rPr>
                  </w:pPr>
                  <w:r>
                    <w:rPr>
                      <w:b/>
                      <w:color w:val="auto"/>
                      <w:kern w:val="0"/>
                      <w:u w:val="none"/>
                    </w:rPr>
                    <w:t>SO</w:t>
                  </w:r>
                  <w:r>
                    <w:rPr>
                      <w:b/>
                      <w:color w:val="auto"/>
                      <w:kern w:val="0"/>
                      <w:u w:val="none"/>
                      <w:vertAlign w:val="subscript"/>
                    </w:rPr>
                    <w:t>2</w:t>
                  </w:r>
                </w:p>
              </w:tc>
              <w:tc>
                <w:tcPr>
                  <w:tcW w:w="1471" w:type="pct"/>
                  <w:noWrap w:val="0"/>
                  <w:vAlign w:val="center"/>
                </w:tcPr>
                <w:p>
                  <w:pPr>
                    <w:autoSpaceDE w:val="0"/>
                    <w:autoSpaceDN w:val="0"/>
                    <w:adjustRightInd w:val="0"/>
                    <w:jc w:val="center"/>
                    <w:rPr>
                      <w:color w:val="auto"/>
                      <w:szCs w:val="21"/>
                      <w:u w:val="none"/>
                    </w:rPr>
                  </w:pPr>
                  <w:r>
                    <w:rPr>
                      <w:b/>
                      <w:color w:val="auto"/>
                      <w:kern w:val="0"/>
                      <w:u w:val="none"/>
                    </w:rPr>
                    <w:t>NOx</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839" w:type="pct"/>
                  <w:noWrap w:val="0"/>
                  <w:vAlign w:val="center"/>
                </w:tcPr>
                <w:p>
                  <w:pPr>
                    <w:jc w:val="center"/>
                    <w:rPr>
                      <w:rFonts w:hint="eastAsia" w:eastAsia="宋体"/>
                      <w:color w:val="auto"/>
                      <w:szCs w:val="21"/>
                      <w:u w:val="none"/>
                      <w:lang w:eastAsia="zh-CN"/>
                    </w:rPr>
                  </w:pPr>
                  <w:r>
                    <w:rPr>
                      <w:rFonts w:hint="eastAsia"/>
                      <w:color w:val="auto"/>
                      <w:szCs w:val="21"/>
                      <w:u w:val="none"/>
                      <w:lang w:eastAsia="zh-CN"/>
                    </w:rPr>
                    <w:t>已建项目排放量</w:t>
                  </w:r>
                </w:p>
              </w:tc>
              <w:tc>
                <w:tcPr>
                  <w:tcW w:w="1688" w:type="pct"/>
                  <w:noWrap w:val="0"/>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0.42</w:t>
                  </w:r>
                </w:p>
              </w:tc>
              <w:tc>
                <w:tcPr>
                  <w:tcW w:w="1471" w:type="pct"/>
                  <w:noWrap w:val="0"/>
                  <w:vAlign w:val="center"/>
                </w:tcPr>
                <w:p>
                  <w:pPr>
                    <w:pStyle w:val="60"/>
                    <w:numPr>
                      <w:ilvl w:val="0"/>
                      <w:numId w:val="0"/>
                    </w:numPr>
                    <w:rPr>
                      <w:rFonts w:hint="default" w:ascii="Times New Roman"/>
                      <w:b w:val="0"/>
                      <w:bCs/>
                      <w:color w:val="auto"/>
                      <w:sz w:val="21"/>
                      <w:szCs w:val="21"/>
                      <w:u w:val="single"/>
                      <w:lang w:val="en-US" w:eastAsia="zh-CN"/>
                    </w:rPr>
                  </w:pPr>
                  <w:r>
                    <w:rPr>
                      <w:rFonts w:hint="eastAsia" w:ascii="Times New Roman"/>
                      <w:b w:val="0"/>
                      <w:bCs/>
                      <w:color w:val="auto"/>
                      <w:sz w:val="21"/>
                      <w:szCs w:val="21"/>
                      <w:u w:val="singl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1839" w:type="pct"/>
                  <w:noWrap w:val="0"/>
                  <w:vAlign w:val="center"/>
                </w:tcPr>
                <w:p>
                  <w:pPr>
                    <w:jc w:val="center"/>
                    <w:rPr>
                      <w:rFonts w:hint="eastAsia" w:eastAsia="宋体"/>
                      <w:color w:val="auto"/>
                      <w:szCs w:val="21"/>
                      <w:u w:val="none"/>
                      <w:lang w:eastAsia="zh-CN"/>
                    </w:rPr>
                  </w:pPr>
                  <w:r>
                    <w:rPr>
                      <w:rFonts w:hint="eastAsia"/>
                      <w:color w:val="auto"/>
                      <w:szCs w:val="21"/>
                      <w:u w:val="none"/>
                      <w:lang w:eastAsia="zh-CN"/>
                    </w:rPr>
                    <w:t>本次扩建项目排放量</w:t>
                  </w:r>
                </w:p>
              </w:tc>
              <w:tc>
                <w:tcPr>
                  <w:tcW w:w="1688" w:type="pct"/>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eastAsia"/>
                      <w:b w:val="0"/>
                      <w:bCs/>
                      <w:color w:val="auto"/>
                      <w:sz w:val="21"/>
                      <w:szCs w:val="21"/>
                      <w:u w:val="single"/>
                      <w:lang w:val="en-US" w:eastAsia="zh-CN"/>
                    </w:rPr>
                    <w:t>1.24</w:t>
                  </w:r>
                </w:p>
              </w:tc>
              <w:tc>
                <w:tcPr>
                  <w:tcW w:w="1471" w:type="pct"/>
                  <w:noWrap w:val="0"/>
                  <w:vAlign w:val="center"/>
                </w:tcPr>
                <w:p>
                  <w:pPr>
                    <w:pStyle w:val="60"/>
                    <w:numPr>
                      <w:ilvl w:val="0"/>
                      <w:numId w:val="0"/>
                    </w:numPr>
                    <w:ind w:left="0" w:leftChars="0" w:firstLine="0" w:firstLineChars="0"/>
                    <w:rPr>
                      <w:rFonts w:ascii="Times New Roman" w:hAnsi="Times New Roman" w:eastAsia="宋体" w:cs="Times New Roman"/>
                      <w:b w:val="0"/>
                      <w:bCs/>
                      <w:color w:val="auto"/>
                      <w:kern w:val="2"/>
                      <w:sz w:val="21"/>
                      <w:szCs w:val="21"/>
                      <w:u w:val="single"/>
                      <w:lang w:val="en-US" w:eastAsia="zh-CN" w:bidi="ar-SA"/>
                    </w:rPr>
                  </w:pPr>
                  <w:r>
                    <w:rPr>
                      <w:rFonts w:hint="eastAsia" w:ascii="Times New Roman"/>
                      <w:b w:val="0"/>
                      <w:bCs/>
                      <w:color w:val="auto"/>
                      <w:sz w:val="21"/>
                      <w:szCs w:val="21"/>
                      <w:u w:val="single"/>
                      <w:lang w:val="en-US" w:eastAsia="zh-CN"/>
                    </w:rPr>
                    <w:t xml:space="preserve">2.04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839" w:type="pct"/>
                  <w:noWrap w:val="0"/>
                  <w:vAlign w:val="center"/>
                </w:tcPr>
                <w:p>
                  <w:pPr>
                    <w:jc w:val="center"/>
                    <w:rPr>
                      <w:rFonts w:hint="eastAsia"/>
                      <w:color w:val="auto"/>
                      <w:szCs w:val="21"/>
                      <w:u w:val="none"/>
                      <w:lang w:eastAsia="zh-CN"/>
                    </w:rPr>
                  </w:pPr>
                  <w:r>
                    <w:rPr>
                      <w:rFonts w:hint="eastAsia"/>
                      <w:color w:val="auto"/>
                      <w:szCs w:val="21"/>
                      <w:u w:val="none"/>
                      <w:lang w:eastAsia="zh-CN"/>
                    </w:rPr>
                    <w:t>扩建完成后总排放量</w:t>
                  </w:r>
                </w:p>
              </w:tc>
              <w:tc>
                <w:tcPr>
                  <w:tcW w:w="1688" w:type="pct"/>
                  <w:noWrap w:val="0"/>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2.307</w:t>
                  </w:r>
                </w:p>
              </w:tc>
              <w:tc>
                <w:tcPr>
                  <w:tcW w:w="1471" w:type="pct"/>
                  <w:noWrap w:val="0"/>
                  <w:vAlign w:val="center"/>
                </w:tcPr>
                <w:p>
                  <w:pPr>
                    <w:pStyle w:val="60"/>
                    <w:numPr>
                      <w:ilvl w:val="0"/>
                      <w:numId w:val="0"/>
                    </w:numPr>
                    <w:rPr>
                      <w:rFonts w:hint="default" w:ascii="Times New Roman" w:eastAsia="宋体"/>
                      <w:b w:val="0"/>
                      <w:bCs/>
                      <w:color w:val="auto"/>
                      <w:sz w:val="21"/>
                      <w:szCs w:val="21"/>
                      <w:u w:val="single"/>
                      <w:lang w:val="en-US" w:eastAsia="zh-CN"/>
                    </w:rPr>
                  </w:pPr>
                  <w:r>
                    <w:rPr>
                      <w:rFonts w:hint="eastAsia" w:ascii="Times New Roman"/>
                      <w:b w:val="0"/>
                      <w:bCs/>
                      <w:color w:val="auto"/>
                      <w:sz w:val="21"/>
                      <w:szCs w:val="21"/>
                      <w:u w:val="single"/>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839" w:type="pct"/>
                  <w:noWrap w:val="0"/>
                  <w:vAlign w:val="center"/>
                </w:tcPr>
                <w:p>
                  <w:pPr>
                    <w:autoSpaceDE w:val="0"/>
                    <w:autoSpaceDN w:val="0"/>
                    <w:adjustRightInd w:val="0"/>
                    <w:jc w:val="center"/>
                    <w:rPr>
                      <w:color w:val="auto"/>
                      <w:u w:val="none"/>
                    </w:rPr>
                  </w:pPr>
                  <w:r>
                    <w:rPr>
                      <w:rFonts w:hint="eastAsia"/>
                      <w:color w:val="auto"/>
                      <w:u w:val="none"/>
                      <w:lang w:eastAsia="zh-CN"/>
                    </w:rPr>
                    <w:t>现有初始分配总量</w:t>
                  </w:r>
                </w:p>
              </w:tc>
              <w:tc>
                <w:tcPr>
                  <w:tcW w:w="1688" w:type="pct"/>
                  <w:noWrap w:val="0"/>
                  <w:vAlign w:val="center"/>
                </w:tcPr>
                <w:p>
                  <w:pPr>
                    <w:autoSpaceDE w:val="0"/>
                    <w:autoSpaceDN w:val="0"/>
                    <w:adjustRightInd w:val="0"/>
                    <w:jc w:val="center"/>
                    <w:rPr>
                      <w:rFonts w:hint="eastAsia" w:ascii="Times New Roman" w:hAnsi="Times New Roman" w:eastAsia="宋体" w:cs="Times New Roman"/>
                      <w:color w:val="auto"/>
                      <w:kern w:val="2"/>
                      <w:sz w:val="21"/>
                      <w:szCs w:val="22"/>
                      <w:u w:val="single"/>
                      <w:lang w:val="en-US" w:eastAsia="zh-CN" w:bidi="ar-SA"/>
                    </w:rPr>
                  </w:pPr>
                  <w:r>
                    <w:rPr>
                      <w:rFonts w:hint="eastAsia"/>
                      <w:color w:val="auto"/>
                      <w:u w:val="single"/>
                      <w:lang w:val="en-US" w:eastAsia="zh-CN"/>
                    </w:rPr>
                    <w:t>2.7</w:t>
                  </w:r>
                </w:p>
              </w:tc>
              <w:tc>
                <w:tcPr>
                  <w:tcW w:w="1471" w:type="pct"/>
                  <w:noWrap w:val="0"/>
                  <w:vAlign w:val="center"/>
                </w:tcPr>
                <w:p>
                  <w:pPr>
                    <w:autoSpaceDE w:val="0"/>
                    <w:autoSpaceDN w:val="0"/>
                    <w:adjustRightInd w:val="0"/>
                    <w:jc w:val="center"/>
                    <w:rPr>
                      <w:rFonts w:hint="default" w:ascii="Times New Roman" w:hAnsi="Times New Roman" w:eastAsia="宋体" w:cs="Times New Roman"/>
                      <w:color w:val="auto"/>
                      <w:kern w:val="2"/>
                      <w:sz w:val="21"/>
                      <w:szCs w:val="22"/>
                      <w:u w:val="single"/>
                      <w:lang w:val="en-US" w:eastAsia="zh-CN" w:bidi="ar-SA"/>
                    </w:rPr>
                  </w:pPr>
                  <w:r>
                    <w:rPr>
                      <w:rFonts w:hint="eastAsia"/>
                      <w:color w:val="auto"/>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839" w:type="pct"/>
                  <w:noWrap w:val="0"/>
                  <w:vAlign w:val="center"/>
                </w:tcPr>
                <w:p>
                  <w:pPr>
                    <w:autoSpaceDE w:val="0"/>
                    <w:autoSpaceDN w:val="0"/>
                    <w:adjustRightInd w:val="0"/>
                    <w:jc w:val="center"/>
                    <w:rPr>
                      <w:rFonts w:hint="eastAsia"/>
                      <w:color w:val="auto"/>
                      <w:u w:val="none"/>
                      <w:lang w:eastAsia="zh-CN"/>
                    </w:rPr>
                  </w:pPr>
                  <w:r>
                    <w:rPr>
                      <w:rFonts w:hint="eastAsia"/>
                      <w:color w:val="auto"/>
                      <w:u w:val="none"/>
                      <w:lang w:eastAsia="zh-CN"/>
                    </w:rPr>
                    <w:t>本次环评需交易总量</w:t>
                  </w:r>
                </w:p>
              </w:tc>
              <w:tc>
                <w:tcPr>
                  <w:tcW w:w="1688" w:type="pct"/>
                  <w:noWrap w:val="0"/>
                  <w:vAlign w:val="center"/>
                </w:tcPr>
                <w:p>
                  <w:pPr>
                    <w:autoSpaceDE w:val="0"/>
                    <w:autoSpaceDN w:val="0"/>
                    <w:adjustRightInd w:val="0"/>
                    <w:jc w:val="center"/>
                    <w:rPr>
                      <w:rFonts w:hint="default"/>
                      <w:color w:val="auto"/>
                      <w:u w:val="single"/>
                      <w:lang w:val="en-US" w:eastAsia="zh-CN"/>
                    </w:rPr>
                  </w:pPr>
                  <w:r>
                    <w:rPr>
                      <w:rFonts w:hint="eastAsia"/>
                      <w:color w:val="auto"/>
                      <w:u w:val="single"/>
                      <w:lang w:val="en-US" w:eastAsia="zh-CN"/>
                    </w:rPr>
                    <w:t>0</w:t>
                  </w:r>
                </w:p>
              </w:tc>
              <w:tc>
                <w:tcPr>
                  <w:tcW w:w="1471" w:type="pct"/>
                  <w:noWrap w:val="0"/>
                  <w:vAlign w:val="center"/>
                </w:tcPr>
                <w:p>
                  <w:pPr>
                    <w:autoSpaceDE w:val="0"/>
                    <w:autoSpaceDN w:val="0"/>
                    <w:adjustRightInd w:val="0"/>
                    <w:jc w:val="center"/>
                    <w:rPr>
                      <w:rFonts w:hint="default"/>
                      <w:color w:val="auto"/>
                      <w:u w:val="single"/>
                      <w:lang w:val="en-US" w:eastAsia="zh-CN"/>
                    </w:rPr>
                  </w:pPr>
                  <w:r>
                    <w:rPr>
                      <w:rFonts w:hint="eastAsia"/>
                      <w:color w:val="auto"/>
                      <w:u w:val="single"/>
                      <w:lang w:val="en-US" w:eastAsia="zh-CN"/>
                    </w:rPr>
                    <w:t>2.89</w:t>
                  </w:r>
                </w:p>
              </w:tc>
            </w:tr>
          </w:tbl>
          <w:p>
            <w:pPr>
              <w:spacing w:line="360" w:lineRule="auto"/>
              <w:rPr>
                <w:rFonts w:hint="eastAsia" w:eastAsia="宋体"/>
                <w:color w:val="auto"/>
                <w:lang w:eastAsia="zh-CN"/>
              </w:rPr>
            </w:pPr>
          </w:p>
        </w:tc>
      </w:tr>
    </w:tbl>
    <w:p>
      <w:pPr>
        <w:pStyle w:val="2"/>
        <w:rPr>
          <w:color w:val="auto"/>
          <w:sz w:val="24"/>
          <w:szCs w:val="24"/>
        </w:rPr>
        <w:sectPr>
          <w:pgSz w:w="11906" w:h="16838"/>
          <w:pgMar w:top="1440" w:right="1800" w:bottom="1440" w:left="1800" w:header="851" w:footer="992" w:gutter="0"/>
          <w:pgNumType w:fmt="decimal"/>
          <w:cols w:space="425" w:num="1"/>
          <w:docGrid w:type="lines" w:linePitch="312" w:charSpace="0"/>
        </w:sectPr>
      </w:pPr>
    </w:p>
    <w:p>
      <w:pPr>
        <w:pStyle w:val="3"/>
        <w:keepNext w:val="0"/>
        <w:keepLines w:val="0"/>
        <w:suppressAutoHyphens/>
        <w:topLinePunct/>
        <w:spacing w:before="0" w:after="0" w:line="240" w:lineRule="auto"/>
        <w:rPr>
          <w:rFonts w:hint="eastAsia"/>
          <w:bCs w:val="0"/>
          <w:color w:val="auto"/>
          <w:kern w:val="0"/>
          <w:sz w:val="28"/>
          <w:szCs w:val="28"/>
        </w:rPr>
      </w:pPr>
      <w:bookmarkStart w:id="18" w:name="_Toc29308633"/>
      <w:bookmarkStart w:id="19" w:name="_Toc29307433"/>
      <w:r>
        <w:rPr>
          <w:rFonts w:hint="eastAsia"/>
          <w:bCs w:val="0"/>
          <w:color w:val="auto"/>
          <w:kern w:val="0"/>
          <w:sz w:val="28"/>
          <w:szCs w:val="28"/>
        </w:rPr>
        <w:t>八、建设项目采取的防治措施及预期治理效果</w:t>
      </w:r>
      <w:bookmarkEnd w:id="18"/>
      <w:bookmarkEnd w:id="19"/>
    </w:p>
    <w:tbl>
      <w:tblPr>
        <w:tblStyle w:val="22"/>
        <w:tblpPr w:leftFromText="181" w:rightFromText="181" w:vertAnchor="text" w:tblpX="-294" w:tblpY="1"/>
        <w:tblOverlap w:val="never"/>
        <w:tblW w:w="90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1"/>
        <w:gridCol w:w="780"/>
        <w:gridCol w:w="1299"/>
        <w:gridCol w:w="1605"/>
        <w:gridCol w:w="290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141" w:type="dxa"/>
            <w:gridSpan w:val="2"/>
            <w:noWrap w:val="0"/>
            <w:vAlign w:val="center"/>
          </w:tcPr>
          <w:p>
            <w:pPr>
              <w:suppressAutoHyphens/>
              <w:topLinePunct/>
              <w:spacing w:line="360" w:lineRule="auto"/>
              <w:jc w:val="center"/>
              <w:rPr>
                <w:rFonts w:hint="eastAsia" w:ascii="Times New Roman" w:hAnsi="Times New Roman"/>
                <w:color w:val="auto"/>
                <w:szCs w:val="21"/>
              </w:rPr>
            </w:pPr>
            <w:r>
              <w:rPr>
                <w:rFonts w:hint="eastAsia" w:ascii="Times New Roman" w:hAnsi="Times New Roman"/>
                <w:color w:val="auto"/>
                <w:szCs w:val="21"/>
              </w:rPr>
              <w:t>内容</w:t>
            </w:r>
          </w:p>
        </w:tc>
        <w:tc>
          <w:tcPr>
            <w:tcW w:w="1299" w:type="dxa"/>
            <w:noWrap w:val="0"/>
            <w:vAlign w:val="center"/>
          </w:tcPr>
          <w:p>
            <w:pPr>
              <w:suppressAutoHyphens/>
              <w:topLinePunct/>
              <w:spacing w:line="360" w:lineRule="auto"/>
              <w:jc w:val="center"/>
              <w:rPr>
                <w:rFonts w:ascii="Times New Roman" w:hAnsi="Times New Roman"/>
                <w:color w:val="auto"/>
                <w:szCs w:val="21"/>
              </w:rPr>
            </w:pPr>
            <w:r>
              <w:rPr>
                <w:rFonts w:hint="eastAsia" w:ascii="Times New Roman" w:hAnsi="Times New Roman"/>
                <w:color w:val="auto"/>
                <w:szCs w:val="21"/>
              </w:rPr>
              <w:t>排放源</w:t>
            </w:r>
          </w:p>
        </w:tc>
        <w:tc>
          <w:tcPr>
            <w:tcW w:w="1605" w:type="dxa"/>
            <w:noWrap w:val="0"/>
            <w:vAlign w:val="center"/>
          </w:tcPr>
          <w:p>
            <w:pPr>
              <w:suppressAutoHyphens/>
              <w:topLinePunct/>
              <w:spacing w:line="360" w:lineRule="auto"/>
              <w:jc w:val="center"/>
              <w:rPr>
                <w:rFonts w:ascii="Times New Roman" w:hAnsi="Times New Roman"/>
                <w:color w:val="auto"/>
                <w:szCs w:val="21"/>
              </w:rPr>
            </w:pPr>
            <w:r>
              <w:rPr>
                <w:rFonts w:hint="eastAsia" w:ascii="Times New Roman" w:hAnsi="Times New Roman"/>
                <w:color w:val="auto"/>
                <w:szCs w:val="21"/>
              </w:rPr>
              <w:t>污染物名称</w:t>
            </w:r>
          </w:p>
        </w:tc>
        <w:tc>
          <w:tcPr>
            <w:tcW w:w="2906" w:type="dxa"/>
            <w:noWrap w:val="0"/>
            <w:vAlign w:val="center"/>
          </w:tcPr>
          <w:p>
            <w:pPr>
              <w:suppressAutoHyphens/>
              <w:topLinePunct/>
              <w:spacing w:line="360" w:lineRule="auto"/>
              <w:jc w:val="center"/>
              <w:rPr>
                <w:rFonts w:ascii="Times New Roman" w:hAnsi="Times New Roman"/>
                <w:color w:val="auto"/>
                <w:szCs w:val="21"/>
              </w:rPr>
            </w:pPr>
            <w:r>
              <w:rPr>
                <w:rFonts w:hint="eastAsia" w:ascii="Times New Roman" w:hAnsi="Times New Roman"/>
                <w:color w:val="auto"/>
                <w:szCs w:val="21"/>
              </w:rPr>
              <w:t>防治措施</w:t>
            </w:r>
          </w:p>
        </w:tc>
        <w:tc>
          <w:tcPr>
            <w:tcW w:w="2126" w:type="dxa"/>
            <w:noWrap w:val="0"/>
            <w:vAlign w:val="center"/>
          </w:tcPr>
          <w:p>
            <w:pPr>
              <w:suppressAutoHyphens/>
              <w:topLinePunct/>
              <w:spacing w:line="360" w:lineRule="auto"/>
              <w:jc w:val="center"/>
              <w:rPr>
                <w:rFonts w:ascii="Times New Roman" w:hAnsi="Times New Roman"/>
                <w:color w:val="auto"/>
                <w:szCs w:val="21"/>
              </w:rPr>
            </w:pPr>
            <w:r>
              <w:rPr>
                <w:rFonts w:hint="eastAsia" w:ascii="Times New Roman" w:hAnsi="Times New Roman"/>
                <w:color w:val="auto"/>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6" w:hRule="atLeast"/>
        </w:trPr>
        <w:tc>
          <w:tcPr>
            <w:tcW w:w="361"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大气污染物</w:t>
            </w:r>
          </w:p>
        </w:tc>
        <w:tc>
          <w:tcPr>
            <w:tcW w:w="780"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施工期</w:t>
            </w:r>
          </w:p>
        </w:tc>
        <w:tc>
          <w:tcPr>
            <w:tcW w:w="1299"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施工扬尘</w:t>
            </w:r>
          </w:p>
        </w:tc>
        <w:tc>
          <w:tcPr>
            <w:tcW w:w="1605" w:type="dxa"/>
            <w:noWrap w:val="0"/>
            <w:vAlign w:val="center"/>
          </w:tcPr>
          <w:p>
            <w:pPr>
              <w:suppressAutoHyphens/>
              <w:topLinePunct/>
              <w:jc w:val="center"/>
              <w:rPr>
                <w:rFonts w:ascii="Times New Roman" w:hAnsi="Times New Roman"/>
                <w:color w:val="auto"/>
                <w:kern w:val="21"/>
                <w:szCs w:val="21"/>
              </w:rPr>
            </w:pPr>
            <w:r>
              <w:rPr>
                <w:rFonts w:hint="eastAsia" w:ascii="Times New Roman" w:hAnsi="Times New Roman"/>
                <w:color w:val="auto"/>
                <w:kern w:val="21"/>
                <w:szCs w:val="21"/>
              </w:rPr>
              <w:t>TSP</w:t>
            </w:r>
          </w:p>
        </w:tc>
        <w:tc>
          <w:tcPr>
            <w:tcW w:w="2906"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施工场地定期洒水抑尘，采用密闭运输车辆或采取篷覆式遮盖等措施</w:t>
            </w:r>
          </w:p>
        </w:tc>
        <w:tc>
          <w:tcPr>
            <w:tcW w:w="2126"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361" w:type="dxa"/>
            <w:vMerge w:val="continue"/>
            <w:noWrap w:val="0"/>
            <w:vAlign w:val="center"/>
          </w:tcPr>
          <w:p>
            <w:pPr>
              <w:suppressAutoHyphens/>
              <w:topLinePunct/>
              <w:ind w:firstLine="480"/>
              <w:jc w:val="center"/>
              <w:rPr>
                <w:rFonts w:ascii="Times New Roman" w:hAnsi="Times New Roman"/>
                <w:color w:val="auto"/>
                <w:szCs w:val="21"/>
              </w:rPr>
            </w:pPr>
          </w:p>
        </w:tc>
        <w:tc>
          <w:tcPr>
            <w:tcW w:w="780" w:type="dxa"/>
            <w:vMerge w:val="continue"/>
            <w:noWrap w:val="0"/>
            <w:vAlign w:val="center"/>
          </w:tcPr>
          <w:p>
            <w:pPr>
              <w:suppressAutoHyphens/>
              <w:topLinePunct/>
              <w:ind w:firstLine="480"/>
              <w:jc w:val="center"/>
              <w:rPr>
                <w:rFonts w:ascii="Times New Roman" w:hAnsi="Times New Roman"/>
                <w:color w:val="auto"/>
                <w:szCs w:val="21"/>
              </w:rPr>
            </w:pPr>
          </w:p>
        </w:tc>
        <w:tc>
          <w:tcPr>
            <w:tcW w:w="1299"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施工机械及汽车尾气</w:t>
            </w:r>
          </w:p>
        </w:tc>
        <w:tc>
          <w:tcPr>
            <w:tcW w:w="1605" w:type="dxa"/>
            <w:noWrap w:val="0"/>
            <w:vAlign w:val="center"/>
          </w:tcPr>
          <w:p>
            <w:pPr>
              <w:suppressAutoHyphens/>
              <w:topLinePunct/>
              <w:jc w:val="center"/>
              <w:rPr>
                <w:rFonts w:ascii="Times New Roman" w:hAnsi="Times New Roman"/>
                <w:color w:val="auto"/>
                <w:kern w:val="21"/>
                <w:szCs w:val="21"/>
              </w:rPr>
            </w:pPr>
            <w:r>
              <w:rPr>
                <w:rFonts w:hint="eastAsia" w:ascii="Times New Roman" w:hAnsi="Times New Roman"/>
                <w:color w:val="auto"/>
                <w:kern w:val="21"/>
                <w:szCs w:val="21"/>
              </w:rPr>
              <w:t>CO、THC、NOx</w:t>
            </w:r>
          </w:p>
        </w:tc>
        <w:tc>
          <w:tcPr>
            <w:tcW w:w="2906"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加强管理，保持车况良好</w:t>
            </w:r>
          </w:p>
        </w:tc>
        <w:tc>
          <w:tcPr>
            <w:tcW w:w="2126" w:type="dxa"/>
            <w:vMerge w:val="restart"/>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对环境影响不大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361" w:type="dxa"/>
            <w:vMerge w:val="continue"/>
            <w:noWrap w:val="0"/>
            <w:vAlign w:val="center"/>
          </w:tcPr>
          <w:p>
            <w:pPr>
              <w:suppressAutoHyphens/>
              <w:topLinePunct/>
              <w:ind w:firstLine="480"/>
              <w:jc w:val="center"/>
              <w:rPr>
                <w:rFonts w:ascii="Times New Roman" w:hAnsi="Times New Roman"/>
                <w:color w:val="auto"/>
                <w:szCs w:val="21"/>
              </w:rPr>
            </w:pPr>
          </w:p>
        </w:tc>
        <w:tc>
          <w:tcPr>
            <w:tcW w:w="780" w:type="dxa"/>
            <w:vMerge w:val="continue"/>
            <w:noWrap w:val="0"/>
            <w:vAlign w:val="center"/>
          </w:tcPr>
          <w:p>
            <w:pPr>
              <w:suppressAutoHyphens/>
              <w:topLinePunct/>
              <w:ind w:firstLine="480"/>
              <w:jc w:val="center"/>
              <w:rPr>
                <w:rFonts w:ascii="Times New Roman" w:hAnsi="Times New Roman"/>
                <w:color w:val="auto"/>
                <w:szCs w:val="21"/>
              </w:rPr>
            </w:pPr>
          </w:p>
        </w:tc>
        <w:tc>
          <w:tcPr>
            <w:tcW w:w="1299"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装修废气</w:t>
            </w:r>
          </w:p>
        </w:tc>
        <w:tc>
          <w:tcPr>
            <w:tcW w:w="1605" w:type="dxa"/>
            <w:noWrap w:val="0"/>
            <w:vAlign w:val="center"/>
          </w:tcPr>
          <w:p>
            <w:pPr>
              <w:suppressAutoHyphens/>
              <w:topLinePunct/>
              <w:jc w:val="center"/>
              <w:rPr>
                <w:rFonts w:hint="eastAsia" w:ascii="Times New Roman" w:hAnsi="Times New Roman"/>
                <w:color w:val="auto"/>
                <w:kern w:val="21"/>
                <w:szCs w:val="21"/>
              </w:rPr>
            </w:pPr>
            <w:r>
              <w:rPr>
                <w:rFonts w:hint="eastAsia" w:ascii="Times New Roman" w:hAnsi="Times New Roman"/>
                <w:color w:val="auto"/>
                <w:kern w:val="0"/>
                <w:szCs w:val="21"/>
              </w:rPr>
              <w:t>甲苯、二甲苯等有机废气</w:t>
            </w:r>
          </w:p>
        </w:tc>
        <w:tc>
          <w:tcPr>
            <w:tcW w:w="2906"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选用环保型油漆、涂料，加强通风等</w:t>
            </w:r>
          </w:p>
        </w:tc>
        <w:tc>
          <w:tcPr>
            <w:tcW w:w="2126" w:type="dxa"/>
            <w:vMerge w:val="continue"/>
            <w:noWrap w:val="0"/>
            <w:vAlign w:val="center"/>
          </w:tcPr>
          <w:p>
            <w:pPr>
              <w:suppressAutoHyphens/>
              <w:topLinePunct/>
              <w:jc w:val="center"/>
              <w:rPr>
                <w:rFonts w:hint="eastAsia"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361" w:type="dxa"/>
            <w:vMerge w:val="continue"/>
            <w:noWrap w:val="0"/>
            <w:vAlign w:val="center"/>
          </w:tcPr>
          <w:p>
            <w:pPr>
              <w:suppressAutoHyphens/>
              <w:topLinePunct/>
              <w:ind w:firstLine="480"/>
              <w:jc w:val="center"/>
              <w:rPr>
                <w:rFonts w:ascii="Times New Roman" w:hAnsi="Times New Roman"/>
                <w:color w:val="auto"/>
                <w:szCs w:val="21"/>
              </w:rPr>
            </w:pPr>
          </w:p>
        </w:tc>
        <w:tc>
          <w:tcPr>
            <w:tcW w:w="780"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营运期</w:t>
            </w:r>
          </w:p>
        </w:tc>
        <w:tc>
          <w:tcPr>
            <w:tcW w:w="1299" w:type="dxa"/>
            <w:noWrap w:val="0"/>
            <w:vAlign w:val="center"/>
          </w:tcPr>
          <w:p>
            <w:pPr>
              <w:pStyle w:val="8"/>
              <w:adjustRightInd w:val="0"/>
              <w:snapToGrid w:val="0"/>
              <w:jc w:val="center"/>
              <w:rPr>
                <w:rFonts w:hint="eastAsia" w:ascii="Times New Roman" w:hAnsi="Times New Roman"/>
                <w:color w:val="auto"/>
                <w:szCs w:val="21"/>
              </w:rPr>
            </w:pPr>
            <w:r>
              <w:rPr>
                <w:rFonts w:ascii="Times New Roman" w:hAnsi="Times New Roman" w:eastAsia="宋体" w:cs="Times New Roman"/>
                <w:color w:val="auto"/>
                <w:sz w:val="21"/>
                <w:szCs w:val="21"/>
              </w:rPr>
              <w:t>粉碎粉尘</w:t>
            </w:r>
          </w:p>
        </w:tc>
        <w:tc>
          <w:tcPr>
            <w:tcW w:w="1605" w:type="dxa"/>
            <w:vMerge w:val="restart"/>
            <w:noWrap w:val="0"/>
            <w:vAlign w:val="center"/>
          </w:tcPr>
          <w:p>
            <w:pPr>
              <w:suppressAutoHyphens/>
              <w:topLinePunct/>
              <w:jc w:val="center"/>
              <w:rPr>
                <w:rFonts w:hint="eastAsia" w:ascii="Times New Roman" w:hAnsi="Times New Roman"/>
                <w:color w:val="auto"/>
                <w:kern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、TSP、NO</w:t>
            </w:r>
            <w:r>
              <w:rPr>
                <w:rFonts w:ascii="Times New Roman" w:hAnsi="Times New Roman" w:eastAsia="宋体" w:cs="Times New Roman"/>
                <w:color w:val="auto"/>
                <w:sz w:val="21"/>
                <w:szCs w:val="21"/>
                <w:vertAlign w:val="subscript"/>
              </w:rPr>
              <w:t>X</w:t>
            </w:r>
          </w:p>
        </w:tc>
        <w:tc>
          <w:tcPr>
            <w:tcW w:w="2906" w:type="dxa"/>
            <w:vMerge w:val="restart"/>
            <w:noWrap w:val="0"/>
            <w:vAlign w:val="center"/>
          </w:tcPr>
          <w:p>
            <w:pPr>
              <w:suppressAutoHyphens/>
              <w:topLinePunct/>
              <w:jc w:val="center"/>
              <w:rPr>
                <w:rFonts w:hint="default" w:ascii="Times New Roman" w:hAnsi="Times New Roman" w:eastAsia="宋体"/>
                <w:color w:val="auto"/>
                <w:szCs w:val="21"/>
                <w:lang w:val="en-US" w:eastAsia="zh-CN"/>
              </w:rPr>
            </w:pPr>
            <w:r>
              <w:rPr>
                <w:rFonts w:hint="default"/>
                <w:color w:val="auto"/>
                <w:sz w:val="19"/>
                <w:szCs w:val="20"/>
              </w:rPr>
              <w:t>水</w:t>
            </w:r>
            <w:r>
              <w:rPr>
                <w:rFonts w:hint="eastAsia"/>
                <w:color w:val="auto"/>
                <w:sz w:val="19"/>
                <w:szCs w:val="20"/>
                <w:lang w:eastAsia="zh-CN"/>
              </w:rPr>
              <w:t>雾</w:t>
            </w:r>
            <w:r>
              <w:rPr>
                <w:rFonts w:hint="eastAsia"/>
                <w:color w:val="auto"/>
                <w:szCs w:val="21"/>
                <w:lang w:val="en-US" w:eastAsia="zh-CN"/>
              </w:rPr>
              <w:t>除尘器+静电除尘器+15m排气筒</w:t>
            </w:r>
          </w:p>
        </w:tc>
        <w:tc>
          <w:tcPr>
            <w:tcW w:w="2126" w:type="dxa"/>
            <w:vMerge w:val="restart"/>
            <w:noWrap w:val="0"/>
            <w:vAlign w:val="center"/>
          </w:tcPr>
          <w:p>
            <w:pPr>
              <w:suppressAutoHyphens/>
              <w:topLinePunct/>
              <w:jc w:val="center"/>
              <w:rPr>
                <w:rFonts w:hint="eastAsia" w:ascii="Times New Roman" w:hAnsi="Times New Roman"/>
                <w:color w:val="auto"/>
                <w:szCs w:val="21"/>
              </w:rPr>
            </w:pPr>
            <w:r>
              <w:rPr>
                <w:color w:val="auto"/>
                <w:szCs w:val="21"/>
              </w:rPr>
              <w:t>TSP满足《工业炉窑大气污染物排放标准》（GB9078-1996）表2中二级排放标准；SO</w:t>
            </w:r>
            <w:r>
              <w:rPr>
                <w:color w:val="auto"/>
                <w:szCs w:val="21"/>
                <w:vertAlign w:val="subscript"/>
              </w:rPr>
              <w:t>2</w:t>
            </w:r>
            <w:r>
              <w:rPr>
                <w:color w:val="auto"/>
                <w:szCs w:val="21"/>
              </w:rPr>
              <w:t>、NO</w:t>
            </w:r>
            <w:r>
              <w:rPr>
                <w:color w:val="auto"/>
                <w:szCs w:val="21"/>
                <w:vertAlign w:val="subscript"/>
              </w:rPr>
              <w:t>X</w:t>
            </w:r>
            <w:r>
              <w:rPr>
                <w:color w:val="auto"/>
                <w:szCs w:val="21"/>
              </w:rPr>
              <w:t>满足《大气污染物综合排放标准》（GB16297-1996）表2标准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361" w:type="dxa"/>
            <w:vMerge w:val="continue"/>
            <w:noWrap w:val="0"/>
            <w:vAlign w:val="center"/>
          </w:tcPr>
          <w:p>
            <w:pPr>
              <w:suppressAutoHyphens/>
              <w:topLinePunct/>
              <w:ind w:firstLine="480"/>
              <w:jc w:val="center"/>
              <w:rPr>
                <w:rFonts w:ascii="Times New Roman" w:hAnsi="Times New Roman"/>
                <w:color w:val="auto"/>
                <w:szCs w:val="21"/>
              </w:rPr>
            </w:pPr>
          </w:p>
        </w:tc>
        <w:tc>
          <w:tcPr>
            <w:tcW w:w="780" w:type="dxa"/>
            <w:vMerge w:val="continue"/>
            <w:noWrap w:val="0"/>
            <w:vAlign w:val="center"/>
          </w:tcPr>
          <w:p>
            <w:pPr>
              <w:suppressAutoHyphens/>
              <w:topLinePunct/>
              <w:ind w:firstLine="480"/>
              <w:jc w:val="center"/>
              <w:rPr>
                <w:rFonts w:ascii="Times New Roman" w:hAnsi="Times New Roman"/>
                <w:color w:val="auto"/>
                <w:szCs w:val="21"/>
              </w:rPr>
            </w:pPr>
          </w:p>
        </w:tc>
        <w:tc>
          <w:tcPr>
            <w:tcW w:w="1299" w:type="dxa"/>
            <w:noWrap w:val="0"/>
            <w:vAlign w:val="center"/>
          </w:tcPr>
          <w:p>
            <w:pPr>
              <w:pStyle w:val="8"/>
              <w:adjustRightInd w:val="0"/>
              <w:snapToGrid w:val="0"/>
              <w:jc w:val="center"/>
              <w:rPr>
                <w:rFonts w:hint="eastAsia" w:ascii="Times New Roman" w:hAnsi="Times New Roman"/>
                <w:color w:val="auto"/>
                <w:szCs w:val="21"/>
              </w:rPr>
            </w:pPr>
            <w:r>
              <w:rPr>
                <w:rFonts w:ascii="Times New Roman" w:hAnsi="Times New Roman" w:eastAsia="宋体" w:cs="Times New Roman"/>
                <w:color w:val="auto"/>
                <w:sz w:val="21"/>
                <w:szCs w:val="21"/>
              </w:rPr>
              <w:t>烘干废气</w:t>
            </w:r>
          </w:p>
        </w:tc>
        <w:tc>
          <w:tcPr>
            <w:tcW w:w="1605" w:type="dxa"/>
            <w:vMerge w:val="continue"/>
            <w:noWrap w:val="0"/>
            <w:vAlign w:val="center"/>
          </w:tcPr>
          <w:p>
            <w:pPr>
              <w:suppressAutoHyphens/>
              <w:topLinePunct/>
              <w:jc w:val="center"/>
              <w:rPr>
                <w:rFonts w:hint="eastAsia" w:ascii="Times New Roman" w:hAnsi="Times New Roman"/>
                <w:color w:val="auto"/>
                <w:kern w:val="21"/>
                <w:szCs w:val="21"/>
              </w:rPr>
            </w:pPr>
          </w:p>
        </w:tc>
        <w:tc>
          <w:tcPr>
            <w:tcW w:w="2906" w:type="dxa"/>
            <w:vMerge w:val="continue"/>
            <w:noWrap w:val="0"/>
            <w:vAlign w:val="center"/>
          </w:tcPr>
          <w:p>
            <w:pPr>
              <w:suppressAutoHyphens/>
              <w:topLinePunct/>
              <w:jc w:val="center"/>
              <w:rPr>
                <w:rFonts w:hint="eastAsia" w:ascii="Times New Roman" w:hAnsi="Times New Roman"/>
                <w:color w:val="auto"/>
                <w:szCs w:val="21"/>
              </w:rPr>
            </w:pPr>
          </w:p>
        </w:tc>
        <w:tc>
          <w:tcPr>
            <w:tcW w:w="2126" w:type="dxa"/>
            <w:vMerge w:val="continue"/>
            <w:noWrap w:val="0"/>
            <w:vAlign w:val="center"/>
          </w:tcPr>
          <w:p>
            <w:pPr>
              <w:suppressAutoHyphens/>
              <w:topLinePunct/>
              <w:jc w:val="center"/>
              <w:rPr>
                <w:rFonts w:hint="eastAsia"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trPr>
        <w:tc>
          <w:tcPr>
            <w:tcW w:w="361" w:type="dxa"/>
            <w:vMerge w:val="continue"/>
            <w:noWrap w:val="0"/>
            <w:vAlign w:val="center"/>
          </w:tcPr>
          <w:p>
            <w:pPr>
              <w:suppressAutoHyphens/>
              <w:topLinePunct/>
              <w:ind w:firstLine="480"/>
              <w:jc w:val="center"/>
              <w:rPr>
                <w:rFonts w:ascii="Times New Roman" w:hAnsi="Times New Roman"/>
                <w:color w:val="auto"/>
                <w:szCs w:val="21"/>
              </w:rPr>
            </w:pPr>
          </w:p>
        </w:tc>
        <w:tc>
          <w:tcPr>
            <w:tcW w:w="780" w:type="dxa"/>
            <w:vMerge w:val="continue"/>
            <w:noWrap w:val="0"/>
            <w:vAlign w:val="center"/>
          </w:tcPr>
          <w:p>
            <w:pPr>
              <w:suppressAutoHyphens/>
              <w:topLinePunct/>
              <w:ind w:firstLine="480"/>
              <w:jc w:val="center"/>
              <w:rPr>
                <w:rFonts w:ascii="Times New Roman" w:hAnsi="Times New Roman"/>
                <w:color w:val="auto"/>
                <w:szCs w:val="21"/>
              </w:rPr>
            </w:pPr>
          </w:p>
        </w:tc>
        <w:tc>
          <w:tcPr>
            <w:tcW w:w="1299" w:type="dxa"/>
            <w:noWrap w:val="0"/>
            <w:vAlign w:val="center"/>
          </w:tcPr>
          <w:p>
            <w:pPr>
              <w:pStyle w:val="8"/>
              <w:adjustRightInd w:val="0"/>
              <w:snapToGrid w:val="0"/>
              <w:jc w:val="center"/>
              <w:rPr>
                <w:rFonts w:hint="eastAsia" w:ascii="Times New Roman" w:hAnsi="Times New Roman"/>
                <w:color w:val="auto"/>
                <w:szCs w:val="21"/>
              </w:rPr>
            </w:pPr>
            <w:r>
              <w:rPr>
                <w:rFonts w:ascii="Times New Roman" w:hAnsi="Times New Roman" w:eastAsia="宋体" w:cs="Times New Roman"/>
                <w:color w:val="auto"/>
                <w:sz w:val="21"/>
                <w:szCs w:val="21"/>
              </w:rPr>
              <w:t>炭化废气</w:t>
            </w:r>
          </w:p>
        </w:tc>
        <w:tc>
          <w:tcPr>
            <w:tcW w:w="1605" w:type="dxa"/>
            <w:vMerge w:val="continue"/>
            <w:noWrap w:val="0"/>
            <w:vAlign w:val="center"/>
          </w:tcPr>
          <w:p>
            <w:pPr>
              <w:suppressAutoHyphens/>
              <w:topLinePunct/>
              <w:jc w:val="center"/>
              <w:rPr>
                <w:rFonts w:hint="eastAsia" w:ascii="Times New Roman" w:hAnsi="Times New Roman"/>
                <w:color w:val="auto"/>
                <w:kern w:val="21"/>
                <w:szCs w:val="21"/>
              </w:rPr>
            </w:pPr>
          </w:p>
        </w:tc>
        <w:tc>
          <w:tcPr>
            <w:tcW w:w="2906" w:type="dxa"/>
            <w:vMerge w:val="continue"/>
            <w:noWrap w:val="0"/>
            <w:vAlign w:val="center"/>
          </w:tcPr>
          <w:p>
            <w:pPr>
              <w:suppressAutoHyphens/>
              <w:topLinePunct/>
              <w:jc w:val="center"/>
              <w:rPr>
                <w:rFonts w:hint="eastAsia" w:ascii="Times New Roman" w:hAnsi="Times New Roman"/>
                <w:color w:val="auto"/>
                <w:szCs w:val="21"/>
              </w:rPr>
            </w:pPr>
          </w:p>
        </w:tc>
        <w:tc>
          <w:tcPr>
            <w:tcW w:w="2126" w:type="dxa"/>
            <w:vMerge w:val="continue"/>
            <w:noWrap w:val="0"/>
            <w:vAlign w:val="center"/>
          </w:tcPr>
          <w:p>
            <w:pPr>
              <w:suppressAutoHyphens/>
              <w:topLinePunct/>
              <w:jc w:val="center"/>
              <w:rPr>
                <w:rFonts w:hint="eastAsia"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ind w:firstLine="480"/>
              <w:jc w:val="center"/>
              <w:rPr>
                <w:rFonts w:ascii="Times New Roman" w:hAnsi="Times New Roman"/>
                <w:color w:val="auto"/>
                <w:szCs w:val="21"/>
              </w:rPr>
            </w:pPr>
          </w:p>
        </w:tc>
        <w:tc>
          <w:tcPr>
            <w:tcW w:w="780" w:type="dxa"/>
            <w:vMerge w:val="continue"/>
            <w:noWrap w:val="0"/>
            <w:vAlign w:val="center"/>
          </w:tcPr>
          <w:p>
            <w:pPr>
              <w:suppressAutoHyphens/>
              <w:topLinePunct/>
              <w:ind w:firstLine="480"/>
              <w:jc w:val="center"/>
              <w:rPr>
                <w:rFonts w:ascii="Times New Roman" w:hAnsi="Times New Roman"/>
                <w:color w:val="auto"/>
                <w:szCs w:val="21"/>
              </w:rPr>
            </w:pPr>
          </w:p>
        </w:tc>
        <w:tc>
          <w:tcPr>
            <w:tcW w:w="1299" w:type="dxa"/>
            <w:noWrap w:val="0"/>
            <w:vAlign w:val="center"/>
          </w:tcPr>
          <w:p>
            <w:pPr>
              <w:pStyle w:val="8"/>
              <w:adjustRightInd w:val="0"/>
              <w:snapToGrid w:val="0"/>
              <w:jc w:val="center"/>
              <w:rPr>
                <w:rFonts w:hint="eastAsia" w:ascii="Times New Roman" w:hAnsi="Times New Roman"/>
                <w:color w:val="auto"/>
                <w:szCs w:val="21"/>
              </w:rPr>
            </w:pPr>
            <w:r>
              <w:rPr>
                <w:rFonts w:ascii="Times New Roman" w:hAnsi="Times New Roman" w:eastAsia="宋体" w:cs="Times New Roman"/>
                <w:color w:val="auto"/>
                <w:sz w:val="21"/>
                <w:szCs w:val="21"/>
              </w:rPr>
              <w:t>制棒废气</w:t>
            </w:r>
          </w:p>
        </w:tc>
        <w:tc>
          <w:tcPr>
            <w:tcW w:w="1605" w:type="dxa"/>
            <w:vMerge w:val="continue"/>
            <w:noWrap w:val="0"/>
            <w:vAlign w:val="center"/>
          </w:tcPr>
          <w:p>
            <w:pPr>
              <w:suppressAutoHyphens/>
              <w:topLinePunct/>
              <w:jc w:val="center"/>
              <w:rPr>
                <w:rFonts w:hint="eastAsia" w:ascii="Times New Roman" w:hAnsi="Times New Roman"/>
                <w:color w:val="auto"/>
                <w:kern w:val="21"/>
                <w:szCs w:val="21"/>
              </w:rPr>
            </w:pPr>
          </w:p>
        </w:tc>
        <w:tc>
          <w:tcPr>
            <w:tcW w:w="2906" w:type="dxa"/>
            <w:vMerge w:val="continue"/>
            <w:noWrap w:val="0"/>
            <w:vAlign w:val="center"/>
          </w:tcPr>
          <w:p>
            <w:pPr>
              <w:suppressAutoHyphens/>
              <w:topLinePunct/>
              <w:jc w:val="center"/>
              <w:rPr>
                <w:rFonts w:hint="eastAsia" w:ascii="Times New Roman" w:hAnsi="Times New Roman"/>
                <w:color w:val="auto"/>
                <w:szCs w:val="21"/>
              </w:rPr>
            </w:pPr>
          </w:p>
        </w:tc>
        <w:tc>
          <w:tcPr>
            <w:tcW w:w="2126" w:type="dxa"/>
            <w:vMerge w:val="continue"/>
            <w:noWrap w:val="0"/>
            <w:vAlign w:val="center"/>
          </w:tcPr>
          <w:p>
            <w:pPr>
              <w:suppressAutoHyphens/>
              <w:topLinePunct/>
              <w:jc w:val="center"/>
              <w:rPr>
                <w:rFonts w:hint="eastAsia"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水污染物</w:t>
            </w:r>
          </w:p>
        </w:tc>
        <w:tc>
          <w:tcPr>
            <w:tcW w:w="780"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施工期</w:t>
            </w:r>
          </w:p>
        </w:tc>
        <w:tc>
          <w:tcPr>
            <w:tcW w:w="1299"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施工废水</w:t>
            </w:r>
          </w:p>
        </w:tc>
        <w:tc>
          <w:tcPr>
            <w:tcW w:w="1605" w:type="dxa"/>
            <w:noWrap w:val="0"/>
            <w:vAlign w:val="center"/>
          </w:tcPr>
          <w:p>
            <w:pPr>
              <w:suppressAutoHyphens/>
              <w:topLinePunct/>
              <w:ind w:firstLine="105" w:firstLineChars="50"/>
              <w:jc w:val="center"/>
              <w:rPr>
                <w:rFonts w:hint="eastAsia" w:ascii="Times New Roman" w:hAnsi="Times New Roman"/>
                <w:color w:val="auto"/>
                <w:szCs w:val="21"/>
              </w:rPr>
            </w:pPr>
            <w:r>
              <w:rPr>
                <w:rFonts w:hint="eastAsia" w:ascii="Times New Roman" w:hAnsi="Times New Roman"/>
                <w:color w:val="auto"/>
                <w:szCs w:val="21"/>
              </w:rPr>
              <w:t>SS、石油类</w:t>
            </w:r>
          </w:p>
        </w:tc>
        <w:tc>
          <w:tcPr>
            <w:tcW w:w="2906"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简易沉淀池处理后用于降尘</w:t>
            </w:r>
          </w:p>
        </w:tc>
        <w:tc>
          <w:tcPr>
            <w:tcW w:w="2126"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jc w:val="center"/>
              <w:rPr>
                <w:rFonts w:hint="eastAsia"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1299"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生活废水</w:t>
            </w:r>
          </w:p>
        </w:tc>
        <w:tc>
          <w:tcPr>
            <w:tcW w:w="1605" w:type="dxa"/>
            <w:noWrap w:val="0"/>
            <w:vAlign w:val="center"/>
          </w:tcPr>
          <w:p>
            <w:pPr>
              <w:suppressAutoHyphens/>
              <w:topLinePunct/>
              <w:ind w:firstLine="105" w:firstLineChars="50"/>
              <w:jc w:val="center"/>
              <w:rPr>
                <w:rFonts w:hint="eastAsia" w:ascii="Times New Roman" w:hAnsi="Times New Roman"/>
                <w:color w:val="auto"/>
                <w:szCs w:val="21"/>
              </w:rPr>
            </w:pPr>
            <w:r>
              <w:rPr>
                <w:rFonts w:hint="eastAsia" w:ascii="Times New Roman" w:hAnsi="Times New Roman"/>
                <w:color w:val="auto"/>
                <w:kern w:val="0"/>
                <w:szCs w:val="21"/>
              </w:rPr>
              <w:t>COD、BOD</w:t>
            </w:r>
            <w:r>
              <w:rPr>
                <w:rFonts w:hint="eastAsia" w:ascii="Times New Roman" w:hAnsi="Times New Roman"/>
                <w:color w:val="auto"/>
                <w:kern w:val="0"/>
                <w:szCs w:val="21"/>
                <w:vertAlign w:val="subscript"/>
              </w:rPr>
              <w:t>5</w:t>
            </w:r>
            <w:r>
              <w:rPr>
                <w:rFonts w:hint="eastAsia" w:ascii="Times New Roman" w:hAnsi="Times New Roman"/>
                <w:color w:val="auto"/>
                <w:kern w:val="0"/>
                <w:szCs w:val="21"/>
              </w:rPr>
              <w:t>、SS、氨氮等</w:t>
            </w:r>
          </w:p>
        </w:tc>
        <w:tc>
          <w:tcPr>
            <w:tcW w:w="2906" w:type="dxa"/>
            <w:noWrap w:val="0"/>
            <w:vAlign w:val="center"/>
          </w:tcPr>
          <w:p>
            <w:pPr>
              <w:suppressAutoHyphens/>
              <w:topLinePunct/>
              <w:jc w:val="center"/>
              <w:rPr>
                <w:rFonts w:ascii="Times New Roman" w:hAnsi="Times New Roman"/>
                <w:color w:val="auto"/>
                <w:szCs w:val="21"/>
              </w:rPr>
            </w:pPr>
            <w:r>
              <w:rPr>
                <w:rFonts w:hint="eastAsia"/>
                <w:color w:val="auto"/>
                <w:kern w:val="0"/>
                <w:szCs w:val="21"/>
                <w:u w:val="single"/>
                <w:lang w:eastAsia="zh-CN"/>
              </w:rPr>
              <w:t>依托</w:t>
            </w:r>
            <w:r>
              <w:rPr>
                <w:rFonts w:hint="eastAsia" w:ascii="Times New Roman" w:hAnsi="Times New Roman"/>
                <w:color w:val="auto"/>
                <w:kern w:val="0"/>
                <w:szCs w:val="21"/>
                <w:u w:val="single"/>
              </w:rPr>
              <w:t>周边居民污水处理措施处理</w:t>
            </w:r>
          </w:p>
        </w:tc>
        <w:tc>
          <w:tcPr>
            <w:tcW w:w="2126" w:type="dxa"/>
            <w:vMerge w:val="continue"/>
            <w:noWrap w:val="0"/>
            <w:vAlign w:val="center"/>
          </w:tcPr>
          <w:p>
            <w:pPr>
              <w:suppressAutoHyphens/>
              <w:topLinePunct/>
              <w:jc w:val="center"/>
              <w:rPr>
                <w:rFonts w:hint="eastAsia"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361" w:type="dxa"/>
            <w:vMerge w:val="continue"/>
            <w:noWrap w:val="0"/>
            <w:vAlign w:val="center"/>
          </w:tcPr>
          <w:p>
            <w:pPr>
              <w:suppressAutoHyphens/>
              <w:topLinePunct/>
              <w:ind w:firstLine="480"/>
              <w:jc w:val="center"/>
              <w:rPr>
                <w:rFonts w:ascii="Times New Roman" w:hAnsi="Times New Roman"/>
                <w:color w:val="auto"/>
                <w:szCs w:val="21"/>
              </w:rPr>
            </w:pPr>
          </w:p>
        </w:tc>
        <w:tc>
          <w:tcPr>
            <w:tcW w:w="780"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营运期</w:t>
            </w:r>
          </w:p>
        </w:tc>
        <w:tc>
          <w:tcPr>
            <w:tcW w:w="1299" w:type="dxa"/>
            <w:noWrap w:val="0"/>
            <w:vAlign w:val="center"/>
          </w:tcPr>
          <w:p>
            <w:pPr>
              <w:suppressAutoHyphens/>
              <w:topLinePunct/>
              <w:jc w:val="center"/>
              <w:rPr>
                <w:rFonts w:hint="eastAsia" w:ascii="Times New Roman" w:hAnsi="Times New Roman"/>
                <w:color w:val="auto"/>
                <w:szCs w:val="21"/>
              </w:rPr>
            </w:pPr>
            <w:r>
              <w:rPr>
                <w:color w:val="auto"/>
                <w:kern w:val="0"/>
                <w:szCs w:val="21"/>
              </w:rPr>
              <w:t>生活污水</w:t>
            </w:r>
          </w:p>
        </w:tc>
        <w:tc>
          <w:tcPr>
            <w:tcW w:w="1605" w:type="dxa"/>
            <w:noWrap w:val="0"/>
            <w:vAlign w:val="center"/>
          </w:tcPr>
          <w:p>
            <w:pPr>
              <w:suppressAutoHyphens/>
              <w:topLinePunct/>
              <w:jc w:val="center"/>
              <w:rPr>
                <w:rFonts w:ascii="Times New Roman" w:hAnsi="Times New Roman"/>
                <w:color w:val="auto"/>
                <w:szCs w:val="21"/>
              </w:rPr>
            </w:pPr>
            <w:r>
              <w:rPr>
                <w:rFonts w:ascii="Times New Roman" w:hAnsi="Times New Roman" w:eastAsia="宋体" w:cs="Times New Roman"/>
                <w:color w:val="auto"/>
                <w:sz w:val="21"/>
                <w:szCs w:val="21"/>
              </w:rPr>
              <w:t>COD、BOD</w:t>
            </w:r>
            <w:r>
              <w:rPr>
                <w:rFonts w:ascii="Times New Roman" w:hAnsi="Times New Roman" w:eastAsia="宋体" w:cs="Times New Roman"/>
                <w:color w:val="auto"/>
                <w:sz w:val="21"/>
                <w:szCs w:val="21"/>
                <w:vertAlign w:val="subscript"/>
              </w:rPr>
              <w:t>5</w:t>
            </w:r>
            <w:r>
              <w:rPr>
                <w:rFonts w:ascii="Times New Roman" w:hAnsi="Times New Roman" w:eastAsia="宋体" w:cs="Times New Roman"/>
                <w:color w:val="auto"/>
                <w:sz w:val="21"/>
                <w:szCs w:val="21"/>
              </w:rPr>
              <w:t>、SS、氨氮</w:t>
            </w:r>
          </w:p>
        </w:tc>
        <w:tc>
          <w:tcPr>
            <w:tcW w:w="2906" w:type="dxa"/>
            <w:noWrap w:val="0"/>
            <w:vAlign w:val="center"/>
          </w:tcPr>
          <w:p>
            <w:pPr>
              <w:suppressAutoHyphens/>
              <w:topLinePunct/>
              <w:jc w:val="center"/>
              <w:rPr>
                <w:rFonts w:hint="eastAsia" w:ascii="Times New Roman" w:hAnsi="Times New Roman" w:eastAsia="宋体"/>
                <w:color w:val="auto"/>
                <w:szCs w:val="21"/>
                <w:lang w:eastAsia="zh-CN"/>
              </w:rPr>
            </w:pPr>
          </w:p>
        </w:tc>
        <w:tc>
          <w:tcPr>
            <w:tcW w:w="2126"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ind w:firstLine="480"/>
              <w:jc w:val="center"/>
              <w:rPr>
                <w:rFonts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1299" w:type="dxa"/>
            <w:noWrap w:val="0"/>
            <w:vAlign w:val="center"/>
          </w:tcPr>
          <w:p>
            <w:pPr>
              <w:suppressAutoHyphens/>
              <w:topLinePunct/>
              <w:jc w:val="center"/>
              <w:rPr>
                <w:rFonts w:hint="eastAsia" w:ascii="Times New Roman" w:hAnsi="Times New Roman" w:eastAsia="宋体"/>
                <w:color w:val="auto"/>
                <w:szCs w:val="21"/>
                <w:lang w:eastAsia="zh-CN"/>
              </w:rPr>
            </w:pPr>
            <w:r>
              <w:rPr>
                <w:rFonts w:hint="eastAsia"/>
                <w:color w:val="auto"/>
                <w:lang w:val="en-US" w:eastAsia="zh-CN"/>
              </w:rPr>
              <w:t>水膜</w:t>
            </w:r>
            <w:r>
              <w:rPr>
                <w:rFonts w:hint="eastAsia"/>
                <w:color w:val="auto"/>
                <w:szCs w:val="21"/>
                <w:lang w:eastAsia="zh-CN"/>
              </w:rPr>
              <w:t>除尘废水</w:t>
            </w:r>
          </w:p>
        </w:tc>
        <w:tc>
          <w:tcPr>
            <w:tcW w:w="1605" w:type="dxa"/>
            <w:noWrap w:val="0"/>
            <w:vAlign w:val="center"/>
          </w:tcPr>
          <w:p>
            <w:pPr>
              <w:suppressAutoHyphens/>
              <w:topLinePunct/>
              <w:jc w:val="center"/>
              <w:rPr>
                <w:rFonts w:ascii="Times New Roman" w:hAnsi="Times New Roman"/>
                <w:color w:val="auto"/>
                <w:szCs w:val="21"/>
              </w:rPr>
            </w:pPr>
            <w:r>
              <w:rPr>
                <w:rFonts w:ascii="Times New Roman" w:hAnsi="Times New Roman" w:eastAsia="宋体" w:cs="Times New Roman"/>
                <w:color w:val="auto"/>
                <w:sz w:val="21"/>
                <w:szCs w:val="21"/>
              </w:rPr>
              <w:t>SS</w:t>
            </w:r>
          </w:p>
        </w:tc>
        <w:tc>
          <w:tcPr>
            <w:tcW w:w="2906" w:type="dxa"/>
            <w:noWrap w:val="0"/>
            <w:vAlign w:val="center"/>
          </w:tcPr>
          <w:p>
            <w:pPr>
              <w:suppressAutoHyphens/>
              <w:topLinePunct/>
              <w:jc w:val="center"/>
              <w:rPr>
                <w:rFonts w:hint="eastAsia" w:ascii="Times New Roman" w:hAnsi="Times New Roman" w:eastAsia="宋体"/>
                <w:color w:val="auto"/>
                <w:szCs w:val="21"/>
                <w:lang w:eastAsia="zh-CN"/>
              </w:rPr>
            </w:pPr>
            <w:r>
              <w:rPr>
                <w:rFonts w:hint="eastAsia"/>
                <w:color w:val="auto"/>
                <w:szCs w:val="21"/>
                <w:lang w:eastAsia="zh-CN"/>
              </w:rPr>
              <w:t>循环使用不外排</w:t>
            </w:r>
          </w:p>
        </w:tc>
        <w:tc>
          <w:tcPr>
            <w:tcW w:w="2126"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ind w:firstLine="480"/>
              <w:jc w:val="center"/>
              <w:rPr>
                <w:rFonts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1299" w:type="dxa"/>
            <w:noWrap w:val="0"/>
            <w:vAlign w:val="center"/>
          </w:tcPr>
          <w:p>
            <w:pPr>
              <w:suppressAutoHyphens/>
              <w:topLinePunct/>
              <w:jc w:val="center"/>
              <w:rPr>
                <w:rFonts w:hint="eastAsia" w:ascii="Times New Roman" w:hAnsi="Times New Roman" w:eastAsia="宋体"/>
                <w:color w:val="auto"/>
                <w:szCs w:val="21"/>
                <w:lang w:eastAsia="zh-CN"/>
              </w:rPr>
            </w:pPr>
            <w:r>
              <w:rPr>
                <w:rFonts w:hint="eastAsia"/>
                <w:color w:val="auto"/>
                <w:szCs w:val="21"/>
                <w:lang w:eastAsia="zh-CN"/>
              </w:rPr>
              <w:t>冷却水</w:t>
            </w:r>
          </w:p>
        </w:tc>
        <w:tc>
          <w:tcPr>
            <w:tcW w:w="1605" w:type="dxa"/>
            <w:noWrap w:val="0"/>
            <w:vAlign w:val="center"/>
          </w:tcPr>
          <w:p>
            <w:pPr>
              <w:suppressAutoHyphens/>
              <w:topLinePunct/>
              <w:jc w:val="center"/>
              <w:rPr>
                <w:rFonts w:hint="eastAsia" w:ascii="Times New Roman" w:hAnsi="Times New Roman"/>
                <w:color w:val="auto"/>
                <w:szCs w:val="21"/>
              </w:rPr>
            </w:pPr>
            <w:r>
              <w:rPr>
                <w:rFonts w:ascii="Times New Roman" w:hAnsi="Times New Roman" w:eastAsia="宋体" w:cs="Times New Roman"/>
                <w:color w:val="auto"/>
                <w:sz w:val="21"/>
                <w:szCs w:val="21"/>
              </w:rPr>
              <w:t>SS</w:t>
            </w:r>
          </w:p>
        </w:tc>
        <w:tc>
          <w:tcPr>
            <w:tcW w:w="2906" w:type="dxa"/>
            <w:noWrap w:val="0"/>
            <w:vAlign w:val="center"/>
          </w:tcPr>
          <w:p>
            <w:pPr>
              <w:suppressAutoHyphens/>
              <w:topLinePunct/>
              <w:jc w:val="center"/>
              <w:rPr>
                <w:rFonts w:ascii="Times New Roman" w:hAnsi="Times New Roman"/>
                <w:color w:val="auto"/>
                <w:szCs w:val="21"/>
              </w:rPr>
            </w:pPr>
            <w:r>
              <w:rPr>
                <w:rFonts w:hint="eastAsia"/>
                <w:color w:val="auto"/>
                <w:szCs w:val="21"/>
                <w:lang w:eastAsia="zh-CN"/>
              </w:rPr>
              <w:t>循环使用不外排</w:t>
            </w:r>
          </w:p>
        </w:tc>
        <w:tc>
          <w:tcPr>
            <w:tcW w:w="2126"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361"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噪声</w:t>
            </w:r>
          </w:p>
        </w:tc>
        <w:tc>
          <w:tcPr>
            <w:tcW w:w="780"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施工期</w:t>
            </w:r>
          </w:p>
        </w:tc>
        <w:tc>
          <w:tcPr>
            <w:tcW w:w="2904" w:type="dxa"/>
            <w:gridSpan w:val="2"/>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施工噪声Leq（A）</w:t>
            </w:r>
          </w:p>
        </w:tc>
        <w:tc>
          <w:tcPr>
            <w:tcW w:w="2906"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选用低噪声设备，合理安排施工时间，夜间禁止施工，避免多台机械同时施工</w:t>
            </w:r>
          </w:p>
        </w:tc>
        <w:tc>
          <w:tcPr>
            <w:tcW w:w="2126"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达（GB</w:t>
            </w:r>
            <w:r>
              <w:rPr>
                <w:rFonts w:ascii="Times New Roman" w:hAnsi="Times New Roman"/>
                <w:color w:val="auto"/>
                <w:szCs w:val="21"/>
              </w:rPr>
              <w:t>12523-2011</w:t>
            </w:r>
            <w:r>
              <w:rPr>
                <w:rFonts w:hint="eastAsia" w:ascii="Times New Roman" w:hAnsi="Times New Roman"/>
                <w:color w:val="auto"/>
                <w:szCs w:val="21"/>
              </w:rPr>
              <w:t>）中标准要求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jc w:val="center"/>
              <w:rPr>
                <w:rFonts w:hint="eastAsia" w:ascii="Times New Roman" w:hAnsi="Times New Roman"/>
                <w:color w:val="auto"/>
                <w:szCs w:val="21"/>
              </w:rPr>
            </w:pPr>
          </w:p>
        </w:tc>
        <w:tc>
          <w:tcPr>
            <w:tcW w:w="780"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营运期</w:t>
            </w:r>
          </w:p>
        </w:tc>
        <w:tc>
          <w:tcPr>
            <w:tcW w:w="2904" w:type="dxa"/>
            <w:gridSpan w:val="2"/>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设备及车辆噪声 Leq（A）</w:t>
            </w:r>
          </w:p>
        </w:tc>
        <w:tc>
          <w:tcPr>
            <w:tcW w:w="2906"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隔声、减震，选用低噪声设备；设警示标志、加强管理</w:t>
            </w:r>
          </w:p>
        </w:tc>
        <w:tc>
          <w:tcPr>
            <w:tcW w:w="2126" w:type="dxa"/>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达（GB12348-2008）中2类标准要求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361"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固废</w:t>
            </w:r>
          </w:p>
        </w:tc>
        <w:tc>
          <w:tcPr>
            <w:tcW w:w="780"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施工期</w:t>
            </w:r>
          </w:p>
        </w:tc>
        <w:tc>
          <w:tcPr>
            <w:tcW w:w="2904" w:type="dxa"/>
            <w:gridSpan w:val="2"/>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建筑垃圾</w:t>
            </w:r>
          </w:p>
        </w:tc>
        <w:tc>
          <w:tcPr>
            <w:tcW w:w="2906" w:type="dxa"/>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kern w:val="0"/>
                <w:szCs w:val="21"/>
              </w:rPr>
              <w:t>部分回收，不可回收部分外运至指定填埋点填埋</w:t>
            </w:r>
          </w:p>
        </w:tc>
        <w:tc>
          <w:tcPr>
            <w:tcW w:w="2126"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定期清理，符合环保要求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spacing w:line="360" w:lineRule="auto"/>
              <w:ind w:firstLine="480"/>
              <w:jc w:val="center"/>
              <w:rPr>
                <w:rFonts w:ascii="Times New Roman" w:hAnsi="Times New Roman"/>
                <w:color w:val="auto"/>
                <w:szCs w:val="21"/>
              </w:rPr>
            </w:pPr>
          </w:p>
        </w:tc>
        <w:tc>
          <w:tcPr>
            <w:tcW w:w="780" w:type="dxa"/>
            <w:vMerge w:val="continue"/>
            <w:noWrap w:val="0"/>
            <w:vAlign w:val="center"/>
          </w:tcPr>
          <w:p>
            <w:pPr>
              <w:suppressAutoHyphens/>
              <w:topLinePunct/>
              <w:ind w:firstLine="480"/>
              <w:jc w:val="center"/>
              <w:rPr>
                <w:rFonts w:ascii="Times New Roman" w:hAnsi="Times New Roman"/>
                <w:color w:val="auto"/>
                <w:szCs w:val="21"/>
              </w:rPr>
            </w:pPr>
          </w:p>
        </w:tc>
        <w:tc>
          <w:tcPr>
            <w:tcW w:w="2904" w:type="dxa"/>
            <w:gridSpan w:val="2"/>
            <w:noWrap w:val="0"/>
            <w:vAlign w:val="center"/>
          </w:tcPr>
          <w:p>
            <w:pPr>
              <w:suppressAutoHyphens/>
              <w:topLinePunct/>
              <w:jc w:val="center"/>
              <w:rPr>
                <w:rFonts w:ascii="Times New Roman" w:hAnsi="Times New Roman"/>
                <w:color w:val="auto"/>
                <w:szCs w:val="21"/>
              </w:rPr>
            </w:pPr>
            <w:r>
              <w:rPr>
                <w:rFonts w:hint="eastAsia" w:ascii="Times New Roman" w:hAnsi="Times New Roman"/>
                <w:color w:val="auto"/>
                <w:szCs w:val="21"/>
              </w:rPr>
              <w:t>生活垃圾</w:t>
            </w:r>
          </w:p>
        </w:tc>
        <w:tc>
          <w:tcPr>
            <w:tcW w:w="2906"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依托当地乡镇垃圾转运系统收集处理</w:t>
            </w:r>
          </w:p>
        </w:tc>
        <w:tc>
          <w:tcPr>
            <w:tcW w:w="2126" w:type="dxa"/>
            <w:vMerge w:val="continue"/>
            <w:noWrap w:val="0"/>
            <w:vAlign w:val="top"/>
          </w:tcPr>
          <w:p>
            <w:pPr>
              <w:suppressAutoHyphens/>
              <w:topLinePunct/>
              <w:spacing w:line="360" w:lineRule="auto"/>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61" w:type="dxa"/>
            <w:vMerge w:val="continue"/>
            <w:noWrap w:val="0"/>
            <w:vAlign w:val="center"/>
          </w:tcPr>
          <w:p>
            <w:pPr>
              <w:suppressAutoHyphens/>
              <w:topLinePunct/>
              <w:spacing w:line="360" w:lineRule="auto"/>
              <w:jc w:val="center"/>
              <w:rPr>
                <w:rFonts w:ascii="Times New Roman" w:hAnsi="Times New Roman"/>
                <w:color w:val="auto"/>
                <w:szCs w:val="21"/>
              </w:rPr>
            </w:pPr>
          </w:p>
        </w:tc>
        <w:tc>
          <w:tcPr>
            <w:tcW w:w="780" w:type="dxa"/>
            <w:vMerge w:val="restart"/>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营运期</w:t>
            </w:r>
          </w:p>
        </w:tc>
        <w:tc>
          <w:tcPr>
            <w:tcW w:w="2904" w:type="dxa"/>
            <w:gridSpan w:val="2"/>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生活垃圾</w:t>
            </w:r>
          </w:p>
        </w:tc>
        <w:tc>
          <w:tcPr>
            <w:tcW w:w="2906" w:type="dxa"/>
            <w:vMerge w:val="continue"/>
            <w:noWrap w:val="0"/>
            <w:vAlign w:val="center"/>
          </w:tcPr>
          <w:p>
            <w:pPr>
              <w:suppressAutoHyphens/>
              <w:topLinePunct/>
              <w:jc w:val="center"/>
              <w:rPr>
                <w:rFonts w:hint="eastAsia" w:ascii="Times New Roman" w:hAnsi="Times New Roman"/>
                <w:color w:val="auto"/>
                <w:szCs w:val="21"/>
              </w:rPr>
            </w:pPr>
          </w:p>
        </w:tc>
        <w:tc>
          <w:tcPr>
            <w:tcW w:w="2126" w:type="dxa"/>
            <w:vMerge w:val="continue"/>
            <w:noWrap w:val="0"/>
            <w:vAlign w:val="top"/>
          </w:tcPr>
          <w:p>
            <w:pPr>
              <w:suppressAutoHyphens/>
              <w:topLinePunct/>
              <w:spacing w:line="360" w:lineRule="auto"/>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jc w:val="center"/>
              <w:rPr>
                <w:rFonts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2904" w:type="dxa"/>
            <w:gridSpan w:val="2"/>
            <w:noWrap w:val="0"/>
            <w:vAlign w:val="center"/>
          </w:tcPr>
          <w:p>
            <w:pPr>
              <w:suppressAutoHyphens/>
              <w:topLinePunct/>
              <w:jc w:val="center"/>
              <w:rPr>
                <w:rFonts w:hint="eastAsia" w:ascii="Times New Roman" w:hAnsi="Times New Roman"/>
                <w:color w:val="auto"/>
                <w:szCs w:val="21"/>
                <w:u w:val="single"/>
              </w:rPr>
            </w:pPr>
            <w:r>
              <w:rPr>
                <w:bCs/>
                <w:color w:val="auto"/>
                <w:szCs w:val="21"/>
              </w:rPr>
              <w:t>沉淀池沉渣</w:t>
            </w:r>
          </w:p>
        </w:tc>
        <w:tc>
          <w:tcPr>
            <w:tcW w:w="2906" w:type="dxa"/>
            <w:noWrap w:val="0"/>
            <w:vAlign w:val="center"/>
          </w:tcPr>
          <w:p>
            <w:pPr>
              <w:suppressAutoHyphens/>
              <w:topLinePunct/>
              <w:jc w:val="center"/>
              <w:rPr>
                <w:rFonts w:hint="eastAsia" w:ascii="Times New Roman" w:hAnsi="Times New Roman" w:eastAsia="宋体"/>
                <w:color w:val="auto"/>
                <w:szCs w:val="21"/>
                <w:u w:val="single"/>
                <w:lang w:eastAsia="zh-CN"/>
              </w:rPr>
            </w:pPr>
            <w:r>
              <w:rPr>
                <w:rFonts w:hint="eastAsia"/>
                <w:color w:val="auto"/>
                <w:szCs w:val="21"/>
                <w:u w:val="none"/>
                <w:lang w:eastAsia="zh-CN"/>
              </w:rPr>
              <w:t>混入原材料中回用于生产</w:t>
            </w:r>
          </w:p>
        </w:tc>
        <w:tc>
          <w:tcPr>
            <w:tcW w:w="2126" w:type="dxa"/>
            <w:vMerge w:val="continue"/>
            <w:noWrap w:val="0"/>
            <w:vAlign w:val="top"/>
          </w:tcPr>
          <w:p>
            <w:pPr>
              <w:suppressAutoHyphens/>
              <w:topLinePunct/>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jc w:val="center"/>
              <w:rPr>
                <w:rFonts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2904" w:type="dxa"/>
            <w:gridSpan w:val="2"/>
            <w:noWrap w:val="0"/>
            <w:vAlign w:val="center"/>
          </w:tcPr>
          <w:p>
            <w:pPr>
              <w:suppressAutoHyphens/>
              <w:topLinePunct/>
              <w:jc w:val="center"/>
              <w:rPr>
                <w:rFonts w:hint="eastAsia" w:ascii="Times New Roman" w:hAnsi="Times New Roman" w:eastAsia="宋体"/>
                <w:color w:val="auto"/>
                <w:szCs w:val="21"/>
                <w:lang w:eastAsia="zh-CN"/>
              </w:rPr>
            </w:pPr>
            <w:r>
              <w:rPr>
                <w:rFonts w:hint="eastAsia"/>
                <w:color w:val="auto"/>
                <w:szCs w:val="21"/>
                <w:lang w:eastAsia="zh-CN"/>
              </w:rPr>
              <w:t>残次品</w:t>
            </w:r>
          </w:p>
        </w:tc>
        <w:tc>
          <w:tcPr>
            <w:tcW w:w="2906" w:type="dxa"/>
            <w:noWrap w:val="0"/>
            <w:vAlign w:val="center"/>
          </w:tcPr>
          <w:p>
            <w:pPr>
              <w:suppressAutoHyphens/>
              <w:topLinePunct/>
              <w:jc w:val="center"/>
              <w:rPr>
                <w:rFonts w:hint="eastAsia" w:ascii="Times New Roman" w:hAnsi="Times New Roman" w:eastAsia="宋体"/>
                <w:color w:val="auto"/>
                <w:szCs w:val="21"/>
                <w:lang w:eastAsia="zh-CN"/>
              </w:rPr>
            </w:pPr>
            <w:r>
              <w:rPr>
                <w:rFonts w:hint="eastAsia"/>
                <w:color w:val="auto"/>
                <w:szCs w:val="21"/>
                <w:lang w:eastAsia="zh-CN"/>
              </w:rPr>
              <w:t>用作烘干机燃料</w:t>
            </w:r>
          </w:p>
        </w:tc>
        <w:tc>
          <w:tcPr>
            <w:tcW w:w="2126" w:type="dxa"/>
            <w:vMerge w:val="continue"/>
            <w:noWrap w:val="0"/>
            <w:vAlign w:val="top"/>
          </w:tcPr>
          <w:p>
            <w:pPr>
              <w:suppressAutoHyphens/>
              <w:topLinePunct/>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jc w:val="center"/>
              <w:rPr>
                <w:rFonts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2904" w:type="dxa"/>
            <w:gridSpan w:val="2"/>
            <w:noWrap w:val="0"/>
            <w:vAlign w:val="center"/>
          </w:tcPr>
          <w:p>
            <w:pPr>
              <w:suppressAutoHyphens/>
              <w:topLinePunct/>
              <w:jc w:val="center"/>
              <w:rPr>
                <w:rFonts w:hint="eastAsia" w:ascii="Times New Roman" w:hAnsi="Times New Roman" w:eastAsia="宋体"/>
                <w:color w:val="auto"/>
                <w:szCs w:val="21"/>
                <w:lang w:eastAsia="zh-CN"/>
              </w:rPr>
            </w:pPr>
            <w:r>
              <w:rPr>
                <w:rFonts w:hint="eastAsia"/>
                <w:color w:val="auto"/>
                <w:szCs w:val="21"/>
                <w:lang w:eastAsia="zh-CN"/>
              </w:rPr>
              <w:t>收尘灰</w:t>
            </w:r>
          </w:p>
        </w:tc>
        <w:tc>
          <w:tcPr>
            <w:tcW w:w="2906" w:type="dxa"/>
            <w:noWrap w:val="0"/>
            <w:vAlign w:val="center"/>
          </w:tcPr>
          <w:p>
            <w:pPr>
              <w:suppressAutoHyphens/>
              <w:topLinePunct/>
              <w:jc w:val="center"/>
              <w:rPr>
                <w:rFonts w:hint="eastAsia" w:ascii="Times New Roman" w:hAnsi="Times New Roman" w:eastAsia="宋体"/>
                <w:color w:val="auto"/>
                <w:szCs w:val="21"/>
                <w:lang w:eastAsia="zh-CN"/>
              </w:rPr>
            </w:pPr>
            <w:r>
              <w:rPr>
                <w:rFonts w:hint="eastAsia"/>
                <w:color w:val="auto"/>
                <w:szCs w:val="21"/>
                <w:lang w:eastAsia="zh-CN"/>
              </w:rPr>
              <w:t>回用于生产</w:t>
            </w:r>
          </w:p>
        </w:tc>
        <w:tc>
          <w:tcPr>
            <w:tcW w:w="2126" w:type="dxa"/>
            <w:vMerge w:val="continue"/>
            <w:noWrap w:val="0"/>
            <w:vAlign w:val="top"/>
          </w:tcPr>
          <w:p>
            <w:pPr>
              <w:suppressAutoHyphens/>
              <w:topLinePunct/>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jc w:val="center"/>
              <w:rPr>
                <w:rFonts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2904" w:type="dxa"/>
            <w:gridSpan w:val="2"/>
            <w:noWrap w:val="0"/>
            <w:vAlign w:val="center"/>
          </w:tcPr>
          <w:p>
            <w:pPr>
              <w:suppressAutoHyphens/>
              <w:topLinePunct/>
              <w:jc w:val="center"/>
              <w:rPr>
                <w:rFonts w:hint="eastAsia"/>
                <w:color w:val="auto"/>
                <w:szCs w:val="21"/>
                <w:lang w:eastAsia="zh-CN"/>
              </w:rPr>
            </w:pPr>
            <w:r>
              <w:rPr>
                <w:bCs/>
                <w:color w:val="auto"/>
                <w:szCs w:val="21"/>
              </w:rPr>
              <w:t>烘干</w:t>
            </w:r>
            <w:r>
              <w:rPr>
                <w:rFonts w:hint="eastAsia"/>
                <w:bCs/>
                <w:color w:val="auto"/>
                <w:szCs w:val="21"/>
                <w:lang w:eastAsia="zh-CN"/>
              </w:rPr>
              <w:t>机</w:t>
            </w:r>
            <w:r>
              <w:rPr>
                <w:bCs/>
                <w:color w:val="auto"/>
                <w:szCs w:val="21"/>
              </w:rPr>
              <w:t>炉渣</w:t>
            </w:r>
          </w:p>
        </w:tc>
        <w:tc>
          <w:tcPr>
            <w:tcW w:w="2906" w:type="dxa"/>
            <w:noWrap w:val="0"/>
            <w:vAlign w:val="center"/>
          </w:tcPr>
          <w:p>
            <w:pPr>
              <w:suppressAutoHyphens/>
              <w:topLinePunct/>
              <w:jc w:val="center"/>
              <w:rPr>
                <w:rFonts w:ascii="Times New Roman" w:hAnsi="Times New Roman"/>
                <w:color w:val="auto"/>
                <w:szCs w:val="21"/>
              </w:rPr>
            </w:pPr>
            <w:r>
              <w:rPr>
                <w:color w:val="auto"/>
                <w:kern w:val="0"/>
                <w:szCs w:val="21"/>
              </w:rPr>
              <w:t>收集后送附近农户作农肥</w:t>
            </w:r>
          </w:p>
        </w:tc>
        <w:tc>
          <w:tcPr>
            <w:tcW w:w="2126" w:type="dxa"/>
            <w:vMerge w:val="continue"/>
            <w:noWrap w:val="0"/>
            <w:vAlign w:val="top"/>
          </w:tcPr>
          <w:p>
            <w:pPr>
              <w:suppressAutoHyphens/>
              <w:topLinePunct/>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jc w:val="center"/>
              <w:rPr>
                <w:rFonts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2904" w:type="dxa"/>
            <w:gridSpan w:val="2"/>
            <w:noWrap w:val="0"/>
            <w:vAlign w:val="center"/>
          </w:tcPr>
          <w:p>
            <w:pPr>
              <w:suppressAutoHyphens/>
              <w:topLinePunct/>
              <w:jc w:val="center"/>
              <w:rPr>
                <w:rFonts w:hint="eastAsia" w:eastAsia="宋体"/>
                <w:bCs/>
                <w:color w:val="auto"/>
                <w:szCs w:val="21"/>
                <w:u w:val="single"/>
                <w:lang w:eastAsia="zh-CN"/>
              </w:rPr>
            </w:pPr>
            <w:r>
              <w:rPr>
                <w:rFonts w:hint="eastAsia"/>
                <w:bCs/>
                <w:color w:val="auto"/>
                <w:szCs w:val="21"/>
                <w:u w:val="single"/>
                <w:lang w:eastAsia="zh-CN"/>
              </w:rPr>
              <w:t>木焦油、木醋液</w:t>
            </w:r>
          </w:p>
        </w:tc>
        <w:tc>
          <w:tcPr>
            <w:tcW w:w="2906" w:type="dxa"/>
            <w:noWrap w:val="0"/>
            <w:vAlign w:val="center"/>
          </w:tcPr>
          <w:p>
            <w:pPr>
              <w:suppressAutoHyphens/>
              <w:topLinePunct/>
              <w:jc w:val="center"/>
              <w:rPr>
                <w:rFonts w:hint="eastAsia" w:eastAsia="宋体"/>
                <w:color w:val="auto"/>
                <w:kern w:val="0"/>
                <w:szCs w:val="21"/>
                <w:u w:val="single"/>
                <w:lang w:eastAsia="zh-CN"/>
              </w:rPr>
            </w:pPr>
            <w:r>
              <w:rPr>
                <w:rFonts w:hint="eastAsia"/>
                <w:color w:val="auto"/>
                <w:kern w:val="0"/>
                <w:szCs w:val="21"/>
                <w:u w:val="single"/>
                <w:lang w:eastAsia="zh-CN"/>
              </w:rPr>
              <w:t>在烘干炉内燃料</w:t>
            </w:r>
          </w:p>
        </w:tc>
        <w:tc>
          <w:tcPr>
            <w:tcW w:w="2126" w:type="dxa"/>
            <w:vMerge w:val="continue"/>
            <w:noWrap w:val="0"/>
            <w:vAlign w:val="top"/>
          </w:tcPr>
          <w:p>
            <w:pPr>
              <w:suppressAutoHyphens/>
              <w:topLinePunct/>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jc w:val="center"/>
              <w:rPr>
                <w:rFonts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2904" w:type="dxa"/>
            <w:gridSpan w:val="2"/>
            <w:noWrap w:val="0"/>
            <w:vAlign w:val="center"/>
          </w:tcPr>
          <w:p>
            <w:pPr>
              <w:keepNext w:val="0"/>
              <w:keepLines w:val="0"/>
              <w:widowControl/>
              <w:suppressLineNumbers w:val="0"/>
              <w:jc w:val="center"/>
              <w:textAlignment w:val="center"/>
              <w:rPr>
                <w:bCs/>
                <w:color w:val="auto"/>
                <w:szCs w:val="21"/>
                <w:u w:val="single"/>
              </w:rPr>
            </w:pPr>
            <w:r>
              <w:rPr>
                <w:rFonts w:hint="eastAsia"/>
                <w:color w:val="auto"/>
                <w:szCs w:val="21"/>
                <w:u w:val="single"/>
              </w:rPr>
              <w:t>废润滑油</w:t>
            </w:r>
          </w:p>
        </w:tc>
        <w:tc>
          <w:tcPr>
            <w:tcW w:w="2906" w:type="dxa"/>
            <w:vMerge w:val="restart"/>
            <w:noWrap w:val="0"/>
            <w:vAlign w:val="center"/>
          </w:tcPr>
          <w:p>
            <w:pPr>
              <w:suppressAutoHyphens/>
              <w:topLinePunct/>
              <w:jc w:val="center"/>
              <w:rPr>
                <w:color w:val="auto"/>
                <w:kern w:val="0"/>
                <w:szCs w:val="21"/>
                <w:u w:val="single"/>
              </w:rPr>
            </w:pPr>
            <w:r>
              <w:rPr>
                <w:rFonts w:hAnsi="T"/>
                <w:color w:val="auto"/>
                <w:kern w:val="1"/>
                <w:szCs w:val="21"/>
                <w:u w:val="single"/>
              </w:rPr>
              <w:t>交由有资质单位处置</w:t>
            </w:r>
          </w:p>
        </w:tc>
        <w:tc>
          <w:tcPr>
            <w:tcW w:w="2126" w:type="dxa"/>
            <w:vMerge w:val="continue"/>
            <w:noWrap w:val="0"/>
            <w:vAlign w:val="top"/>
          </w:tcPr>
          <w:p>
            <w:pPr>
              <w:suppressAutoHyphens/>
              <w:topLinePunct/>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1" w:type="dxa"/>
            <w:vMerge w:val="continue"/>
            <w:noWrap w:val="0"/>
            <w:vAlign w:val="center"/>
          </w:tcPr>
          <w:p>
            <w:pPr>
              <w:suppressAutoHyphens/>
              <w:topLinePunct/>
              <w:jc w:val="center"/>
              <w:rPr>
                <w:rFonts w:ascii="Times New Roman" w:hAnsi="Times New Roman"/>
                <w:color w:val="auto"/>
                <w:szCs w:val="21"/>
              </w:rPr>
            </w:pPr>
          </w:p>
        </w:tc>
        <w:tc>
          <w:tcPr>
            <w:tcW w:w="780" w:type="dxa"/>
            <w:vMerge w:val="continue"/>
            <w:noWrap w:val="0"/>
            <w:vAlign w:val="center"/>
          </w:tcPr>
          <w:p>
            <w:pPr>
              <w:suppressAutoHyphens/>
              <w:topLinePunct/>
              <w:jc w:val="center"/>
              <w:rPr>
                <w:rFonts w:hint="eastAsia" w:ascii="Times New Roman" w:hAnsi="Times New Roman"/>
                <w:color w:val="auto"/>
                <w:szCs w:val="21"/>
              </w:rPr>
            </w:pPr>
          </w:p>
        </w:tc>
        <w:tc>
          <w:tcPr>
            <w:tcW w:w="2904" w:type="dxa"/>
            <w:gridSpan w:val="2"/>
            <w:noWrap w:val="0"/>
            <w:vAlign w:val="center"/>
          </w:tcPr>
          <w:p>
            <w:pPr>
              <w:keepNext w:val="0"/>
              <w:keepLines w:val="0"/>
              <w:widowControl/>
              <w:suppressLineNumbers w:val="0"/>
              <w:jc w:val="center"/>
              <w:textAlignment w:val="center"/>
              <w:rPr>
                <w:bCs/>
                <w:color w:val="auto"/>
                <w:szCs w:val="21"/>
                <w:u w:val="single"/>
              </w:rPr>
            </w:pPr>
            <w:r>
              <w:rPr>
                <w:rFonts w:hint="eastAsia"/>
                <w:color w:val="auto"/>
                <w:szCs w:val="21"/>
                <w:u w:val="single"/>
              </w:rPr>
              <w:t>含油废手套（抹布）</w:t>
            </w:r>
          </w:p>
        </w:tc>
        <w:tc>
          <w:tcPr>
            <w:tcW w:w="2906" w:type="dxa"/>
            <w:vMerge w:val="continue"/>
            <w:noWrap w:val="0"/>
            <w:vAlign w:val="center"/>
          </w:tcPr>
          <w:p>
            <w:pPr>
              <w:suppressAutoHyphens/>
              <w:topLinePunct/>
              <w:jc w:val="center"/>
              <w:rPr>
                <w:color w:val="auto"/>
                <w:kern w:val="0"/>
                <w:szCs w:val="21"/>
                <w:u w:val="single"/>
              </w:rPr>
            </w:pPr>
          </w:p>
        </w:tc>
        <w:tc>
          <w:tcPr>
            <w:tcW w:w="2126" w:type="dxa"/>
            <w:vMerge w:val="continue"/>
            <w:noWrap w:val="0"/>
            <w:vAlign w:val="top"/>
          </w:tcPr>
          <w:p>
            <w:pPr>
              <w:suppressAutoHyphens/>
              <w:topLinePunct/>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trPr>
        <w:tc>
          <w:tcPr>
            <w:tcW w:w="1141" w:type="dxa"/>
            <w:gridSpan w:val="2"/>
            <w:noWrap w:val="0"/>
            <w:vAlign w:val="center"/>
          </w:tcPr>
          <w:p>
            <w:pPr>
              <w:suppressAutoHyphens/>
              <w:topLinePunct/>
              <w:jc w:val="center"/>
              <w:rPr>
                <w:rFonts w:hint="eastAsia" w:ascii="Times New Roman" w:hAnsi="Times New Roman"/>
                <w:color w:val="auto"/>
                <w:szCs w:val="21"/>
              </w:rPr>
            </w:pPr>
            <w:r>
              <w:rPr>
                <w:rFonts w:hint="eastAsia" w:ascii="Times New Roman" w:hAnsi="Times New Roman"/>
                <w:color w:val="auto"/>
                <w:szCs w:val="21"/>
              </w:rPr>
              <w:t>其它</w:t>
            </w:r>
          </w:p>
        </w:tc>
        <w:tc>
          <w:tcPr>
            <w:tcW w:w="7936" w:type="dxa"/>
            <w:gridSpan w:val="4"/>
            <w:noWrap w:val="0"/>
            <w:vAlign w:val="center"/>
          </w:tcPr>
          <w:p>
            <w:pPr>
              <w:suppressAutoHyphens/>
              <w:topLinePunct/>
              <w:ind w:firstLine="420" w:firstLineChars="200"/>
              <w:rPr>
                <w:rFonts w:ascii="Times New Roman" w:hAnsi="Times New Roman"/>
                <w:color w:val="auto"/>
                <w:szCs w:val="21"/>
              </w:rPr>
            </w:pPr>
            <w:r>
              <w:rPr>
                <w:rFonts w:hint="eastAsia" w:ascii="Times New Roman" w:hAnsi="Times New Roman"/>
                <w:color w:val="auto"/>
                <w:szCs w:val="21"/>
              </w:rPr>
              <w:t>环境风险：严格落实前7.3节“环境风险分析及防范措施”中提出的风险防治措施，防范事故的发生并降低环境风险发生几率，保护工作人员、周边居民和所在的区域环境的安全。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3" w:hRule="atLeast"/>
        </w:trPr>
        <w:tc>
          <w:tcPr>
            <w:tcW w:w="9077" w:type="dxa"/>
            <w:gridSpan w:val="6"/>
            <w:noWrap w:val="0"/>
            <w:vAlign w:val="top"/>
          </w:tcPr>
          <w:p>
            <w:pPr>
              <w:keepNext/>
              <w:keepLines/>
              <w:suppressAutoHyphens/>
              <w:topLinePunct/>
              <w:spacing w:line="360" w:lineRule="auto"/>
              <w:outlineLvl w:val="1"/>
              <w:rPr>
                <w:rFonts w:ascii="Times New Roman" w:hAnsi="Times New Roman" w:eastAsia="黑体"/>
                <w:b/>
                <w:bCs/>
                <w:color w:val="auto"/>
                <w:szCs w:val="21"/>
              </w:rPr>
            </w:pPr>
            <w:r>
              <w:rPr>
                <w:rFonts w:hint="eastAsia" w:ascii="Times New Roman" w:hAnsi="Times New Roman" w:eastAsia="黑体"/>
                <w:b/>
                <w:bCs/>
                <w:color w:val="auto"/>
                <w:szCs w:val="21"/>
              </w:rPr>
              <w:t>生态保护措施及预期效果:</w:t>
            </w:r>
          </w:p>
          <w:p>
            <w:pPr>
              <w:spacing w:line="360" w:lineRule="auto"/>
              <w:ind w:firstLine="480"/>
              <w:rPr>
                <w:rFonts w:hint="eastAsia" w:ascii="Times New Roman" w:hAnsi="Times New Roman"/>
                <w:color w:val="auto"/>
                <w:szCs w:val="21"/>
              </w:rPr>
            </w:pPr>
            <w:r>
              <w:rPr>
                <w:rFonts w:hint="eastAsia" w:ascii="Times New Roman" w:hAnsi="Times New Roman"/>
                <w:color w:val="auto"/>
                <w:szCs w:val="21"/>
              </w:rPr>
              <w:t>废气、废水、噪声、固废经治理达标后排放，以减少本项目排放的污染物对周围环境的影响。加强厂区及其厂界周围环境绿化，绿化以树、灌、草等相结合的形式，起到降低噪声、吸附尘粒、净化空气的作用，同时也可起到生态环境保护作用。</w:t>
            </w:r>
          </w:p>
          <w:p>
            <w:pPr>
              <w:spacing w:line="360" w:lineRule="auto"/>
              <w:ind w:firstLine="480"/>
              <w:rPr>
                <w:rFonts w:hint="eastAsia" w:ascii="Times New Roman" w:hAnsi="Times New Roman"/>
                <w:color w:val="auto"/>
                <w:szCs w:val="21"/>
              </w:rPr>
            </w:pPr>
          </w:p>
          <w:p>
            <w:pPr>
              <w:spacing w:line="360" w:lineRule="auto"/>
              <w:ind w:firstLine="480"/>
              <w:rPr>
                <w:rFonts w:hint="eastAsia" w:ascii="Times New Roman" w:hAnsi="Times New Roman"/>
                <w:color w:val="auto"/>
                <w:szCs w:val="21"/>
              </w:rPr>
            </w:pPr>
          </w:p>
          <w:p>
            <w:pPr>
              <w:spacing w:line="360" w:lineRule="auto"/>
              <w:ind w:firstLine="480"/>
              <w:rPr>
                <w:rFonts w:hint="eastAsia" w:ascii="Times New Roman" w:hAnsi="Times New Roman"/>
                <w:color w:val="auto"/>
                <w:szCs w:val="21"/>
              </w:rPr>
            </w:pPr>
          </w:p>
          <w:p>
            <w:pPr>
              <w:spacing w:line="360" w:lineRule="auto"/>
              <w:ind w:firstLine="480"/>
              <w:rPr>
                <w:rFonts w:hint="eastAsia" w:ascii="Times New Roman" w:hAnsi="Times New Roman"/>
                <w:color w:val="auto"/>
                <w:szCs w:val="21"/>
              </w:rPr>
            </w:pPr>
          </w:p>
        </w:tc>
      </w:tr>
    </w:tbl>
    <w:p>
      <w:pPr>
        <w:pStyle w:val="2"/>
        <w:rPr>
          <w:bCs w:val="0"/>
          <w:color w:val="auto"/>
          <w:kern w:val="0"/>
          <w:sz w:val="28"/>
          <w:szCs w:val="28"/>
        </w:rPr>
      </w:pPr>
      <w:r>
        <w:rPr>
          <w:bCs w:val="0"/>
          <w:color w:val="auto"/>
          <w:kern w:val="0"/>
          <w:sz w:val="28"/>
          <w:szCs w:val="28"/>
        </w:rPr>
        <w:br w:type="page"/>
      </w:r>
    </w:p>
    <w:p>
      <w:pPr>
        <w:pStyle w:val="3"/>
        <w:keepNext w:val="0"/>
        <w:keepLines w:val="0"/>
        <w:suppressAutoHyphens/>
        <w:topLinePunct/>
        <w:spacing w:before="0" w:after="0" w:line="240" w:lineRule="auto"/>
        <w:rPr>
          <w:rFonts w:hint="eastAsia"/>
          <w:bCs w:val="0"/>
          <w:color w:val="auto"/>
          <w:kern w:val="0"/>
          <w:sz w:val="28"/>
          <w:szCs w:val="28"/>
        </w:rPr>
      </w:pPr>
      <w:bookmarkStart w:id="20" w:name="_Toc29307434"/>
      <w:bookmarkStart w:id="21" w:name="_Toc29308634"/>
      <w:r>
        <w:rPr>
          <w:rFonts w:hint="eastAsia"/>
          <w:bCs w:val="0"/>
          <w:color w:val="auto"/>
          <w:kern w:val="0"/>
          <w:sz w:val="28"/>
          <w:szCs w:val="28"/>
        </w:rPr>
        <w:t>九、结论与建议</w:t>
      </w:r>
      <w:bookmarkEnd w:id="20"/>
      <w:bookmarkEnd w:id="2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noWrap w:val="0"/>
            <w:vAlign w:val="top"/>
          </w:tcPr>
          <w:p>
            <w:pPr>
              <w:spacing w:line="60" w:lineRule="auto"/>
              <w:jc w:val="left"/>
              <w:rPr>
                <w:rStyle w:val="27"/>
                <w:rFonts w:hint="eastAsia" w:eastAsia="宋体"/>
                <w:color w:val="auto"/>
                <w:szCs w:val="28"/>
              </w:rPr>
            </w:pPr>
            <w:bookmarkStart w:id="22" w:name="_GoBack"/>
            <w:r>
              <w:rPr>
                <w:rStyle w:val="27"/>
                <w:rFonts w:hint="eastAsia" w:eastAsia="宋体"/>
                <w:color w:val="auto"/>
                <w:szCs w:val="28"/>
              </w:rPr>
              <w:t>结论</w:t>
            </w:r>
          </w:p>
          <w:p>
            <w:pPr>
              <w:spacing w:line="360" w:lineRule="auto"/>
              <w:jc w:val="left"/>
              <w:rPr>
                <w:rStyle w:val="27"/>
                <w:rFonts w:hint="eastAsia" w:eastAsia="宋体"/>
                <w:color w:val="auto"/>
                <w:sz w:val="24"/>
                <w:szCs w:val="24"/>
              </w:rPr>
            </w:pPr>
            <w:r>
              <w:rPr>
                <w:rStyle w:val="27"/>
                <w:rFonts w:hint="eastAsia" w:eastAsia="宋体"/>
                <w:color w:val="auto"/>
                <w:sz w:val="24"/>
                <w:szCs w:val="24"/>
              </w:rPr>
              <w:t>1.1 项目概况</w:t>
            </w:r>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olor w:val="auto"/>
                <w:sz w:val="24"/>
                <w:szCs w:val="20"/>
                <w:u w:val="none"/>
                <w:lang w:eastAsia="zh-CN"/>
              </w:rPr>
              <w:t>怀化市洪江区欣隆竹胶板厂</w:t>
            </w:r>
            <w:r>
              <w:rPr>
                <w:rFonts w:hint="eastAsia"/>
                <w:b w:val="0"/>
                <w:bCs w:val="0"/>
                <w:color w:val="auto"/>
                <w:sz w:val="24"/>
                <w:szCs w:val="24"/>
                <w:u w:val="none"/>
                <w:lang w:val="en-US" w:eastAsia="zh-CN"/>
              </w:rPr>
              <w:t>拟</w:t>
            </w:r>
            <w:r>
              <w:rPr>
                <w:rFonts w:hint="eastAsia" w:asciiTheme="minorEastAsia" w:hAnsiTheme="minorEastAsia" w:eastAsiaTheme="minorEastAsia" w:cstheme="minorEastAsia"/>
                <w:b w:val="0"/>
                <w:bCs w:val="0"/>
                <w:color w:val="auto"/>
                <w:sz w:val="24"/>
                <w:szCs w:val="24"/>
                <w:lang w:val="en-US" w:eastAsia="zh-CN"/>
              </w:rPr>
              <w:t>闲置</w:t>
            </w:r>
            <w:r>
              <w:rPr>
                <w:rFonts w:hint="eastAsia"/>
                <w:b w:val="0"/>
                <w:bCs w:val="0"/>
                <w:color w:val="auto"/>
                <w:sz w:val="24"/>
                <w:szCs w:val="24"/>
                <w:u w:val="none"/>
                <w:lang w:val="en-US" w:eastAsia="zh-CN"/>
              </w:rPr>
              <w:t>场地</w:t>
            </w:r>
            <w:r>
              <w:rPr>
                <w:rFonts w:hint="eastAsia" w:asciiTheme="minorEastAsia" w:hAnsiTheme="minorEastAsia" w:eastAsiaTheme="minorEastAsia" w:cstheme="minorEastAsia"/>
                <w:b w:val="0"/>
                <w:bCs w:val="0"/>
                <w:color w:val="auto"/>
                <w:sz w:val="24"/>
                <w:szCs w:val="24"/>
                <w:lang w:eastAsia="zh-CN"/>
              </w:rPr>
              <w:t>内</w:t>
            </w:r>
            <w:r>
              <w:rPr>
                <w:rFonts w:hint="eastAsia" w:asciiTheme="minorEastAsia" w:hAnsiTheme="minorEastAsia" w:eastAsiaTheme="minorEastAsia" w:cstheme="minorEastAsia"/>
                <w:b w:val="0"/>
                <w:bCs w:val="0"/>
                <w:color w:val="auto"/>
                <w:sz w:val="24"/>
                <w:szCs w:val="24"/>
                <w:lang w:val="en-US" w:eastAsia="zh-CN"/>
              </w:rPr>
              <w:t>扩建</w:t>
            </w:r>
            <w:r>
              <w:rPr>
                <w:rFonts w:hint="eastAsia" w:ascii="Times New Roman" w:hAnsi="Times New Roman"/>
                <w:color w:val="auto"/>
                <w:sz w:val="24"/>
                <w:szCs w:val="20"/>
                <w:u w:val="none"/>
                <w:lang w:eastAsia="zh-CN"/>
              </w:rPr>
              <w:t>年产3000t机制木炭生产线</w:t>
            </w:r>
            <w:r>
              <w:rPr>
                <w:rFonts w:hint="eastAsia" w:asciiTheme="minorEastAsia" w:hAnsiTheme="minorEastAsia" w:eastAsiaTheme="minorEastAsia" w:cstheme="minorEastAsia"/>
                <w:b w:val="0"/>
                <w:bCs w:val="0"/>
                <w:color w:val="auto"/>
                <w:sz w:val="24"/>
                <w:szCs w:val="24"/>
                <w:lang w:val="en-US" w:eastAsia="zh-CN"/>
              </w:rPr>
              <w:t>，</w:t>
            </w:r>
            <w:r>
              <w:rPr>
                <w:rFonts w:hint="default" w:ascii="Times New Roman" w:hAnsi="Times New Roman" w:cs="Times New Roman"/>
                <w:color w:val="auto"/>
                <w:sz w:val="24"/>
                <w:szCs w:val="24"/>
                <w:lang w:eastAsia="zh-CN"/>
              </w:rPr>
              <w:t>总</w:t>
            </w:r>
            <w:r>
              <w:rPr>
                <w:rFonts w:hint="default" w:ascii="Times New Roman" w:hAnsi="Times New Roman" w:eastAsia="宋体" w:cs="Times New Roman"/>
                <w:color w:val="auto"/>
                <w:kern w:val="2"/>
                <w:sz w:val="24"/>
                <w:szCs w:val="24"/>
                <w:lang w:val="en-US" w:eastAsia="zh-CN" w:bidi="ar"/>
              </w:rPr>
              <w:t>占地面积3170</w:t>
            </w:r>
            <w:r>
              <w:rPr>
                <w:rFonts w:hint="eastAsia" w:eastAsia="宋体" w:cs="Times New Roman"/>
                <w:color w:val="auto"/>
                <w:kern w:val="2"/>
                <w:sz w:val="24"/>
                <w:szCs w:val="24"/>
                <w:lang w:val="en-US" w:eastAsia="zh-CN" w:bidi="ar"/>
              </w:rPr>
              <w:t>m</w:t>
            </w:r>
            <w:r>
              <w:rPr>
                <w:rFonts w:hint="eastAsia"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，新建</w:t>
            </w:r>
            <w:r>
              <w:rPr>
                <w:rFonts w:hint="default" w:ascii="Times New Roman" w:hAnsi="Times New Roman" w:cs="Times New Roman" w:eastAsiaTheme="minorEastAsia"/>
                <w:color w:val="auto"/>
                <w:sz w:val="24"/>
                <w:szCs w:val="24"/>
                <w:lang w:eastAsia="zh-CN"/>
              </w:rPr>
              <w:t>钢结构</w:t>
            </w:r>
            <w:r>
              <w:rPr>
                <w:rFonts w:hint="default" w:ascii="Times New Roman" w:hAnsi="Times New Roman" w:cs="Times New Roman" w:eastAsiaTheme="minorEastAsia"/>
                <w:color w:val="auto"/>
                <w:sz w:val="24"/>
                <w:szCs w:val="24"/>
              </w:rPr>
              <w:t>厂房面积</w:t>
            </w:r>
            <w:r>
              <w:rPr>
                <w:rFonts w:hint="default" w:ascii="Times New Roman" w:hAnsi="Times New Roman" w:cs="Times New Roman" w:eastAsiaTheme="minorEastAsia"/>
                <w:color w:val="auto"/>
                <w:sz w:val="24"/>
                <w:szCs w:val="24"/>
                <w:lang w:val="en-US" w:eastAsia="zh-CN"/>
              </w:rPr>
              <w:t>约</w:t>
            </w:r>
            <w:r>
              <w:rPr>
                <w:rFonts w:hint="default" w:ascii="Times New Roman" w:hAnsi="Times New Roman" w:cs="Times New Roman"/>
                <w:color w:val="auto"/>
                <w:sz w:val="24"/>
                <w:szCs w:val="24"/>
                <w:lang w:val="en-US" w:eastAsia="zh-CN"/>
              </w:rPr>
              <w:t>26</w:t>
            </w:r>
            <w:r>
              <w:rPr>
                <w:rFonts w:hint="default" w:ascii="Times New Roman" w:hAnsi="Times New Roman" w:cs="Times New Roman" w:eastAsiaTheme="minorEastAsia"/>
                <w:color w:val="auto"/>
                <w:sz w:val="24"/>
                <w:szCs w:val="24"/>
                <w:lang w:val="en-US" w:eastAsia="zh-CN"/>
              </w:rPr>
              <w:t>00</w:t>
            </w:r>
            <w:r>
              <w:rPr>
                <w:rFonts w:hint="eastAsia" w:eastAsia="宋体" w:cs="Times New Roman"/>
                <w:color w:val="auto"/>
                <w:kern w:val="2"/>
                <w:sz w:val="24"/>
                <w:szCs w:val="24"/>
                <w:lang w:val="en-US" w:eastAsia="zh-CN" w:bidi="ar"/>
              </w:rPr>
              <w:t>m</w:t>
            </w:r>
            <w:r>
              <w:rPr>
                <w:rFonts w:hint="eastAsia"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，新建办公用房</w:t>
            </w:r>
            <w:r>
              <w:rPr>
                <w:rFonts w:hint="default" w:ascii="Times New Roman" w:hAnsi="Times New Roman" w:cs="Times New Roman" w:eastAsiaTheme="minorEastAsia"/>
                <w:color w:val="auto"/>
                <w:sz w:val="24"/>
                <w:szCs w:val="24"/>
                <w:lang w:val="en-US" w:eastAsia="zh-CN"/>
              </w:rPr>
              <w:t>约</w:t>
            </w:r>
            <w:r>
              <w:rPr>
                <w:rFonts w:hint="default" w:ascii="Times New Roman" w:hAnsi="Times New Roman" w:cs="Times New Roman"/>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0</w:t>
            </w:r>
            <w:r>
              <w:rPr>
                <w:rFonts w:hint="eastAsia" w:eastAsia="宋体" w:cs="Times New Roman"/>
                <w:color w:val="auto"/>
                <w:kern w:val="2"/>
                <w:sz w:val="24"/>
                <w:szCs w:val="24"/>
                <w:lang w:val="en-US" w:eastAsia="zh-CN" w:bidi="ar"/>
              </w:rPr>
              <w:t>m</w:t>
            </w:r>
            <w:r>
              <w:rPr>
                <w:rFonts w:hint="eastAsia"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以及其它生产辅助设施。项目购置国内先进的生产线、制棒机、烘干机、烟气</w:t>
            </w:r>
            <w:r>
              <w:rPr>
                <w:rFonts w:hint="eastAsia" w:eastAsia="宋体" w:cs="Times New Roman"/>
                <w:color w:val="auto"/>
                <w:kern w:val="2"/>
                <w:sz w:val="24"/>
                <w:szCs w:val="24"/>
                <w:lang w:val="en-US" w:eastAsia="zh-CN" w:bidi="ar"/>
              </w:rPr>
              <w:t>处理</w:t>
            </w:r>
            <w:r>
              <w:rPr>
                <w:rFonts w:hint="default" w:ascii="Times New Roman" w:hAnsi="Times New Roman" w:eastAsia="宋体" w:cs="Times New Roman"/>
                <w:color w:val="auto"/>
                <w:kern w:val="2"/>
                <w:sz w:val="24"/>
                <w:szCs w:val="24"/>
                <w:lang w:val="en-US" w:eastAsia="zh-CN" w:bidi="ar"/>
              </w:rPr>
              <w:t>装置等设备，配套环保、给排水、照明、道路等辅助工程。</w:t>
            </w:r>
          </w:p>
          <w:p>
            <w:pPr>
              <w:spacing w:line="360" w:lineRule="auto"/>
              <w:jc w:val="left"/>
              <w:rPr>
                <w:rStyle w:val="27"/>
                <w:rFonts w:hint="eastAsia" w:eastAsia="宋体"/>
                <w:color w:val="auto"/>
                <w:sz w:val="24"/>
              </w:rPr>
            </w:pPr>
            <w:r>
              <w:rPr>
                <w:rStyle w:val="27"/>
                <w:rFonts w:hint="eastAsia" w:eastAsia="宋体"/>
                <w:color w:val="auto"/>
                <w:sz w:val="24"/>
              </w:rPr>
              <w:t>1.2 建设可行性分析结论</w:t>
            </w:r>
          </w:p>
          <w:p>
            <w:pPr>
              <w:spacing w:line="360" w:lineRule="auto"/>
              <w:ind w:firstLine="470" w:firstLineChars="196"/>
              <w:rPr>
                <w:rFonts w:hint="eastAsia" w:ascii="Times New Roman" w:hAnsi="Times New Roman"/>
                <w:color w:val="auto"/>
                <w:sz w:val="24"/>
                <w:szCs w:val="24"/>
              </w:rPr>
            </w:pPr>
            <w:r>
              <w:rPr>
                <w:rFonts w:hint="eastAsia" w:ascii="Times New Roman" w:hAnsi="Times New Roman"/>
                <w:color w:val="auto"/>
                <w:sz w:val="24"/>
                <w:szCs w:val="24"/>
              </w:rPr>
              <w:t>（1）产业政策符合性分析</w:t>
            </w:r>
          </w:p>
          <w:p>
            <w:pPr>
              <w:spacing w:line="360" w:lineRule="auto"/>
              <w:ind w:firstLine="470" w:firstLineChars="196"/>
              <w:rPr>
                <w:rFonts w:hint="eastAsia" w:ascii="Times New Roman" w:hAnsi="Times New Roman"/>
                <w:color w:val="auto"/>
                <w:sz w:val="24"/>
                <w:szCs w:val="24"/>
              </w:rPr>
            </w:pPr>
            <w:r>
              <w:rPr>
                <w:color w:val="auto"/>
                <w:sz w:val="24"/>
              </w:rPr>
              <w:t>本项目属于</w:t>
            </w:r>
            <w:r>
              <w:rPr>
                <w:rFonts w:hint="eastAsia"/>
                <w:color w:val="auto"/>
                <w:sz w:val="24"/>
              </w:rPr>
              <w:t>非金属废料和碎屑的加工处理</w:t>
            </w:r>
            <w:r>
              <w:rPr>
                <w:color w:val="auto"/>
                <w:sz w:val="24"/>
              </w:rPr>
              <w:t>。根据《产业结构调整指导目录（2019年本）》（中华人民共和国国家发展和改革委员会令 第29号）：本项目属于鼓励类中第四十三条“环境保护与资源节约综合利用”中第五款“区域性废旧汽车、废旧电器电子产品、废旧船舶、废钢铁、废旧木材等资源循环利用基地建设”类别</w:t>
            </w:r>
            <w:r>
              <w:rPr>
                <w:rFonts w:hint="eastAsia" w:ascii="Times New Roman" w:hAnsi="Times New Roman"/>
                <w:color w:val="auto"/>
                <w:sz w:val="24"/>
                <w:szCs w:val="24"/>
              </w:rPr>
              <w:t>。</w:t>
            </w:r>
            <w:r>
              <w:rPr>
                <w:color w:val="auto"/>
                <w:sz w:val="24"/>
              </w:rPr>
              <w:t>故本项目为鼓励类，符合国家产业政策要求。</w:t>
            </w:r>
          </w:p>
          <w:p>
            <w:pPr>
              <w:spacing w:line="360" w:lineRule="auto"/>
              <w:ind w:firstLine="470" w:firstLineChars="196"/>
              <w:rPr>
                <w:rFonts w:hint="eastAsia" w:ascii="Times New Roman" w:hAnsi="Times New Roman"/>
                <w:color w:val="auto"/>
                <w:sz w:val="24"/>
                <w:szCs w:val="24"/>
              </w:rPr>
            </w:pPr>
            <w:r>
              <w:rPr>
                <w:rFonts w:hint="eastAsia" w:ascii="Times New Roman" w:hAnsi="Times New Roman"/>
                <w:color w:val="auto"/>
                <w:sz w:val="24"/>
                <w:szCs w:val="24"/>
              </w:rPr>
              <w:t>（2）项目用地及选址合理性分析</w:t>
            </w:r>
          </w:p>
          <w:p>
            <w:pPr>
              <w:spacing w:line="360" w:lineRule="auto"/>
              <w:ind w:firstLine="470" w:firstLineChars="196"/>
              <w:textAlignment w:val="center"/>
              <w:rPr>
                <w:rFonts w:hint="eastAsia" w:ascii="Times New Roman" w:hAnsi="Times New Roman"/>
                <w:color w:val="auto"/>
                <w:sz w:val="24"/>
                <w:szCs w:val="24"/>
              </w:rPr>
            </w:pPr>
            <w:r>
              <w:rPr>
                <w:rFonts w:hint="eastAsia"/>
                <w:color w:val="auto"/>
                <w:sz w:val="24"/>
                <w:szCs w:val="24"/>
                <w:lang w:eastAsia="zh-CN"/>
              </w:rPr>
              <w:t>本</w:t>
            </w:r>
            <w:r>
              <w:rPr>
                <w:rFonts w:hint="eastAsia" w:asciiTheme="minorEastAsia" w:hAnsiTheme="minorEastAsia" w:eastAsiaTheme="minorEastAsia" w:cstheme="minorEastAsia"/>
                <w:color w:val="auto"/>
                <w:sz w:val="24"/>
                <w:szCs w:val="24"/>
                <w:lang w:eastAsia="zh-CN"/>
              </w:rPr>
              <w:t>项目用地为</w:t>
            </w:r>
            <w:r>
              <w:rPr>
                <w:rFonts w:hint="eastAsia" w:asciiTheme="minorEastAsia" w:hAnsiTheme="minorEastAsia" w:eastAsiaTheme="minorEastAsia" w:cstheme="minorEastAsia"/>
                <w:b w:val="0"/>
                <w:bCs/>
                <w:color w:val="auto"/>
                <w:sz w:val="24"/>
                <w:szCs w:val="24"/>
                <w:u w:val="none"/>
                <w:lang w:eastAsia="zh-CN"/>
              </w:rPr>
              <w:t>怀化市洪江区欣隆竹胶板厂</w:t>
            </w:r>
            <w:r>
              <w:rPr>
                <w:rFonts w:hint="eastAsia" w:asciiTheme="minorEastAsia" w:hAnsiTheme="minorEastAsia" w:eastAsiaTheme="minorEastAsia" w:cstheme="minorEastAsia"/>
                <w:color w:val="auto"/>
                <w:sz w:val="24"/>
                <w:szCs w:val="24"/>
                <w:lang w:eastAsia="zh-CN"/>
              </w:rPr>
              <w:t>的闲置场地</w:t>
            </w:r>
            <w:r>
              <w:rPr>
                <w:rFonts w:hint="eastAsia"/>
                <w:color w:val="auto"/>
                <w:sz w:val="24"/>
                <w:szCs w:val="24"/>
                <w:lang w:eastAsia="zh-CN"/>
              </w:rPr>
              <w:t>，</w:t>
            </w:r>
            <w:r>
              <w:rPr>
                <w:rFonts w:hint="eastAsia" w:hAnsiTheme="minorEastAsia" w:eastAsiaTheme="minorEastAsia"/>
                <w:color w:val="auto"/>
                <w:kern w:val="0"/>
                <w:sz w:val="24"/>
                <w:szCs w:val="20"/>
                <w:lang w:eastAsia="zh-CN"/>
              </w:rPr>
              <w:t>项目场地东侧为场地入口，北侧、西侧为山地，南侧为山和其他厂房。</w:t>
            </w:r>
            <w:r>
              <w:rPr>
                <w:rFonts w:hint="eastAsia"/>
                <w:color w:val="auto"/>
                <w:sz w:val="24"/>
                <w:szCs w:val="24"/>
                <w:lang w:eastAsia="zh-CN"/>
              </w:rPr>
              <w:t>本项目地土地性质为工业用地（国土证详见附件），项目建设符合用地性质。</w:t>
            </w:r>
            <w:r>
              <w:rPr>
                <w:rFonts w:hint="eastAsia" w:hAnsiTheme="minorEastAsia" w:eastAsiaTheme="minorEastAsia"/>
                <w:color w:val="auto"/>
                <w:kern w:val="0"/>
                <w:sz w:val="24"/>
                <w:szCs w:val="20"/>
                <w:lang w:eastAsia="zh-CN"/>
              </w:rPr>
              <w:t>符合场址周边敏感目标较少。且由于山体的自然阻隔，周边敏感目标受项目影响很少。</w:t>
            </w:r>
            <w:r>
              <w:rPr>
                <w:color w:val="auto"/>
                <w:sz w:val="24"/>
              </w:rPr>
              <w:t>项目选址紧邻乡道，交通便捷，</w:t>
            </w:r>
            <w:r>
              <w:rPr>
                <w:rFonts w:hint="eastAsia" w:hAnsiTheme="minorEastAsia" w:eastAsiaTheme="minorEastAsia"/>
                <w:color w:val="auto"/>
                <w:kern w:val="0"/>
                <w:sz w:val="24"/>
                <w:szCs w:val="20"/>
                <w:lang w:eastAsia="zh-CN"/>
              </w:rPr>
              <w:t>因此，项目选址合理。</w:t>
            </w:r>
          </w:p>
          <w:p>
            <w:pPr>
              <w:spacing w:line="360" w:lineRule="auto"/>
              <w:ind w:firstLine="470" w:firstLineChars="196"/>
              <w:rPr>
                <w:rFonts w:hint="eastAsia" w:ascii="Times New Roman" w:hAnsi="Times New Roman"/>
                <w:color w:val="auto"/>
                <w:sz w:val="24"/>
                <w:szCs w:val="24"/>
              </w:rPr>
            </w:pPr>
            <w:r>
              <w:rPr>
                <w:rFonts w:hint="eastAsia" w:ascii="Times New Roman" w:hAnsi="Times New Roman"/>
                <w:color w:val="auto"/>
                <w:sz w:val="24"/>
                <w:szCs w:val="24"/>
              </w:rPr>
              <w:t>（3）项目平面布置合理性分析</w:t>
            </w:r>
          </w:p>
          <w:p>
            <w:pPr>
              <w:spacing w:line="360" w:lineRule="auto"/>
              <w:ind w:firstLine="470" w:firstLineChars="196"/>
              <w:rPr>
                <w:rStyle w:val="27"/>
                <w:rFonts w:hint="eastAsia" w:eastAsia="宋体"/>
                <w:b w:val="0"/>
                <w:bCs w:val="0"/>
                <w:color w:val="auto"/>
                <w:sz w:val="24"/>
                <w:szCs w:val="24"/>
              </w:rPr>
            </w:pPr>
            <w:r>
              <w:rPr>
                <w:rStyle w:val="27"/>
                <w:rFonts w:hint="eastAsia"/>
                <w:b w:val="0"/>
                <w:bCs w:val="0"/>
                <w:color w:val="auto"/>
                <w:sz w:val="24"/>
                <w:szCs w:val="24"/>
                <w:lang w:val="en-US" w:eastAsia="zh-CN"/>
              </w:rPr>
              <w:t xml:space="preserve"> </w:t>
            </w:r>
            <w:r>
              <w:rPr>
                <w:rFonts w:hint="default" w:ascii="Times New Roman" w:cs="Times New Roman" w:hAnsiTheme="minorEastAsia" w:eastAsiaTheme="minorEastAsia"/>
                <w:color w:val="auto"/>
                <w:kern w:val="0"/>
                <w:sz w:val="24"/>
                <w:szCs w:val="20"/>
                <w:lang w:eastAsia="zh-CN"/>
              </w:rPr>
              <w:t>厂区拟采取流水线生产布置，即原料仓库、烘干、制棒车间、炭化车间、包装车间、成品仓库依次相连，便于生产。生活办公区位于厂区</w:t>
            </w:r>
            <w:r>
              <w:rPr>
                <w:rFonts w:hint="eastAsia" w:ascii="Times New Roman" w:cs="Times New Roman" w:hAnsiTheme="minorEastAsia" w:eastAsiaTheme="minorEastAsia"/>
                <w:color w:val="auto"/>
                <w:kern w:val="0"/>
                <w:sz w:val="24"/>
                <w:szCs w:val="20"/>
                <w:lang w:eastAsia="zh-CN"/>
              </w:rPr>
              <w:t>东</w:t>
            </w:r>
            <w:r>
              <w:rPr>
                <w:rFonts w:hint="default" w:ascii="Times New Roman" w:cs="Times New Roman" w:hAnsiTheme="minorEastAsia" w:eastAsiaTheme="minorEastAsia"/>
                <w:color w:val="auto"/>
                <w:kern w:val="0"/>
                <w:sz w:val="24"/>
                <w:szCs w:val="20"/>
                <w:lang w:eastAsia="zh-CN"/>
              </w:rPr>
              <w:t>南侧，生产区位于厂区东侧，</w:t>
            </w:r>
            <w:r>
              <w:rPr>
                <w:rFonts w:hint="eastAsia" w:ascii="Times New Roman" w:cs="Times New Roman" w:hAnsiTheme="minorEastAsia" w:eastAsiaTheme="minorEastAsia"/>
                <w:color w:val="auto"/>
                <w:kern w:val="0"/>
                <w:sz w:val="24"/>
                <w:szCs w:val="20"/>
                <w:lang w:eastAsia="zh-CN"/>
              </w:rPr>
              <w:t>由东</w:t>
            </w:r>
            <w:r>
              <w:rPr>
                <w:rFonts w:hint="default" w:ascii="Times New Roman" w:cs="Times New Roman" w:hAnsiTheme="minorEastAsia" w:eastAsiaTheme="minorEastAsia"/>
                <w:color w:val="auto"/>
                <w:kern w:val="0"/>
                <w:sz w:val="24"/>
                <w:szCs w:val="20"/>
                <w:lang w:eastAsia="zh-CN"/>
              </w:rPr>
              <w:t>向</w:t>
            </w:r>
            <w:r>
              <w:rPr>
                <w:rFonts w:hint="eastAsia" w:ascii="Times New Roman" w:cs="Times New Roman" w:hAnsiTheme="minorEastAsia" w:eastAsiaTheme="minorEastAsia"/>
                <w:color w:val="auto"/>
                <w:kern w:val="0"/>
                <w:sz w:val="24"/>
                <w:szCs w:val="20"/>
                <w:lang w:eastAsia="zh-CN"/>
              </w:rPr>
              <w:t>西</w:t>
            </w:r>
            <w:r>
              <w:rPr>
                <w:rFonts w:hint="default" w:ascii="Times New Roman" w:cs="Times New Roman" w:hAnsiTheme="minorEastAsia" w:eastAsiaTheme="minorEastAsia"/>
                <w:color w:val="auto"/>
                <w:kern w:val="0"/>
                <w:sz w:val="24"/>
                <w:szCs w:val="20"/>
                <w:lang w:eastAsia="zh-CN"/>
              </w:rPr>
              <w:t>依次为制棒</w:t>
            </w:r>
            <w:r>
              <w:rPr>
                <w:rFonts w:hint="eastAsia" w:ascii="Times New Roman" w:cs="Times New Roman" w:hAnsiTheme="minorEastAsia" w:eastAsiaTheme="minorEastAsia"/>
                <w:color w:val="auto"/>
                <w:kern w:val="0"/>
                <w:sz w:val="24"/>
                <w:szCs w:val="20"/>
                <w:lang w:eastAsia="zh-CN"/>
              </w:rPr>
              <w:t>区</w:t>
            </w:r>
            <w:r>
              <w:rPr>
                <w:rFonts w:hint="default" w:ascii="Times New Roman" w:cs="Times New Roman" w:hAnsiTheme="minorEastAsia" w:eastAsiaTheme="minorEastAsia"/>
                <w:color w:val="auto"/>
                <w:kern w:val="0"/>
                <w:sz w:val="24"/>
                <w:szCs w:val="20"/>
                <w:lang w:eastAsia="zh-CN"/>
              </w:rPr>
              <w:t>、烘干</w:t>
            </w:r>
            <w:r>
              <w:rPr>
                <w:rFonts w:hint="eastAsia" w:ascii="Times New Roman" w:cs="Times New Roman" w:hAnsiTheme="minorEastAsia" w:eastAsiaTheme="minorEastAsia"/>
                <w:color w:val="auto"/>
                <w:kern w:val="0"/>
                <w:sz w:val="24"/>
                <w:szCs w:val="20"/>
                <w:lang w:eastAsia="zh-CN"/>
              </w:rPr>
              <w:t>区</w:t>
            </w:r>
            <w:r>
              <w:rPr>
                <w:rFonts w:hint="default" w:ascii="Times New Roman" w:cs="Times New Roman" w:hAnsiTheme="minorEastAsia" w:eastAsiaTheme="minorEastAsia"/>
                <w:color w:val="auto"/>
                <w:kern w:val="0"/>
                <w:sz w:val="24"/>
                <w:szCs w:val="20"/>
                <w:lang w:eastAsia="zh-CN"/>
              </w:rPr>
              <w:t>、炭化窑区</w:t>
            </w:r>
            <w:r>
              <w:rPr>
                <w:rFonts w:hint="eastAsia" w:ascii="Times New Roman" w:cs="Times New Roman" w:hAnsiTheme="minorEastAsia" w:eastAsiaTheme="minorEastAsia"/>
                <w:color w:val="auto"/>
                <w:kern w:val="0"/>
                <w:sz w:val="24"/>
                <w:szCs w:val="20"/>
                <w:lang w:eastAsia="zh-CN"/>
              </w:rPr>
              <w:t>、包装区</w:t>
            </w:r>
            <w:r>
              <w:rPr>
                <w:rFonts w:hint="default" w:ascii="Times New Roman" w:cs="Times New Roman" w:hAnsiTheme="minorEastAsia" w:eastAsiaTheme="minorEastAsia"/>
                <w:color w:val="auto"/>
                <w:kern w:val="0"/>
                <w:sz w:val="24"/>
                <w:szCs w:val="20"/>
                <w:lang w:eastAsia="zh-CN"/>
              </w:rPr>
              <w:t>。项目生活区与生产区距离较远，各种生产设备均位于生产厂房内，生产区噪声、粉尘等对生活区影响较小，布置较合理</w:t>
            </w:r>
            <w:r>
              <w:rPr>
                <w:rStyle w:val="27"/>
                <w:rFonts w:hint="eastAsia" w:eastAsia="宋体"/>
                <w:b w:val="0"/>
                <w:bCs w:val="0"/>
                <w:color w:val="auto"/>
                <w:sz w:val="24"/>
                <w:szCs w:val="24"/>
              </w:rPr>
              <w:t>。</w:t>
            </w:r>
          </w:p>
          <w:p>
            <w:pPr>
              <w:spacing w:line="360" w:lineRule="auto"/>
              <w:jc w:val="left"/>
              <w:rPr>
                <w:rStyle w:val="27"/>
                <w:rFonts w:hint="eastAsia" w:eastAsia="宋体"/>
                <w:color w:val="auto"/>
                <w:sz w:val="24"/>
              </w:rPr>
            </w:pPr>
            <w:r>
              <w:rPr>
                <w:rStyle w:val="27"/>
                <w:rFonts w:hint="eastAsia" w:eastAsia="宋体"/>
                <w:color w:val="auto"/>
                <w:sz w:val="24"/>
              </w:rPr>
              <w:t>1.</w:t>
            </w:r>
            <w:r>
              <w:rPr>
                <w:rStyle w:val="27"/>
                <w:rFonts w:hint="eastAsia"/>
                <w:color w:val="auto"/>
                <w:sz w:val="24"/>
                <w:lang w:val="en-US" w:eastAsia="zh-CN"/>
              </w:rPr>
              <w:t>3</w:t>
            </w:r>
            <w:r>
              <w:rPr>
                <w:rStyle w:val="27"/>
                <w:rFonts w:hint="eastAsia" w:eastAsia="宋体"/>
                <w:color w:val="auto"/>
                <w:sz w:val="24"/>
              </w:rPr>
              <w:t xml:space="preserve"> 区域环境质量现状</w:t>
            </w:r>
          </w:p>
          <w:p>
            <w:pPr>
              <w:spacing w:line="360" w:lineRule="auto"/>
              <w:jc w:val="left"/>
              <w:rPr>
                <w:rStyle w:val="27"/>
                <w:rFonts w:hint="eastAsia" w:eastAsia="宋体"/>
                <w:color w:val="auto"/>
                <w:sz w:val="24"/>
              </w:rPr>
            </w:pPr>
            <w:r>
              <w:rPr>
                <w:rStyle w:val="27"/>
                <w:rFonts w:hint="eastAsia" w:eastAsia="宋体"/>
                <w:color w:val="auto"/>
                <w:sz w:val="24"/>
              </w:rPr>
              <w:t>1.</w:t>
            </w:r>
            <w:r>
              <w:rPr>
                <w:rStyle w:val="27"/>
                <w:rFonts w:hint="eastAsia"/>
                <w:color w:val="auto"/>
                <w:sz w:val="24"/>
                <w:lang w:val="en-US" w:eastAsia="zh-CN"/>
              </w:rPr>
              <w:t>3</w:t>
            </w:r>
            <w:r>
              <w:rPr>
                <w:rStyle w:val="27"/>
                <w:rFonts w:hint="eastAsia" w:eastAsia="宋体"/>
                <w:color w:val="auto"/>
                <w:sz w:val="24"/>
              </w:rPr>
              <w:t>.1 空气质量现状</w:t>
            </w:r>
          </w:p>
          <w:p>
            <w:pPr>
              <w:spacing w:line="360" w:lineRule="auto"/>
              <w:ind w:firstLine="480" w:firstLineChars="200"/>
              <w:jc w:val="left"/>
              <w:rPr>
                <w:rFonts w:hint="eastAsia" w:ascii="Times New Roman" w:hAnsi="Times New Roman"/>
                <w:bCs/>
                <w:color w:val="auto"/>
                <w:sz w:val="24"/>
                <w:szCs w:val="24"/>
              </w:rPr>
            </w:pPr>
            <w:r>
              <w:rPr>
                <w:rFonts w:hint="eastAsia" w:ascii="Times New Roman" w:hAnsi="Times New Roman"/>
                <w:bCs/>
                <w:color w:val="auto"/>
                <w:sz w:val="24"/>
                <w:szCs w:val="24"/>
              </w:rPr>
              <w:t>根据怀化市环境监测站发布的《怀化市城市环境空气质量年报（201</w:t>
            </w:r>
            <w:r>
              <w:rPr>
                <w:rFonts w:hint="eastAsia"/>
                <w:bCs/>
                <w:color w:val="auto"/>
                <w:sz w:val="24"/>
                <w:szCs w:val="24"/>
                <w:lang w:val="en-US" w:eastAsia="zh-CN"/>
              </w:rPr>
              <w:t>9</w:t>
            </w:r>
            <w:r>
              <w:rPr>
                <w:rFonts w:hint="eastAsia" w:ascii="Times New Roman" w:hAnsi="Times New Roman"/>
                <w:bCs/>
                <w:color w:val="auto"/>
                <w:sz w:val="24"/>
                <w:szCs w:val="24"/>
              </w:rPr>
              <w:t>年）》中关于</w:t>
            </w:r>
            <w:r>
              <w:rPr>
                <w:rFonts w:hint="eastAsia"/>
                <w:bCs/>
                <w:color w:val="auto"/>
                <w:sz w:val="24"/>
                <w:szCs w:val="24"/>
                <w:lang w:eastAsia="zh-CN"/>
              </w:rPr>
              <w:t>洪江区</w:t>
            </w:r>
            <w:r>
              <w:rPr>
                <w:rFonts w:hint="eastAsia" w:ascii="Times New Roman" w:hAnsi="Times New Roman"/>
                <w:bCs/>
                <w:color w:val="auto"/>
                <w:sz w:val="24"/>
                <w:szCs w:val="24"/>
              </w:rPr>
              <w:t>环境空气监测因子SO</w:t>
            </w:r>
            <w:r>
              <w:rPr>
                <w:rFonts w:hint="eastAsia" w:ascii="Times New Roman" w:hAnsi="Times New Roman"/>
                <w:bCs/>
                <w:color w:val="auto"/>
                <w:sz w:val="24"/>
                <w:szCs w:val="24"/>
                <w:vertAlign w:val="subscript"/>
              </w:rPr>
              <w:t>2</w:t>
            </w:r>
            <w:r>
              <w:rPr>
                <w:rFonts w:hint="eastAsia" w:ascii="Times New Roman" w:hAnsi="Times New Roman"/>
                <w:bCs/>
                <w:color w:val="auto"/>
                <w:sz w:val="24"/>
                <w:szCs w:val="24"/>
              </w:rPr>
              <w:t>、NO</w:t>
            </w:r>
            <w:r>
              <w:rPr>
                <w:rFonts w:hint="eastAsia" w:ascii="Times New Roman" w:hAnsi="Times New Roman"/>
                <w:bCs/>
                <w:color w:val="auto"/>
                <w:sz w:val="24"/>
                <w:szCs w:val="24"/>
                <w:vertAlign w:val="subscript"/>
              </w:rPr>
              <w:t>2</w:t>
            </w:r>
            <w:r>
              <w:rPr>
                <w:rFonts w:hint="eastAsia" w:ascii="Times New Roman" w:hAnsi="Times New Roman"/>
                <w:bCs/>
                <w:color w:val="auto"/>
                <w:sz w:val="24"/>
                <w:szCs w:val="24"/>
              </w:rPr>
              <w:t>、PM</w:t>
            </w:r>
            <w:r>
              <w:rPr>
                <w:rFonts w:hint="eastAsia" w:ascii="Times New Roman" w:hAnsi="Times New Roman"/>
                <w:bCs/>
                <w:color w:val="auto"/>
                <w:sz w:val="24"/>
                <w:szCs w:val="24"/>
                <w:vertAlign w:val="subscript"/>
              </w:rPr>
              <w:t>10</w:t>
            </w:r>
            <w:r>
              <w:rPr>
                <w:rFonts w:hint="eastAsia" w:ascii="Times New Roman" w:hAnsi="Times New Roman"/>
                <w:bCs/>
                <w:color w:val="auto"/>
                <w:sz w:val="24"/>
                <w:szCs w:val="24"/>
              </w:rPr>
              <w:t>、CO、O</w:t>
            </w:r>
            <w:r>
              <w:rPr>
                <w:rFonts w:hint="eastAsia" w:ascii="Times New Roman" w:hAnsi="Times New Roman"/>
                <w:bCs/>
                <w:color w:val="auto"/>
                <w:sz w:val="24"/>
                <w:szCs w:val="24"/>
                <w:vertAlign w:val="subscript"/>
              </w:rPr>
              <w:t>3</w:t>
            </w:r>
            <w:r>
              <w:rPr>
                <w:rFonts w:hint="eastAsia" w:ascii="Times New Roman" w:hAnsi="Times New Roman"/>
                <w:bCs/>
                <w:color w:val="auto"/>
                <w:sz w:val="24"/>
                <w:szCs w:val="24"/>
              </w:rPr>
              <w:t>、PM</w:t>
            </w:r>
            <w:r>
              <w:rPr>
                <w:rFonts w:hint="eastAsia" w:ascii="Times New Roman" w:hAnsi="Times New Roman"/>
                <w:bCs/>
                <w:color w:val="auto"/>
                <w:sz w:val="24"/>
                <w:szCs w:val="24"/>
                <w:vertAlign w:val="subscript"/>
              </w:rPr>
              <w:t>2.5</w:t>
            </w:r>
            <w:r>
              <w:rPr>
                <w:rFonts w:hint="eastAsia" w:ascii="Times New Roman" w:hAnsi="Times New Roman"/>
                <w:bCs/>
                <w:color w:val="auto"/>
                <w:sz w:val="24"/>
                <w:szCs w:val="24"/>
              </w:rPr>
              <w:t>的201</w:t>
            </w:r>
            <w:r>
              <w:rPr>
                <w:rFonts w:hint="eastAsia"/>
                <w:bCs/>
                <w:color w:val="auto"/>
                <w:sz w:val="24"/>
                <w:szCs w:val="24"/>
                <w:lang w:val="en-US" w:eastAsia="zh-CN"/>
              </w:rPr>
              <w:t>9</w:t>
            </w:r>
            <w:r>
              <w:rPr>
                <w:rFonts w:hint="eastAsia" w:ascii="Times New Roman" w:hAnsi="Times New Roman"/>
                <w:bCs/>
                <w:color w:val="auto"/>
                <w:sz w:val="24"/>
                <w:szCs w:val="24"/>
              </w:rPr>
              <w:t>年年平均浓度的数据显示，项目所在区域</w:t>
            </w:r>
            <w:r>
              <w:rPr>
                <w:rFonts w:hint="eastAsia" w:ascii="Times New Roman" w:hAnsi="Times New Roman"/>
                <w:color w:val="auto"/>
                <w:sz w:val="24"/>
              </w:rPr>
              <w:t>空气质量</w:t>
            </w:r>
            <w:r>
              <w:rPr>
                <w:rFonts w:ascii="Times New Roman" w:hAnsi="Times New Roman"/>
                <w:color w:val="auto"/>
                <w:sz w:val="24"/>
              </w:rPr>
              <w:t>6</w:t>
            </w:r>
            <w:r>
              <w:rPr>
                <w:rFonts w:hint="eastAsia" w:ascii="Times New Roman" w:hAnsi="Times New Roman"/>
                <w:color w:val="auto"/>
                <w:sz w:val="24"/>
              </w:rPr>
              <w:t>项主要污染物（</w:t>
            </w:r>
            <w:r>
              <w:rPr>
                <w:rFonts w:hint="eastAsia" w:ascii="Times New Roman" w:hAnsi="Times New Roman"/>
                <w:bCs/>
                <w:color w:val="auto"/>
                <w:sz w:val="24"/>
                <w:szCs w:val="24"/>
              </w:rPr>
              <w:t>SO</w:t>
            </w:r>
            <w:r>
              <w:rPr>
                <w:rFonts w:hint="eastAsia" w:ascii="Times New Roman" w:hAnsi="Times New Roman"/>
                <w:bCs/>
                <w:color w:val="auto"/>
                <w:sz w:val="24"/>
                <w:szCs w:val="24"/>
                <w:vertAlign w:val="subscript"/>
              </w:rPr>
              <w:t>2</w:t>
            </w:r>
            <w:r>
              <w:rPr>
                <w:rFonts w:hint="eastAsia" w:ascii="Times New Roman" w:hAnsi="Times New Roman"/>
                <w:bCs/>
                <w:color w:val="auto"/>
                <w:sz w:val="24"/>
                <w:szCs w:val="24"/>
              </w:rPr>
              <w:t>、NO</w:t>
            </w:r>
            <w:r>
              <w:rPr>
                <w:rFonts w:hint="eastAsia" w:ascii="Times New Roman" w:hAnsi="Times New Roman"/>
                <w:bCs/>
                <w:color w:val="auto"/>
                <w:sz w:val="24"/>
                <w:szCs w:val="24"/>
                <w:vertAlign w:val="subscript"/>
              </w:rPr>
              <w:t>2</w:t>
            </w:r>
            <w:r>
              <w:rPr>
                <w:rFonts w:hint="eastAsia" w:ascii="Times New Roman" w:hAnsi="Times New Roman"/>
                <w:bCs/>
                <w:color w:val="auto"/>
                <w:sz w:val="24"/>
                <w:szCs w:val="24"/>
              </w:rPr>
              <w:t>、PM</w:t>
            </w:r>
            <w:r>
              <w:rPr>
                <w:rFonts w:hint="eastAsia" w:ascii="Times New Roman" w:hAnsi="Times New Roman"/>
                <w:bCs/>
                <w:color w:val="auto"/>
                <w:sz w:val="24"/>
                <w:szCs w:val="24"/>
                <w:vertAlign w:val="subscript"/>
              </w:rPr>
              <w:t>10</w:t>
            </w:r>
            <w:r>
              <w:rPr>
                <w:rFonts w:hint="eastAsia" w:ascii="Times New Roman" w:hAnsi="Times New Roman"/>
                <w:bCs/>
                <w:color w:val="auto"/>
                <w:sz w:val="24"/>
                <w:szCs w:val="24"/>
              </w:rPr>
              <w:t>、CO、O</w:t>
            </w:r>
            <w:r>
              <w:rPr>
                <w:rFonts w:hint="eastAsia" w:ascii="Times New Roman" w:hAnsi="Times New Roman"/>
                <w:bCs/>
                <w:color w:val="auto"/>
                <w:sz w:val="24"/>
                <w:szCs w:val="24"/>
                <w:vertAlign w:val="subscript"/>
              </w:rPr>
              <w:t>3</w:t>
            </w:r>
            <w:r>
              <w:rPr>
                <w:rFonts w:hint="eastAsia" w:ascii="Times New Roman" w:hAnsi="Times New Roman"/>
                <w:bCs/>
                <w:color w:val="auto"/>
                <w:sz w:val="24"/>
                <w:szCs w:val="24"/>
              </w:rPr>
              <w:t>、PM</w:t>
            </w:r>
            <w:r>
              <w:rPr>
                <w:rFonts w:hint="eastAsia" w:ascii="Times New Roman" w:hAnsi="Times New Roman"/>
                <w:bCs/>
                <w:color w:val="auto"/>
                <w:sz w:val="24"/>
                <w:szCs w:val="24"/>
                <w:vertAlign w:val="subscript"/>
              </w:rPr>
              <w:t>2.5</w:t>
            </w:r>
            <w:r>
              <w:rPr>
                <w:rFonts w:hint="eastAsia" w:ascii="Times New Roman" w:hAnsi="Times New Roman"/>
                <w:color w:val="auto"/>
                <w:sz w:val="24"/>
              </w:rPr>
              <w:t>）年均值均</w:t>
            </w:r>
            <w:r>
              <w:rPr>
                <w:rFonts w:ascii="Times New Roman" w:hAnsi="Times New Roman" w:cs="Times New Roman"/>
                <w:color w:val="auto"/>
                <w:sz w:val="24"/>
              </w:rPr>
              <w:t>满足《环境空气质量标准》（GB3095-2012）中的二级标准</w:t>
            </w:r>
            <w:r>
              <w:rPr>
                <w:rFonts w:hint="eastAsia" w:ascii="Times New Roman" w:hAnsi="Times New Roman"/>
                <w:bCs/>
                <w:color w:val="auto"/>
                <w:sz w:val="24"/>
                <w:szCs w:val="24"/>
              </w:rPr>
              <w:t>。</w:t>
            </w:r>
          </w:p>
          <w:p>
            <w:pPr>
              <w:spacing w:line="360" w:lineRule="auto"/>
              <w:jc w:val="left"/>
              <w:rPr>
                <w:rStyle w:val="27"/>
                <w:rFonts w:hint="eastAsia" w:eastAsia="宋体"/>
                <w:color w:val="auto"/>
                <w:sz w:val="24"/>
              </w:rPr>
            </w:pPr>
            <w:r>
              <w:rPr>
                <w:rStyle w:val="27"/>
                <w:rFonts w:hint="eastAsia" w:eastAsia="宋体"/>
                <w:color w:val="auto"/>
                <w:sz w:val="24"/>
              </w:rPr>
              <w:t>1.</w:t>
            </w:r>
            <w:r>
              <w:rPr>
                <w:rStyle w:val="27"/>
                <w:rFonts w:hint="eastAsia"/>
                <w:color w:val="auto"/>
                <w:sz w:val="24"/>
                <w:lang w:val="en-US" w:eastAsia="zh-CN"/>
              </w:rPr>
              <w:t>3</w:t>
            </w:r>
            <w:r>
              <w:rPr>
                <w:rStyle w:val="27"/>
                <w:rFonts w:hint="eastAsia" w:eastAsia="宋体"/>
                <w:color w:val="auto"/>
                <w:sz w:val="24"/>
              </w:rPr>
              <w:t>.2 地表水质量现状</w:t>
            </w:r>
          </w:p>
          <w:p>
            <w:pPr>
              <w:spacing w:line="360" w:lineRule="auto"/>
              <w:ind w:firstLine="480"/>
              <w:rPr>
                <w:rFonts w:hint="eastAsia" w:ascii="Times New Roman" w:hAnsi="Times New Roman"/>
                <w:color w:val="auto"/>
                <w:sz w:val="24"/>
              </w:rPr>
            </w:pPr>
            <w:r>
              <w:rPr>
                <w:rFonts w:ascii="宋体" w:hAnsi="宋体" w:eastAsia="宋体" w:cs="宋体"/>
                <w:color w:val="auto"/>
                <w:sz w:val="24"/>
                <w:szCs w:val="24"/>
              </w:rPr>
              <w:t>根据怀化市生态环境局公开发布的《怀化市2019年水环境质量年报》中的数据及结论，2019 年洪江全区水环境质量总体保持较好水平，3 个监测断面的水质均达到Ⅱ类，达到了2019年年度水质考核目标，水质达标率100%，项目区域为水环境质量</w:t>
            </w:r>
            <w:r>
              <w:rPr>
                <w:rFonts w:hint="eastAsia" w:ascii="宋体" w:hAnsi="宋体" w:eastAsia="宋体" w:cs="宋体"/>
                <w:color w:val="auto"/>
                <w:sz w:val="24"/>
                <w:szCs w:val="24"/>
                <w:lang w:eastAsia="zh-CN"/>
              </w:rPr>
              <w:t>较好</w:t>
            </w:r>
            <w:r>
              <w:rPr>
                <w:rFonts w:hint="eastAsia" w:ascii="Times New Roman" w:hAnsi="Times New Roman"/>
                <w:color w:val="auto"/>
                <w:sz w:val="24"/>
              </w:rPr>
              <w:t>。</w:t>
            </w:r>
          </w:p>
          <w:p>
            <w:pPr>
              <w:spacing w:line="360" w:lineRule="auto"/>
              <w:jc w:val="left"/>
              <w:rPr>
                <w:rStyle w:val="27"/>
                <w:rFonts w:hint="eastAsia" w:eastAsia="宋体"/>
                <w:color w:val="auto"/>
                <w:sz w:val="24"/>
              </w:rPr>
            </w:pPr>
            <w:r>
              <w:rPr>
                <w:rStyle w:val="27"/>
                <w:rFonts w:hint="eastAsia" w:eastAsia="宋体"/>
                <w:color w:val="auto"/>
                <w:sz w:val="24"/>
              </w:rPr>
              <w:t>1.</w:t>
            </w:r>
            <w:r>
              <w:rPr>
                <w:rStyle w:val="27"/>
                <w:rFonts w:hint="eastAsia"/>
                <w:color w:val="auto"/>
                <w:sz w:val="24"/>
                <w:lang w:val="en-US" w:eastAsia="zh-CN"/>
              </w:rPr>
              <w:t>3</w:t>
            </w:r>
            <w:r>
              <w:rPr>
                <w:rStyle w:val="27"/>
                <w:rFonts w:hint="eastAsia" w:eastAsia="宋体"/>
                <w:color w:val="auto"/>
                <w:sz w:val="24"/>
              </w:rPr>
              <w:t>.</w:t>
            </w:r>
            <w:r>
              <w:rPr>
                <w:rStyle w:val="27"/>
                <w:rFonts w:hint="eastAsia"/>
                <w:color w:val="auto"/>
                <w:sz w:val="24"/>
                <w:lang w:val="en-US" w:eastAsia="zh-CN"/>
              </w:rPr>
              <w:t>3</w:t>
            </w:r>
            <w:r>
              <w:rPr>
                <w:rStyle w:val="27"/>
                <w:rFonts w:hint="eastAsia" w:eastAsia="宋体"/>
                <w:color w:val="auto"/>
                <w:sz w:val="24"/>
              </w:rPr>
              <w:t xml:space="preserve"> 声环境质量现状</w:t>
            </w:r>
          </w:p>
          <w:p>
            <w:pPr>
              <w:spacing w:line="360" w:lineRule="auto"/>
              <w:ind w:firstLine="480" w:firstLineChars="200"/>
              <w:rPr>
                <w:rFonts w:ascii="Times New Roman" w:hAnsi="Times New Roman" w:cs="宋体"/>
                <w:color w:val="auto"/>
                <w:sz w:val="24"/>
                <w:szCs w:val="24"/>
              </w:rPr>
            </w:pPr>
            <w:r>
              <w:rPr>
                <w:rFonts w:hint="eastAsia" w:ascii="Times New Roman" w:hAnsi="Times New Roman" w:cs="宋体"/>
                <w:bCs/>
                <w:color w:val="auto"/>
                <w:sz w:val="24"/>
                <w:szCs w:val="24"/>
              </w:rPr>
              <w:t>根据监测结果可知，</w:t>
            </w:r>
            <w:r>
              <w:rPr>
                <w:rFonts w:hint="default" w:ascii="Times New Roman" w:hAnsi="Times New Roman" w:cs="Times New Roman"/>
                <w:color w:val="auto"/>
                <w:sz w:val="24"/>
                <w:szCs w:val="28"/>
                <w:highlight w:val="none"/>
              </w:rPr>
              <w:t>项目东</w:t>
            </w:r>
            <w:r>
              <w:rPr>
                <w:rFonts w:hint="eastAsia" w:ascii="Times New Roman" w:hAnsi="Times New Roman" w:cs="Times New Roman"/>
                <w:color w:val="auto"/>
                <w:sz w:val="24"/>
                <w:szCs w:val="28"/>
                <w:highlight w:val="none"/>
              </w:rPr>
              <w:t>、</w:t>
            </w:r>
            <w:r>
              <w:rPr>
                <w:rFonts w:hint="eastAsia" w:cs="Times New Roman"/>
                <w:color w:val="auto"/>
                <w:sz w:val="24"/>
                <w:szCs w:val="28"/>
                <w:highlight w:val="none"/>
                <w:lang w:eastAsia="zh-CN"/>
              </w:rPr>
              <w:t>南、</w:t>
            </w:r>
            <w:r>
              <w:rPr>
                <w:rFonts w:hint="eastAsia" w:ascii="Times New Roman" w:hAnsi="Times New Roman" w:cs="Times New Roman"/>
                <w:color w:val="auto"/>
                <w:sz w:val="24"/>
                <w:szCs w:val="28"/>
                <w:highlight w:val="none"/>
                <w:lang w:eastAsia="zh-CN"/>
              </w:rPr>
              <w:t>西、</w:t>
            </w:r>
            <w:r>
              <w:rPr>
                <w:rFonts w:hint="eastAsia" w:ascii="Times New Roman" w:hAnsi="Times New Roman" w:cs="Times New Roman"/>
                <w:color w:val="auto"/>
                <w:sz w:val="24"/>
                <w:szCs w:val="28"/>
                <w:highlight w:val="none"/>
              </w:rPr>
              <w:t>北</w:t>
            </w:r>
            <w:r>
              <w:rPr>
                <w:rFonts w:hint="eastAsia" w:ascii="Times New Roman" w:hAnsi="Times New Roman" w:cs="Times New Roman"/>
                <w:color w:val="auto"/>
                <w:sz w:val="24"/>
                <w:szCs w:val="28"/>
                <w:highlight w:val="none"/>
                <w:lang w:eastAsia="zh-CN"/>
              </w:rPr>
              <w:t>侧厂界的</w:t>
            </w:r>
            <w:r>
              <w:rPr>
                <w:rFonts w:hint="default" w:ascii="Times New Roman" w:hAnsi="Times New Roman" w:cs="Times New Roman"/>
                <w:color w:val="auto"/>
                <w:sz w:val="24"/>
                <w:szCs w:val="28"/>
                <w:highlight w:val="none"/>
              </w:rPr>
              <w:t>昼</w:t>
            </w:r>
            <w:r>
              <w:rPr>
                <w:rFonts w:hint="eastAsia" w:ascii="Times New Roman" w:hAnsi="Times New Roman" w:cs="Times New Roman"/>
                <w:color w:val="auto"/>
                <w:sz w:val="24"/>
                <w:szCs w:val="28"/>
                <w:highlight w:val="none"/>
                <w:lang w:eastAsia="zh-CN"/>
              </w:rPr>
              <w:t>间、</w:t>
            </w:r>
            <w:r>
              <w:rPr>
                <w:rFonts w:hint="default" w:ascii="Times New Roman" w:hAnsi="Times New Roman" w:cs="Times New Roman"/>
                <w:color w:val="auto"/>
                <w:sz w:val="24"/>
                <w:szCs w:val="28"/>
                <w:highlight w:val="none"/>
              </w:rPr>
              <w:t>夜</w:t>
            </w:r>
            <w:r>
              <w:rPr>
                <w:rFonts w:hint="eastAsia" w:ascii="Times New Roman" w:hAnsi="Times New Roman" w:cs="Times New Roman"/>
                <w:color w:val="auto"/>
                <w:sz w:val="24"/>
                <w:szCs w:val="28"/>
                <w:highlight w:val="none"/>
                <w:lang w:eastAsia="zh-CN"/>
              </w:rPr>
              <w:t>间</w:t>
            </w:r>
            <w:r>
              <w:rPr>
                <w:rFonts w:hint="default" w:ascii="Times New Roman" w:hAnsi="Times New Roman" w:cs="Times New Roman"/>
                <w:color w:val="auto"/>
                <w:sz w:val="24"/>
                <w:szCs w:val="28"/>
                <w:highlight w:val="none"/>
              </w:rPr>
              <w:t>噪声</w:t>
            </w:r>
            <w:r>
              <w:rPr>
                <w:rFonts w:hint="eastAsia" w:ascii="Times New Roman" w:hAnsi="Times New Roman" w:cs="Times New Roman"/>
                <w:color w:val="auto"/>
                <w:sz w:val="24"/>
                <w:szCs w:val="28"/>
                <w:highlight w:val="none"/>
                <w:lang w:eastAsia="zh-CN"/>
              </w:rPr>
              <w:t>值</w:t>
            </w:r>
            <w:r>
              <w:rPr>
                <w:rFonts w:hint="eastAsia" w:ascii="Times New Roman" w:hAnsi="Times New Roman" w:cs="宋体"/>
                <w:bCs/>
                <w:color w:val="auto"/>
                <w:sz w:val="24"/>
                <w:szCs w:val="24"/>
              </w:rPr>
              <w:t>均可满足</w:t>
            </w:r>
            <w:r>
              <w:rPr>
                <w:rFonts w:hint="eastAsia" w:ascii="Times New Roman" w:hAnsi="Times New Roman" w:cs="宋体"/>
                <w:color w:val="auto"/>
                <w:sz w:val="24"/>
                <w:szCs w:val="24"/>
              </w:rPr>
              <w:t>《声环境质量标准》（GB3096-2008）中2类标准。</w:t>
            </w:r>
          </w:p>
          <w:p>
            <w:pPr>
              <w:spacing w:line="360" w:lineRule="auto"/>
              <w:jc w:val="left"/>
              <w:rPr>
                <w:rStyle w:val="27"/>
                <w:rFonts w:hint="eastAsia" w:eastAsia="宋体"/>
                <w:color w:val="auto"/>
                <w:sz w:val="24"/>
              </w:rPr>
            </w:pPr>
            <w:r>
              <w:rPr>
                <w:rStyle w:val="27"/>
                <w:rFonts w:hint="eastAsia" w:eastAsia="宋体"/>
                <w:color w:val="auto"/>
                <w:sz w:val="24"/>
              </w:rPr>
              <w:t>1.</w:t>
            </w:r>
            <w:r>
              <w:rPr>
                <w:rStyle w:val="27"/>
                <w:rFonts w:hint="eastAsia"/>
                <w:color w:val="auto"/>
                <w:sz w:val="24"/>
                <w:lang w:val="en-US" w:eastAsia="zh-CN"/>
              </w:rPr>
              <w:t>4</w:t>
            </w:r>
            <w:r>
              <w:rPr>
                <w:rStyle w:val="27"/>
                <w:rFonts w:hint="eastAsia" w:eastAsia="宋体"/>
                <w:color w:val="auto"/>
                <w:sz w:val="24"/>
              </w:rPr>
              <w:t xml:space="preserve"> 环境影响分析</w:t>
            </w:r>
          </w:p>
          <w:p>
            <w:pPr>
              <w:spacing w:line="360" w:lineRule="auto"/>
              <w:jc w:val="left"/>
              <w:rPr>
                <w:rStyle w:val="27"/>
                <w:rFonts w:hint="eastAsia" w:eastAsia="宋体"/>
                <w:color w:val="auto"/>
                <w:sz w:val="24"/>
              </w:rPr>
            </w:pPr>
            <w:r>
              <w:rPr>
                <w:rStyle w:val="27"/>
                <w:rFonts w:hint="eastAsia" w:eastAsia="宋体"/>
                <w:color w:val="auto"/>
                <w:sz w:val="24"/>
              </w:rPr>
              <w:t>1.</w:t>
            </w:r>
            <w:r>
              <w:rPr>
                <w:rStyle w:val="27"/>
                <w:rFonts w:hint="eastAsia"/>
                <w:color w:val="auto"/>
                <w:sz w:val="24"/>
                <w:lang w:val="en-US" w:eastAsia="zh-CN"/>
              </w:rPr>
              <w:t>4</w:t>
            </w:r>
            <w:r>
              <w:rPr>
                <w:rStyle w:val="27"/>
                <w:rFonts w:hint="eastAsia" w:eastAsia="宋体"/>
                <w:color w:val="auto"/>
                <w:sz w:val="24"/>
              </w:rPr>
              <w:t>.1 施工期环境影响分析</w:t>
            </w:r>
          </w:p>
          <w:p>
            <w:pPr>
              <w:spacing w:line="360" w:lineRule="auto"/>
              <w:ind w:firstLine="470" w:firstLineChars="196"/>
              <w:jc w:val="left"/>
              <w:rPr>
                <w:rStyle w:val="27"/>
                <w:rFonts w:hint="eastAsia" w:eastAsia="宋体"/>
                <w:b w:val="0"/>
                <w:color w:val="auto"/>
                <w:sz w:val="24"/>
              </w:rPr>
            </w:pPr>
            <w:r>
              <w:rPr>
                <w:rStyle w:val="27"/>
                <w:rFonts w:hint="eastAsia" w:eastAsia="宋体"/>
                <w:b w:val="0"/>
                <w:color w:val="auto"/>
                <w:sz w:val="24"/>
              </w:rPr>
              <w:t>（1）大气环境影响分析</w:t>
            </w:r>
          </w:p>
          <w:p>
            <w:pPr>
              <w:adjustRightInd w:val="0"/>
              <w:snapToGrid w:val="0"/>
              <w:spacing w:line="360" w:lineRule="auto"/>
              <w:ind w:firstLine="480" w:firstLineChars="200"/>
              <w:rPr>
                <w:rStyle w:val="27"/>
                <w:rFonts w:hint="eastAsia" w:eastAsia="宋体"/>
                <w:b w:val="0"/>
                <w:color w:val="auto"/>
                <w:sz w:val="24"/>
                <w:szCs w:val="28"/>
              </w:rPr>
            </w:pPr>
            <w:r>
              <w:rPr>
                <w:rStyle w:val="27"/>
                <w:rFonts w:hint="eastAsia" w:eastAsia="宋体"/>
                <w:b w:val="0"/>
                <w:color w:val="auto"/>
                <w:sz w:val="24"/>
              </w:rPr>
              <w:t>项目施工期产生的废气主要为施工扬尘、施工机械尾气以及装修废气。项目施工期产生的废气量较小，</w:t>
            </w:r>
            <w:r>
              <w:rPr>
                <w:rStyle w:val="27"/>
                <w:rFonts w:hint="eastAsia" w:eastAsia="宋体"/>
                <w:b w:val="0"/>
                <w:color w:val="auto"/>
                <w:sz w:val="24"/>
                <w:szCs w:val="28"/>
              </w:rPr>
              <w:t>经采取本评价提出的有效措施后</w:t>
            </w:r>
            <w:r>
              <w:rPr>
                <w:rStyle w:val="27"/>
                <w:rFonts w:hint="eastAsia" w:eastAsia="宋体"/>
                <w:b w:val="0"/>
                <w:color w:val="auto"/>
                <w:sz w:val="24"/>
              </w:rPr>
              <w:t>，项目</w:t>
            </w:r>
            <w:r>
              <w:rPr>
                <w:rStyle w:val="27"/>
                <w:rFonts w:hint="eastAsia" w:eastAsia="宋体"/>
                <w:b w:val="0"/>
                <w:color w:val="auto"/>
                <w:sz w:val="24"/>
                <w:szCs w:val="28"/>
              </w:rPr>
              <w:t>施工期产生的废气对周围大气环境的影响较小。</w:t>
            </w:r>
          </w:p>
          <w:p>
            <w:pPr>
              <w:adjustRightInd w:val="0"/>
              <w:snapToGrid w:val="0"/>
              <w:spacing w:line="360" w:lineRule="auto"/>
              <w:ind w:firstLine="480" w:firstLineChars="200"/>
              <w:rPr>
                <w:rStyle w:val="27"/>
                <w:rFonts w:hint="eastAsia" w:eastAsia="宋体"/>
                <w:b w:val="0"/>
                <w:color w:val="auto"/>
                <w:sz w:val="24"/>
              </w:rPr>
            </w:pPr>
            <w:r>
              <w:rPr>
                <w:rStyle w:val="27"/>
                <w:rFonts w:hint="eastAsia" w:eastAsia="宋体"/>
                <w:b w:val="0"/>
                <w:color w:val="auto"/>
                <w:sz w:val="24"/>
              </w:rPr>
              <w:t>（2）地表水环境影响分析</w:t>
            </w:r>
          </w:p>
          <w:p>
            <w:pPr>
              <w:spacing w:line="360" w:lineRule="auto"/>
              <w:ind w:firstLine="470" w:firstLineChars="196"/>
              <w:jc w:val="left"/>
              <w:rPr>
                <w:rStyle w:val="27"/>
                <w:rFonts w:hint="eastAsia" w:eastAsia="宋体"/>
                <w:b w:val="0"/>
                <w:color w:val="auto"/>
                <w:sz w:val="24"/>
                <w:szCs w:val="28"/>
              </w:rPr>
            </w:pPr>
            <w:r>
              <w:rPr>
                <w:rFonts w:hint="eastAsia" w:ascii="Times New Roman" w:hAnsi="Times New Roman"/>
                <w:color w:val="auto"/>
                <w:sz w:val="24"/>
              </w:rPr>
              <w:t>施工期产生废水包括施工人员产生的少量生活废水和施工本身产生的废水，施工废水主要为各种车辆冲洗水。</w:t>
            </w:r>
            <w:r>
              <w:rPr>
                <w:rStyle w:val="27"/>
                <w:rFonts w:hint="eastAsia" w:eastAsia="宋体"/>
                <w:b w:val="0"/>
                <w:color w:val="auto"/>
                <w:sz w:val="24"/>
                <w:szCs w:val="28"/>
              </w:rPr>
              <w:t>施工污水中主要含有悬浮物、石油类等污染物，生活污水中主要含有 BOD</w:t>
            </w:r>
            <w:r>
              <w:rPr>
                <w:rStyle w:val="27"/>
                <w:rFonts w:hint="eastAsia" w:eastAsia="宋体"/>
                <w:b w:val="0"/>
                <w:color w:val="auto"/>
                <w:sz w:val="24"/>
                <w:szCs w:val="28"/>
                <w:vertAlign w:val="subscript"/>
              </w:rPr>
              <w:t>5</w:t>
            </w:r>
            <w:r>
              <w:rPr>
                <w:rStyle w:val="27"/>
                <w:rFonts w:hint="eastAsia" w:eastAsia="宋体"/>
                <w:b w:val="0"/>
                <w:color w:val="auto"/>
                <w:sz w:val="24"/>
                <w:szCs w:val="28"/>
              </w:rPr>
              <w:t>、COD 等污染物。经采取本评价提出的有效措施后，施工期废水对周围水环境的影响较小。</w:t>
            </w:r>
          </w:p>
          <w:p>
            <w:pPr>
              <w:spacing w:line="360" w:lineRule="auto"/>
              <w:ind w:firstLine="470" w:firstLineChars="196"/>
              <w:jc w:val="left"/>
              <w:rPr>
                <w:rStyle w:val="27"/>
                <w:rFonts w:hint="eastAsia" w:eastAsia="宋体"/>
                <w:b w:val="0"/>
                <w:color w:val="auto"/>
                <w:sz w:val="24"/>
              </w:rPr>
            </w:pPr>
            <w:r>
              <w:rPr>
                <w:rStyle w:val="27"/>
                <w:rFonts w:hint="eastAsia" w:eastAsia="宋体"/>
                <w:b w:val="0"/>
                <w:color w:val="auto"/>
                <w:sz w:val="24"/>
              </w:rPr>
              <w:t>（3）噪声环境影响分析</w:t>
            </w:r>
          </w:p>
          <w:p>
            <w:pPr>
              <w:adjustRightInd w:val="0"/>
              <w:snapToGrid w:val="0"/>
              <w:spacing w:line="360" w:lineRule="auto"/>
              <w:ind w:firstLine="480" w:firstLineChars="200"/>
              <w:rPr>
                <w:rFonts w:hint="eastAsia" w:ascii="Times New Roman" w:hAnsi="Times New Roman"/>
                <w:color w:val="auto"/>
                <w:sz w:val="24"/>
              </w:rPr>
            </w:pPr>
            <w:r>
              <w:rPr>
                <w:rFonts w:hint="eastAsia"/>
                <w:color w:val="auto"/>
                <w:sz w:val="24"/>
              </w:rPr>
              <w:t>施工噪声主要为各种作业机械和运输车辆施工产生的噪声，施工作业及运输噪声可能会对沿线居民生活产生一定影响。</w:t>
            </w:r>
            <w:r>
              <w:rPr>
                <w:rFonts w:hint="eastAsia" w:ascii="Times New Roman" w:hAnsi="Times New Roman"/>
                <w:color w:val="auto"/>
                <w:sz w:val="24"/>
              </w:rPr>
              <w:t>经采取本评价提出的降噪措施后，项目施工期噪声对区域声环境不会产生明显不利影响，且施工期较短，噪声影响是暂时的，会随着施工的结束而消失。</w:t>
            </w:r>
          </w:p>
          <w:p>
            <w:pPr>
              <w:adjustRightInd w:val="0"/>
              <w:snapToGrid w:val="0"/>
              <w:spacing w:line="360" w:lineRule="auto"/>
              <w:ind w:firstLine="480" w:firstLineChars="200"/>
              <w:rPr>
                <w:rStyle w:val="27"/>
                <w:rFonts w:hint="eastAsia" w:eastAsia="宋体"/>
                <w:b w:val="0"/>
                <w:color w:val="auto"/>
                <w:sz w:val="24"/>
              </w:rPr>
            </w:pPr>
            <w:r>
              <w:rPr>
                <w:rStyle w:val="27"/>
                <w:rFonts w:hint="eastAsia" w:eastAsia="宋体"/>
                <w:b w:val="0"/>
                <w:color w:val="auto"/>
                <w:sz w:val="24"/>
              </w:rPr>
              <w:t>（4）固废环境影响分析</w:t>
            </w:r>
          </w:p>
          <w:p>
            <w:pPr>
              <w:adjustRightInd w:val="0"/>
              <w:snapToGrid w:val="0"/>
              <w:spacing w:line="360" w:lineRule="auto"/>
              <w:ind w:firstLine="480" w:firstLineChars="200"/>
              <w:rPr>
                <w:rFonts w:hint="eastAsia" w:ascii="Times New Roman" w:hAnsi="Times New Roman"/>
                <w:color w:val="auto"/>
                <w:sz w:val="24"/>
                <w:szCs w:val="24"/>
              </w:rPr>
            </w:pPr>
            <w:r>
              <w:rPr>
                <w:rFonts w:hint="eastAsia" w:ascii="Times New Roman" w:hAnsi="Times New Roman"/>
                <w:color w:val="auto"/>
                <w:sz w:val="24"/>
                <w:szCs w:val="24"/>
              </w:rPr>
              <w:t>项目施工过程中产生的固体废物有建筑垃圾、及施工人员产生的生活垃圾。部分建筑垃圾有一定的回收价值，可以回收利用，而不能利用的部分可联系</w:t>
            </w:r>
            <w:r>
              <w:rPr>
                <w:rFonts w:hint="eastAsia"/>
                <w:color w:val="auto"/>
                <w:sz w:val="24"/>
                <w:szCs w:val="24"/>
                <w:lang w:eastAsia="zh-CN"/>
              </w:rPr>
              <w:t>洪江区</w:t>
            </w:r>
            <w:r>
              <w:rPr>
                <w:rFonts w:hint="eastAsia" w:ascii="Times New Roman" w:hAnsi="Times New Roman"/>
                <w:color w:val="auto"/>
                <w:sz w:val="24"/>
                <w:szCs w:val="24"/>
              </w:rPr>
              <w:t xml:space="preserve">渣土部门，外运至指定的填埋点进行安全填埋。生活垃圾可经收集后，依托当地乡镇垃圾转运系统收集处理。综上，项目施工固体废物均可得到有效处理，对区域环境影响较小。 </w:t>
            </w:r>
          </w:p>
          <w:p>
            <w:pPr>
              <w:numPr>
                <w:ilvl w:val="0"/>
                <w:numId w:val="8"/>
              </w:numPr>
              <w:spacing w:line="360" w:lineRule="auto"/>
              <w:ind w:firstLine="470" w:firstLineChars="196"/>
              <w:jc w:val="left"/>
              <w:rPr>
                <w:rFonts w:hint="eastAsia" w:ascii="Times New Roman" w:hAnsi="Times New Roman"/>
                <w:color w:val="auto"/>
                <w:sz w:val="24"/>
              </w:rPr>
            </w:pPr>
            <w:r>
              <w:rPr>
                <w:rFonts w:hint="eastAsia" w:ascii="Times New Roman" w:hAnsi="Times New Roman"/>
                <w:color w:val="auto"/>
                <w:sz w:val="24"/>
                <w:szCs w:val="24"/>
              </w:rPr>
              <w:t>生态环境影响分析</w:t>
            </w:r>
          </w:p>
          <w:p>
            <w:pPr>
              <w:spacing w:line="360" w:lineRule="auto"/>
              <w:ind w:firstLine="480" w:firstLineChars="200"/>
              <w:jc w:val="left"/>
              <w:rPr>
                <w:rFonts w:hint="eastAsia" w:ascii="Times New Roman" w:hAnsi="Times New Roman"/>
                <w:color w:val="auto"/>
                <w:sz w:val="24"/>
                <w:szCs w:val="24"/>
              </w:rPr>
            </w:pPr>
            <w:r>
              <w:rPr>
                <w:rFonts w:hint="eastAsia" w:ascii="Times New Roman" w:hAnsi="Times New Roman"/>
                <w:color w:val="auto"/>
                <w:sz w:val="24"/>
              </w:rPr>
              <w:t>项目施工期对生态环境产生影响主要体现在水土流失影响。项目在施工期落实本评价提出的基本要求，可实现文明施工，安全施工。采取必要的降噪、防尘等措施，可以使施工期的环境影响降至最小。随施工期结束，其对环境的影响即可消除。</w:t>
            </w:r>
          </w:p>
          <w:p>
            <w:pPr>
              <w:spacing w:line="360" w:lineRule="auto"/>
              <w:jc w:val="left"/>
              <w:rPr>
                <w:rStyle w:val="27"/>
                <w:rFonts w:hint="eastAsia" w:eastAsia="宋体"/>
                <w:color w:val="auto"/>
                <w:sz w:val="24"/>
              </w:rPr>
            </w:pPr>
            <w:r>
              <w:rPr>
                <w:rStyle w:val="27"/>
                <w:rFonts w:hint="eastAsia" w:eastAsia="宋体"/>
                <w:color w:val="auto"/>
                <w:sz w:val="24"/>
              </w:rPr>
              <w:t>1.</w:t>
            </w:r>
            <w:r>
              <w:rPr>
                <w:rStyle w:val="27"/>
                <w:rFonts w:hint="eastAsia"/>
                <w:color w:val="auto"/>
                <w:sz w:val="24"/>
                <w:lang w:val="en-US" w:eastAsia="zh-CN"/>
              </w:rPr>
              <w:t>4</w:t>
            </w:r>
            <w:r>
              <w:rPr>
                <w:rStyle w:val="27"/>
                <w:rFonts w:hint="eastAsia" w:eastAsia="宋体"/>
                <w:color w:val="auto"/>
                <w:sz w:val="24"/>
              </w:rPr>
              <w:t>.2 运营期环境影响分析</w:t>
            </w:r>
          </w:p>
          <w:p>
            <w:pPr>
              <w:spacing w:line="360" w:lineRule="auto"/>
              <w:ind w:firstLine="470" w:firstLineChars="196"/>
              <w:jc w:val="left"/>
              <w:rPr>
                <w:rFonts w:hint="eastAsia" w:ascii="Times New Roman" w:hAnsi="Times New Roman"/>
                <w:color w:val="auto"/>
                <w:sz w:val="24"/>
              </w:rPr>
            </w:pPr>
            <w:r>
              <w:rPr>
                <w:rFonts w:hint="eastAsia" w:ascii="Times New Roman" w:hAnsi="Times New Roman"/>
                <w:color w:val="auto"/>
                <w:sz w:val="24"/>
              </w:rPr>
              <w:t>（1）</w:t>
            </w:r>
            <w:r>
              <w:rPr>
                <w:rStyle w:val="27"/>
                <w:rFonts w:hint="eastAsia" w:eastAsia="宋体"/>
                <w:b w:val="0"/>
                <w:color w:val="auto"/>
                <w:sz w:val="24"/>
              </w:rPr>
              <w:t>大气环境影响分析</w:t>
            </w:r>
          </w:p>
          <w:p>
            <w:pPr>
              <w:pStyle w:val="14"/>
              <w:spacing w:line="360" w:lineRule="auto"/>
              <w:ind w:firstLine="480" w:firstLineChars="200"/>
              <w:rPr>
                <w:color w:val="auto"/>
                <w:sz w:val="24"/>
                <w:szCs w:val="24"/>
              </w:rPr>
            </w:pPr>
            <w:r>
              <w:rPr>
                <w:rFonts w:hint="eastAsia"/>
                <w:color w:val="auto"/>
                <w:sz w:val="24"/>
                <w:lang w:val="en-US" w:eastAsia="zh-CN"/>
              </w:rPr>
              <w:t xml:space="preserve"> </w:t>
            </w:r>
            <w:r>
              <w:rPr>
                <w:color w:val="auto"/>
                <w:sz w:val="24"/>
                <w:szCs w:val="24"/>
              </w:rPr>
              <w:t>项目废气污染源主要包括堆场粉尘、粉碎粉尘、制棒废气、烘干废气、炭化废气。</w:t>
            </w:r>
          </w:p>
          <w:p>
            <w:pPr>
              <w:spacing w:line="360" w:lineRule="auto"/>
              <w:ind w:firstLine="470" w:firstLineChars="196"/>
              <w:jc w:val="left"/>
              <w:rPr>
                <w:rFonts w:hint="default" w:ascii="Times New Roman" w:hAnsi="Times New Roman" w:eastAsia="宋体"/>
                <w:color w:val="auto"/>
                <w:sz w:val="24"/>
                <w:lang w:val="en-US" w:eastAsia="zh-CN"/>
              </w:rPr>
            </w:pPr>
            <w:r>
              <w:rPr>
                <w:rFonts w:hint="eastAsia"/>
                <w:color w:val="auto"/>
                <w:sz w:val="24"/>
                <w:lang w:eastAsia="zh-CN"/>
              </w:rPr>
              <w:t>原料含水</w:t>
            </w:r>
            <w:r>
              <w:rPr>
                <w:bCs/>
                <w:color w:val="auto"/>
                <w:sz w:val="24"/>
              </w:rPr>
              <w:t>量约为40%，项目原料进厂</w:t>
            </w:r>
            <w:r>
              <w:rPr>
                <w:color w:val="auto"/>
                <w:sz w:val="24"/>
              </w:rPr>
              <w:t>原料堆卸、上料</w:t>
            </w:r>
            <w:r>
              <w:rPr>
                <w:rFonts w:hint="eastAsia"/>
                <w:color w:val="auto"/>
                <w:sz w:val="24"/>
                <w:lang w:eastAsia="zh-CN"/>
              </w:rPr>
              <w:t>产生的粉尘量较少，通过定期清扫、洒水降尘，对周边环境影响较小</w:t>
            </w:r>
            <w:r>
              <w:rPr>
                <w:rFonts w:hint="eastAsia" w:ascii="Times New Roman" w:hAnsi="Times New Roman"/>
                <w:color w:val="auto"/>
                <w:sz w:val="24"/>
              </w:rPr>
              <w:t>。</w:t>
            </w:r>
            <w:r>
              <w:rPr>
                <w:rFonts w:hint="eastAsia"/>
                <w:color w:val="auto"/>
                <w:sz w:val="24"/>
                <w:lang w:eastAsia="zh-CN"/>
              </w:rPr>
              <w:t>制棒废气、</w:t>
            </w:r>
            <w:r>
              <w:rPr>
                <w:color w:val="auto"/>
                <w:sz w:val="24"/>
                <w:szCs w:val="24"/>
              </w:rPr>
              <w:t>炭化废气</w:t>
            </w:r>
            <w:r>
              <w:rPr>
                <w:rFonts w:hint="eastAsia"/>
                <w:color w:val="auto"/>
                <w:sz w:val="24"/>
              </w:rPr>
              <w:t>经风机</w:t>
            </w:r>
            <w:r>
              <w:rPr>
                <w:rFonts w:hint="eastAsia"/>
                <w:color w:val="auto"/>
                <w:sz w:val="24"/>
                <w:lang w:eastAsia="zh-CN"/>
              </w:rPr>
              <w:t>引入烘干机</w:t>
            </w:r>
            <w:r>
              <w:rPr>
                <w:rFonts w:hint="eastAsia"/>
                <w:color w:val="auto"/>
                <w:sz w:val="24"/>
              </w:rPr>
              <w:t>作为生物质燃料燃烧使用</w:t>
            </w:r>
            <w:r>
              <w:rPr>
                <w:rFonts w:hint="eastAsia"/>
                <w:color w:val="auto"/>
                <w:sz w:val="24"/>
                <w:lang w:eastAsia="zh-CN"/>
              </w:rPr>
              <w:t>。</w:t>
            </w:r>
            <w:r>
              <w:rPr>
                <w:rFonts w:hAnsi="宋体"/>
                <w:color w:val="auto"/>
                <w:sz w:val="24"/>
              </w:rPr>
              <w:t>粉碎产生的粉尘由管道收集后</w:t>
            </w:r>
            <w:r>
              <w:rPr>
                <w:rFonts w:hint="eastAsia" w:hAnsi="宋体"/>
                <w:color w:val="auto"/>
                <w:sz w:val="24"/>
                <w:lang w:eastAsia="zh-CN"/>
              </w:rPr>
              <w:t>与</w:t>
            </w:r>
            <w:r>
              <w:rPr>
                <w:color w:val="auto"/>
                <w:sz w:val="24"/>
                <w:szCs w:val="24"/>
              </w:rPr>
              <w:t>烘干废气</w:t>
            </w:r>
            <w:r>
              <w:rPr>
                <w:rFonts w:hint="eastAsia"/>
                <w:color w:val="auto"/>
                <w:sz w:val="24"/>
                <w:szCs w:val="24"/>
                <w:lang w:eastAsia="zh-CN"/>
              </w:rPr>
              <w:t>一同进入水雾除尘器</w:t>
            </w:r>
            <w:r>
              <w:rPr>
                <w:rFonts w:hint="eastAsia"/>
                <w:color w:val="auto"/>
                <w:sz w:val="24"/>
                <w:szCs w:val="24"/>
                <w:lang w:val="en-US" w:eastAsia="zh-CN"/>
              </w:rPr>
              <w:t>+静电除尘器处理后经15m排气筒排放。</w:t>
            </w:r>
          </w:p>
          <w:p>
            <w:pPr>
              <w:spacing w:line="360" w:lineRule="auto"/>
              <w:ind w:firstLine="470" w:firstLineChars="196"/>
              <w:jc w:val="left"/>
              <w:rPr>
                <w:rFonts w:hint="eastAsia" w:ascii="Times New Roman" w:hAnsi="Times New Roman"/>
                <w:color w:val="auto"/>
                <w:sz w:val="24"/>
              </w:rPr>
            </w:pPr>
            <w:r>
              <w:rPr>
                <w:rFonts w:hint="eastAsia" w:ascii="Times New Roman" w:hAnsi="Times New Roman"/>
                <w:color w:val="auto"/>
                <w:sz w:val="24"/>
              </w:rPr>
              <w:t>（2）</w:t>
            </w:r>
            <w:r>
              <w:rPr>
                <w:rStyle w:val="27"/>
                <w:rFonts w:hint="eastAsia" w:eastAsia="宋体"/>
                <w:b w:val="0"/>
                <w:color w:val="auto"/>
                <w:sz w:val="24"/>
              </w:rPr>
              <w:t>水环境影响分析</w:t>
            </w:r>
          </w:p>
          <w:p>
            <w:pPr>
              <w:spacing w:line="360" w:lineRule="auto"/>
              <w:ind w:firstLine="480" w:firstLineChars="200"/>
              <w:rPr>
                <w:rFonts w:hint="eastAsia" w:ascii="Times New Roman"/>
                <w:color w:val="auto"/>
              </w:rPr>
            </w:pPr>
            <w:r>
              <w:rPr>
                <w:rFonts w:hint="eastAsia"/>
                <w:color w:val="auto"/>
                <w:sz w:val="24"/>
                <w:szCs w:val="24"/>
                <w:lang w:val="en-US" w:eastAsia="zh-CN"/>
              </w:rPr>
              <w:t xml:space="preserve"> </w:t>
            </w:r>
            <w:r>
              <w:rPr>
                <w:color w:val="auto"/>
                <w:sz w:val="24"/>
              </w:rPr>
              <w:t>本项目废水主要为</w:t>
            </w:r>
            <w:r>
              <w:rPr>
                <w:rFonts w:hint="eastAsia"/>
                <w:color w:val="auto"/>
                <w:sz w:val="24"/>
              </w:rPr>
              <w:t>水膜</w:t>
            </w:r>
            <w:r>
              <w:rPr>
                <w:color w:val="auto"/>
                <w:sz w:val="24"/>
              </w:rPr>
              <w:t>除尘废水</w:t>
            </w:r>
            <w:r>
              <w:rPr>
                <w:rFonts w:hint="eastAsia"/>
                <w:color w:val="auto"/>
                <w:sz w:val="24"/>
                <w:lang w:eastAsia="zh-CN"/>
              </w:rPr>
              <w:t>、冷却废水</w:t>
            </w:r>
            <w:r>
              <w:rPr>
                <w:color w:val="auto"/>
                <w:sz w:val="24"/>
              </w:rPr>
              <w:t>。项目</w:t>
            </w:r>
            <w:r>
              <w:rPr>
                <w:rFonts w:hint="eastAsia"/>
                <w:color w:val="auto"/>
                <w:sz w:val="24"/>
              </w:rPr>
              <w:t>水膜</w:t>
            </w:r>
            <w:r>
              <w:rPr>
                <w:color w:val="auto"/>
                <w:sz w:val="24"/>
              </w:rPr>
              <w:t>除尘废水</w:t>
            </w:r>
            <w:r>
              <w:rPr>
                <w:rFonts w:hint="eastAsia"/>
                <w:color w:val="auto"/>
                <w:sz w:val="24"/>
                <w:lang w:eastAsia="zh-CN"/>
              </w:rPr>
              <w:t>、冷却废水</w:t>
            </w:r>
            <w:r>
              <w:rPr>
                <w:color w:val="auto"/>
                <w:sz w:val="24"/>
              </w:rPr>
              <w:t>循环使用，不外排，对周边地表水环境影响较小</w:t>
            </w:r>
            <w:r>
              <w:rPr>
                <w:rFonts w:hint="eastAsia" w:ascii="Times New Roman" w:hAnsi="Times New Roman"/>
                <w:color w:val="auto"/>
                <w:sz w:val="24"/>
                <w:szCs w:val="24"/>
              </w:rPr>
              <w:t>。</w:t>
            </w:r>
          </w:p>
          <w:p>
            <w:pPr>
              <w:spacing w:line="360" w:lineRule="auto"/>
              <w:ind w:firstLine="480" w:firstLineChars="200"/>
              <w:jc w:val="left"/>
              <w:rPr>
                <w:rFonts w:hint="eastAsia" w:ascii="Times New Roman" w:hAnsi="Times New Roman"/>
                <w:color w:val="auto"/>
                <w:sz w:val="24"/>
                <w:szCs w:val="24"/>
              </w:rPr>
            </w:pPr>
            <w:r>
              <w:rPr>
                <w:rFonts w:hint="eastAsia" w:ascii="Times New Roman" w:hAnsi="Times New Roman"/>
                <w:color w:val="auto"/>
                <w:sz w:val="24"/>
                <w:szCs w:val="24"/>
              </w:rPr>
              <w:t>（3）声环境影响分析</w:t>
            </w:r>
          </w:p>
          <w:p>
            <w:pPr>
              <w:pStyle w:val="33"/>
              <w:rPr>
                <w:rFonts w:hint="eastAsia" w:ascii="Times New Roman" w:hAnsi="Times New Roman"/>
                <w:color w:val="auto"/>
                <w:szCs w:val="24"/>
              </w:rPr>
            </w:pPr>
            <w:r>
              <w:rPr>
                <w:rFonts w:hint="eastAsia" w:ascii="Times New Roman" w:hAnsi="Times New Roman"/>
                <w:color w:val="auto"/>
                <w:kern w:val="2"/>
                <w:szCs w:val="24"/>
                <w:lang w:val="en-US" w:eastAsia="zh-CN"/>
              </w:rPr>
              <w:t>营运期的噪声主要有</w:t>
            </w:r>
            <w:r>
              <w:rPr>
                <w:color w:val="auto"/>
                <w:sz w:val="24"/>
              </w:rPr>
              <w:t>旋风分离器、烘干机、制棒机、风机</w:t>
            </w:r>
            <w:r>
              <w:rPr>
                <w:rFonts w:hint="eastAsia" w:ascii="Times New Roman" w:hAnsi="Times New Roman"/>
                <w:color w:val="auto"/>
                <w:szCs w:val="24"/>
                <w:lang w:val="en-US" w:eastAsia="zh-CN"/>
              </w:rPr>
              <w:t>等作业</w:t>
            </w:r>
            <w:r>
              <w:rPr>
                <w:rFonts w:hint="eastAsia" w:ascii="Times New Roman" w:hAnsi="Times New Roman"/>
                <w:color w:val="auto"/>
                <w:lang w:val="en-US" w:eastAsia="zh-CN"/>
              </w:rPr>
              <w:t>机械</w:t>
            </w:r>
            <w:r>
              <w:rPr>
                <w:rFonts w:hint="eastAsia" w:ascii="Times New Roman" w:hAnsi="Times New Roman"/>
                <w:color w:val="auto"/>
                <w:szCs w:val="24"/>
                <w:lang w:val="en-US" w:eastAsia="zh-CN"/>
              </w:rPr>
              <w:t>运行噪声、以及运输车辆产生的交通噪声。</w:t>
            </w:r>
            <w:r>
              <w:rPr>
                <w:rFonts w:hint="eastAsia" w:ascii="Times New Roman" w:hAnsi="Times New Roman"/>
                <w:color w:val="auto"/>
                <w:kern w:val="2"/>
                <w:szCs w:val="24"/>
                <w:lang w:val="en-US" w:eastAsia="zh-CN"/>
              </w:rPr>
              <w:t>通过采取选用低噪声设备、基础减震、安装减震垫等减振降噪措施后，经山体隔音后，</w:t>
            </w:r>
            <w:r>
              <w:rPr>
                <w:rFonts w:ascii="Times New Roman" w:hAnsi="Times New Roman"/>
                <w:color w:val="auto"/>
                <w:kern w:val="2"/>
                <w:szCs w:val="24"/>
                <w:lang w:val="en-US" w:eastAsia="zh-CN"/>
              </w:rPr>
              <w:t>对周边声环境影响不大</w:t>
            </w:r>
            <w:r>
              <w:rPr>
                <w:rFonts w:hint="eastAsia" w:ascii="Times New Roman" w:hAnsi="Times New Roman" w:cs="Times New Roman"/>
                <w:color w:val="auto"/>
                <w:kern w:val="0"/>
                <w:szCs w:val="24"/>
              </w:rPr>
              <w:t>。</w:t>
            </w:r>
          </w:p>
          <w:p>
            <w:pPr>
              <w:spacing w:line="360" w:lineRule="auto"/>
              <w:ind w:firstLine="480" w:firstLineChars="200"/>
              <w:jc w:val="left"/>
              <w:rPr>
                <w:rFonts w:hint="eastAsia" w:ascii="Times New Roman" w:hAnsi="Times New Roman"/>
                <w:color w:val="auto"/>
                <w:sz w:val="24"/>
                <w:szCs w:val="24"/>
              </w:rPr>
            </w:pPr>
            <w:r>
              <w:rPr>
                <w:rFonts w:hint="eastAsia" w:ascii="Times New Roman" w:hAnsi="Times New Roman"/>
                <w:color w:val="auto"/>
                <w:sz w:val="24"/>
                <w:szCs w:val="24"/>
              </w:rPr>
              <w:t>（4）固废环境影响分析</w:t>
            </w:r>
          </w:p>
          <w:p>
            <w:pPr>
              <w:pStyle w:val="61"/>
              <w:spacing w:line="360" w:lineRule="auto"/>
              <w:ind w:firstLine="480"/>
              <w:rPr>
                <w:rFonts w:eastAsia="宋体"/>
                <w:color w:val="auto"/>
                <w:sz w:val="24"/>
              </w:rPr>
            </w:pPr>
            <w:r>
              <w:rPr>
                <w:rFonts w:hint="eastAsia"/>
                <w:color w:val="auto"/>
                <w:sz w:val="24"/>
                <w:szCs w:val="24"/>
                <w:lang w:val="en-US" w:eastAsia="zh-CN"/>
              </w:rPr>
              <w:t xml:space="preserve"> </w:t>
            </w:r>
            <w:r>
              <w:rPr>
                <w:rFonts w:eastAsia="宋体"/>
                <w:color w:val="auto"/>
                <w:sz w:val="24"/>
              </w:rPr>
              <w:t>项目投入营运后，产生的固体废物主要有沉淀池沉渣、</w:t>
            </w:r>
            <w:r>
              <w:rPr>
                <w:rFonts w:hint="eastAsia" w:eastAsia="宋体"/>
                <w:color w:val="auto"/>
                <w:sz w:val="24"/>
                <w:lang w:eastAsia="zh-CN"/>
              </w:rPr>
              <w:t>残次品</w:t>
            </w:r>
            <w:r>
              <w:rPr>
                <w:rFonts w:eastAsia="宋体"/>
                <w:color w:val="auto"/>
                <w:sz w:val="24"/>
              </w:rPr>
              <w:t>、</w:t>
            </w:r>
            <w:r>
              <w:rPr>
                <w:rFonts w:hint="eastAsia" w:eastAsia="宋体"/>
                <w:color w:val="auto"/>
                <w:sz w:val="24"/>
                <w:lang w:eastAsia="zh-CN"/>
              </w:rPr>
              <w:t>静电除尘器</w:t>
            </w:r>
            <w:r>
              <w:rPr>
                <w:rFonts w:eastAsia="宋体"/>
                <w:color w:val="auto"/>
                <w:sz w:val="24"/>
              </w:rPr>
              <w:t>收尘灰、员工生活垃圾</w:t>
            </w:r>
            <w:r>
              <w:rPr>
                <w:rFonts w:hint="eastAsia" w:eastAsia="宋体"/>
                <w:color w:val="auto"/>
                <w:sz w:val="24"/>
                <w:lang w:eastAsia="zh-CN"/>
              </w:rPr>
              <w:t>等</w:t>
            </w:r>
            <w:r>
              <w:rPr>
                <w:rFonts w:eastAsia="宋体"/>
                <w:color w:val="auto"/>
                <w:sz w:val="24"/>
              </w:rPr>
              <w:t>。</w:t>
            </w:r>
          </w:p>
          <w:p>
            <w:pPr>
              <w:pStyle w:val="12"/>
              <w:keepNext w:val="0"/>
              <w:keepLines w:val="0"/>
              <w:suppressLineNumbers w:val="0"/>
              <w:spacing w:before="0" w:beforeAutospacing="0" w:after="0" w:afterAutospacing="0" w:line="360" w:lineRule="auto"/>
              <w:ind w:left="0" w:leftChars="0" w:right="0" w:firstLine="480" w:firstLineChars="200"/>
              <w:rPr>
                <w:rFonts w:hint="eastAsia" w:ascii="Times New Roman" w:hAnsi="Times New Roman" w:eastAsia="宋体"/>
                <w:color w:val="auto"/>
                <w:sz w:val="24"/>
                <w:szCs w:val="24"/>
                <w:lang w:eastAsia="zh-CN"/>
              </w:rPr>
            </w:pPr>
            <w:r>
              <w:rPr>
                <w:rFonts w:eastAsia="宋体"/>
                <w:color w:val="auto"/>
                <w:sz w:val="24"/>
              </w:rPr>
              <w:t>烘干</w:t>
            </w:r>
            <w:r>
              <w:rPr>
                <w:rFonts w:hint="eastAsia" w:eastAsia="宋体"/>
                <w:color w:val="auto"/>
                <w:sz w:val="24"/>
                <w:lang w:eastAsia="zh-CN"/>
              </w:rPr>
              <w:t>机</w:t>
            </w:r>
            <w:r>
              <w:rPr>
                <w:rFonts w:eastAsia="宋体"/>
                <w:color w:val="auto"/>
                <w:sz w:val="24"/>
              </w:rPr>
              <w:t>炉渣经收集后送附近农户作农肥</w:t>
            </w:r>
            <w:r>
              <w:rPr>
                <w:rFonts w:hint="eastAsia" w:eastAsia="宋体"/>
                <w:color w:val="auto"/>
                <w:sz w:val="24"/>
                <w:lang w:eastAsia="zh-CN"/>
              </w:rPr>
              <w:t>，</w:t>
            </w:r>
            <w:r>
              <w:rPr>
                <w:rFonts w:eastAsia="宋体"/>
                <w:color w:val="auto"/>
                <w:sz w:val="24"/>
              </w:rPr>
              <w:t>沉淀池沉渣</w:t>
            </w:r>
            <w:r>
              <w:rPr>
                <w:rFonts w:hint="eastAsia"/>
                <w:color w:val="auto"/>
                <w:sz w:val="24"/>
                <w:lang w:eastAsia="zh-CN"/>
              </w:rPr>
              <w:t>作为原材料</w:t>
            </w:r>
            <w:r>
              <w:rPr>
                <w:rFonts w:hint="eastAsia" w:eastAsia="宋体"/>
                <w:color w:val="auto"/>
                <w:sz w:val="24"/>
                <w:lang w:eastAsia="zh-CN"/>
              </w:rPr>
              <w:t>回用，残次品用作烘干机燃料使用，静电除尘器</w:t>
            </w:r>
            <w:r>
              <w:rPr>
                <w:rFonts w:eastAsia="宋体"/>
                <w:color w:val="auto"/>
                <w:sz w:val="24"/>
              </w:rPr>
              <w:t>收尘灰</w:t>
            </w:r>
            <w:r>
              <w:rPr>
                <w:rFonts w:hint="eastAsia" w:eastAsia="宋体"/>
                <w:color w:val="auto"/>
                <w:sz w:val="24"/>
                <w:lang w:eastAsia="zh-CN"/>
              </w:rPr>
              <w:t>作为原料回用于生产，生活垃圾</w:t>
            </w:r>
            <w:r>
              <w:rPr>
                <w:rFonts w:eastAsia="宋体"/>
                <w:color w:val="auto"/>
                <w:sz w:val="24"/>
              </w:rPr>
              <w:t>集中收集，由环卫部门统一清运处理</w:t>
            </w:r>
            <w:r>
              <w:rPr>
                <w:rFonts w:hint="eastAsia"/>
                <w:color w:val="auto"/>
                <w:sz w:val="24"/>
                <w:lang w:eastAsia="zh-CN"/>
              </w:rPr>
              <w:t>，包装废弃物外售废品收购站</w:t>
            </w:r>
            <w:r>
              <w:rPr>
                <w:rFonts w:hint="eastAsia" w:ascii="Times New Roman" w:hAnsi="Times New Roman"/>
                <w:color w:val="auto"/>
                <w:sz w:val="24"/>
                <w:szCs w:val="24"/>
              </w:rPr>
              <w:t>。</w:t>
            </w:r>
            <w:r>
              <w:rPr>
                <w:color w:val="auto"/>
                <w:sz w:val="24"/>
                <w:u w:val="none"/>
              </w:rPr>
              <w:t>本项目直接将</w:t>
            </w:r>
            <w:r>
              <w:rPr>
                <w:rFonts w:hint="eastAsia"/>
                <w:color w:val="auto"/>
                <w:sz w:val="24"/>
                <w:szCs w:val="24"/>
                <w:lang w:val="en-US" w:eastAsia="zh-CN"/>
              </w:rPr>
              <w:t>木焦油、木醋液</w:t>
            </w:r>
            <w:r>
              <w:rPr>
                <w:rFonts w:hint="eastAsia"/>
                <w:color w:val="auto"/>
                <w:sz w:val="24"/>
                <w:u w:val="none"/>
              </w:rPr>
              <w:t>经风机送至</w:t>
            </w:r>
            <w:r>
              <w:rPr>
                <w:rFonts w:hint="eastAsia"/>
                <w:color w:val="auto"/>
                <w:sz w:val="24"/>
                <w:u w:val="none"/>
                <w:lang w:eastAsia="zh-CN"/>
              </w:rPr>
              <w:t>烘干机</w:t>
            </w:r>
            <w:r>
              <w:rPr>
                <w:rFonts w:hint="eastAsia"/>
                <w:color w:val="auto"/>
                <w:sz w:val="24"/>
                <w:u w:val="none"/>
              </w:rPr>
              <w:t>做燃料</w:t>
            </w:r>
            <w:r>
              <w:rPr>
                <w:color w:val="auto"/>
                <w:sz w:val="24"/>
                <w:u w:val="none"/>
              </w:rPr>
              <w:t>燃烧</w:t>
            </w:r>
            <w:r>
              <w:rPr>
                <w:rFonts w:hint="eastAsia"/>
                <w:color w:val="auto"/>
                <w:sz w:val="24"/>
                <w:u w:val="none"/>
              </w:rPr>
              <w:t>掉</w:t>
            </w:r>
            <w:r>
              <w:rPr>
                <w:rFonts w:hint="eastAsia"/>
                <w:color w:val="auto"/>
                <w:sz w:val="24"/>
                <w:u w:val="none"/>
                <w:lang w:eastAsia="zh-CN"/>
              </w:rPr>
              <w:t>；</w:t>
            </w:r>
            <w:r>
              <w:rPr>
                <w:rFonts w:hint="eastAsia"/>
                <w:color w:val="auto"/>
                <w:sz w:val="24"/>
                <w:szCs w:val="24"/>
                <w:u w:val="single"/>
                <w:lang w:val="en-US" w:eastAsia="zh-CN"/>
              </w:rPr>
              <w:t>废润滑油、废含有抹布</w:t>
            </w:r>
            <w:r>
              <w:rPr>
                <w:rFonts w:hint="eastAsia" w:ascii="T" w:hAnsi="T"/>
                <w:color w:val="auto"/>
                <w:kern w:val="1"/>
                <w:sz w:val="24"/>
                <w:u w:val="single"/>
              </w:rPr>
              <w:t>集中收集后暂存于危废暂存间，定期交由有资质单位处置</w:t>
            </w:r>
            <w:r>
              <w:rPr>
                <w:rFonts w:hint="eastAsia"/>
                <w:color w:val="auto"/>
                <w:sz w:val="24"/>
                <w:u w:val="single"/>
              </w:rPr>
              <w:t>。</w:t>
            </w:r>
          </w:p>
          <w:p>
            <w:pPr>
              <w:spacing w:line="360" w:lineRule="auto"/>
              <w:jc w:val="left"/>
              <w:rPr>
                <w:rStyle w:val="27"/>
                <w:rFonts w:hint="eastAsia" w:ascii="Times New Roman" w:hAnsi="Times New Roman" w:eastAsia="宋体" w:cs="Times New Roman"/>
                <w:color w:val="auto"/>
                <w:sz w:val="24"/>
                <w:u w:val="single"/>
              </w:rPr>
            </w:pPr>
            <w:r>
              <w:rPr>
                <w:rStyle w:val="27"/>
                <w:rFonts w:hint="eastAsia" w:ascii="Times New Roman" w:hAnsi="Times New Roman" w:eastAsia="宋体" w:cs="Times New Roman"/>
                <w:color w:val="auto"/>
                <w:sz w:val="24"/>
                <w:lang w:val="en-US" w:eastAsia="zh-CN"/>
              </w:rPr>
              <w:t>1</w:t>
            </w:r>
            <w:r>
              <w:rPr>
                <w:rStyle w:val="27"/>
                <w:rFonts w:hint="eastAsia" w:ascii="Times New Roman" w:hAnsi="Times New Roman" w:eastAsia="宋体" w:cs="Times New Roman"/>
                <w:color w:val="auto"/>
                <w:sz w:val="24"/>
                <w:u w:val="single"/>
                <w:lang w:val="en-US" w:eastAsia="zh-CN"/>
              </w:rPr>
              <w:t>.5</w:t>
            </w:r>
            <w:r>
              <w:rPr>
                <w:rStyle w:val="27"/>
                <w:rFonts w:hint="eastAsia" w:ascii="Times New Roman" w:hAnsi="Times New Roman" w:eastAsia="宋体" w:cs="Times New Roman"/>
                <w:color w:val="auto"/>
                <w:sz w:val="24"/>
                <w:u w:val="single"/>
              </w:rPr>
              <w:t>公众参与结论</w:t>
            </w:r>
          </w:p>
          <w:p>
            <w:pPr>
              <w:spacing w:line="360" w:lineRule="auto"/>
              <w:ind w:firstLine="480" w:firstLineChars="200"/>
              <w:rPr>
                <w:rFonts w:hint="eastAsia" w:ascii="Times New Roman" w:hAnsi="Times New Roman"/>
                <w:color w:val="auto"/>
                <w:sz w:val="24"/>
                <w:szCs w:val="24"/>
              </w:rPr>
            </w:pPr>
            <w:r>
              <w:rPr>
                <w:rFonts w:hint="eastAsia" w:cs="宋体"/>
                <w:color w:val="auto"/>
                <w:sz w:val="24"/>
                <w:u w:val="single"/>
              </w:rPr>
              <w:t>从公众参与调查结果来看，被调查公众对本项目持支持态度。针对公众的意见，建设方明确表示：积极采纳公众的建议，加强环保力度，保证污染物达标排放。本评价认为：建设方应严格执行国家有关环保治理措施规定和本报告表中提出的建议措施，确保外排污染物达标排放，且不对周围居民的生活环境造成污染。</w:t>
            </w:r>
          </w:p>
          <w:p>
            <w:pPr>
              <w:spacing w:line="360" w:lineRule="auto"/>
              <w:jc w:val="left"/>
              <w:rPr>
                <w:rStyle w:val="27"/>
                <w:rFonts w:hint="eastAsia" w:eastAsia="宋体"/>
                <w:color w:val="auto"/>
                <w:sz w:val="24"/>
              </w:rPr>
            </w:pPr>
            <w:r>
              <w:rPr>
                <w:rStyle w:val="27"/>
                <w:rFonts w:hint="eastAsia" w:eastAsia="宋体"/>
                <w:color w:val="auto"/>
                <w:sz w:val="24"/>
              </w:rPr>
              <w:t>1.</w:t>
            </w:r>
            <w:r>
              <w:rPr>
                <w:rStyle w:val="27"/>
                <w:rFonts w:hint="eastAsia"/>
                <w:color w:val="auto"/>
                <w:sz w:val="24"/>
                <w:lang w:val="en-US" w:eastAsia="zh-CN"/>
              </w:rPr>
              <w:t>6</w:t>
            </w:r>
            <w:r>
              <w:rPr>
                <w:rStyle w:val="27"/>
                <w:rFonts w:hint="eastAsia" w:eastAsia="宋体"/>
                <w:color w:val="auto"/>
                <w:sz w:val="24"/>
              </w:rPr>
              <w:t xml:space="preserve"> 综合结论</w:t>
            </w:r>
          </w:p>
          <w:p>
            <w:pPr>
              <w:pStyle w:val="19"/>
              <w:widowControl w:val="0"/>
              <w:spacing w:before="0" w:beforeAutospacing="0" w:after="0" w:afterAutospacing="0" w:line="360" w:lineRule="auto"/>
              <w:ind w:firstLine="480" w:firstLineChars="200"/>
              <w:jc w:val="both"/>
              <w:rPr>
                <w:color w:val="auto"/>
              </w:rPr>
            </w:pPr>
            <w:r>
              <w:rPr>
                <w:rFonts w:hint="eastAsia" w:ascii="Times New Roman"/>
                <w:bCs/>
                <w:color w:val="auto"/>
                <w:kern w:val="2"/>
                <w:lang w:bidi="ar"/>
              </w:rPr>
              <w:t>综上所述，</w:t>
            </w:r>
            <w:r>
              <w:rPr>
                <w:rFonts w:hint="eastAsia" w:ascii="Times New Roman" w:hAnsi="Times New Roman"/>
                <w:color w:val="auto"/>
                <w:sz w:val="24"/>
                <w:szCs w:val="20"/>
                <w:u w:val="none"/>
                <w:lang w:eastAsia="zh-CN"/>
              </w:rPr>
              <w:t>怀化市洪江区欣隆竹胶板厂年产3000t机制木炭生产线扩建项目</w:t>
            </w:r>
            <w:r>
              <w:rPr>
                <w:rFonts w:hint="eastAsia" w:ascii="Times New Roman"/>
                <w:color w:val="auto"/>
                <w:kern w:val="2"/>
                <w:lang w:bidi="ar"/>
              </w:rPr>
              <w:t>符合国家产业政策，项目选址合理。本项目在落实本环评提出的各项污染防治措施的前提下，废气、废水、噪声可实现达标排放，固体废物能得到有效、安全处置，项目产生的污染物对周围环境产生的影响在可接受的范围内。</w:t>
            </w:r>
            <w:r>
              <w:rPr>
                <w:rFonts w:hint="eastAsia" w:ascii="Times New Roman" w:cs="Times New Roman"/>
                <w:color w:val="auto"/>
                <w:kern w:val="2"/>
                <w:lang w:bidi="ar"/>
              </w:rPr>
              <w:t>因此，本评价认为，该项目从环保角度出发是合理可行的。</w:t>
            </w:r>
          </w:p>
          <w:p>
            <w:pPr>
              <w:spacing w:line="360" w:lineRule="auto"/>
              <w:rPr>
                <w:rStyle w:val="27"/>
                <w:rFonts w:hint="eastAsia" w:eastAsia="宋体"/>
                <w:color w:val="auto"/>
              </w:rPr>
            </w:pPr>
            <w:r>
              <w:rPr>
                <w:rStyle w:val="27"/>
                <w:rFonts w:hint="eastAsia" w:eastAsia="宋体"/>
                <w:color w:val="auto"/>
              </w:rPr>
              <w:t>建议和要求</w:t>
            </w:r>
          </w:p>
          <w:p>
            <w:pPr>
              <w:pStyle w:val="35"/>
              <w:ind w:firstLine="480"/>
              <w:rPr>
                <w:rFonts w:ascii="Times New Roman" w:cs="Times New Roman"/>
                <w:color w:val="auto"/>
              </w:rPr>
            </w:pPr>
            <w:r>
              <w:rPr>
                <w:rFonts w:ascii="Times New Roman" w:cs="Times New Roman"/>
                <w:color w:val="auto"/>
              </w:rPr>
              <w:t>为了更好地做好项目环境保护工作，特提出如下建议与要求：</w:t>
            </w:r>
          </w:p>
          <w:p>
            <w:pPr>
              <w:spacing w:line="360" w:lineRule="auto"/>
              <w:ind w:firstLine="496" w:firstLineChars="200"/>
              <w:rPr>
                <w:color w:val="auto"/>
                <w:spacing w:val="4"/>
                <w:sz w:val="24"/>
              </w:rPr>
            </w:pPr>
            <w:r>
              <w:rPr>
                <w:color w:val="auto"/>
                <w:spacing w:val="4"/>
                <w:sz w:val="24"/>
              </w:rPr>
              <w:t>（1）建立健全环境管理规章制度和控制污染产生的监管程序，使场内每位员工都能积极参与环境监督和管理。</w:t>
            </w:r>
          </w:p>
          <w:p>
            <w:pPr>
              <w:spacing w:line="360" w:lineRule="auto"/>
              <w:ind w:firstLine="496" w:firstLineChars="200"/>
              <w:rPr>
                <w:color w:val="auto"/>
                <w:spacing w:val="4"/>
                <w:sz w:val="24"/>
              </w:rPr>
            </w:pPr>
            <w:r>
              <w:rPr>
                <w:color w:val="auto"/>
                <w:spacing w:val="4"/>
                <w:sz w:val="24"/>
              </w:rPr>
              <w:t>（2）加强设备日常维护保养，定期检修，保证各项设备正常有效运行。</w:t>
            </w:r>
          </w:p>
          <w:p>
            <w:pPr>
              <w:spacing w:line="360" w:lineRule="auto"/>
              <w:ind w:firstLine="496" w:firstLineChars="200"/>
              <w:rPr>
                <w:color w:val="auto"/>
                <w:spacing w:val="4"/>
                <w:sz w:val="24"/>
              </w:rPr>
            </w:pPr>
            <w:r>
              <w:rPr>
                <w:color w:val="auto"/>
                <w:spacing w:val="4"/>
                <w:sz w:val="24"/>
              </w:rPr>
              <w:t>（3）执行国家建设项目环境管理的有关规定，做好环保设施管理和维修监督工作，建立并管理好环保设施的档案，保证环保设施按照设计要求运行，杜绝擅自拆除和闲置环保设施的现象发生。</w:t>
            </w:r>
          </w:p>
          <w:p>
            <w:pPr>
              <w:spacing w:line="360" w:lineRule="auto"/>
              <w:ind w:firstLine="496" w:firstLineChars="200"/>
              <w:rPr>
                <w:color w:val="auto"/>
                <w:spacing w:val="4"/>
                <w:sz w:val="24"/>
              </w:rPr>
            </w:pPr>
            <w:r>
              <w:rPr>
                <w:color w:val="auto"/>
                <w:spacing w:val="4"/>
                <w:sz w:val="24"/>
              </w:rPr>
              <w:t>（4）环境保护设施工程设计应当由具有环境保护设施工程设计资质的单位承担。建设单位应当向环境保护行政主管部门提供环境保护设施的设计文件。不得擅自变更环境保护设施的设计文件；确需变更的，应当符合环境影响评价文件的要求，并报负责审批的环境保护行政主管部门备案。</w:t>
            </w:r>
          </w:p>
          <w:p>
            <w:pPr>
              <w:spacing w:line="360" w:lineRule="auto"/>
              <w:ind w:firstLine="496" w:firstLineChars="200"/>
              <w:rPr>
                <w:color w:val="auto"/>
                <w:spacing w:val="4"/>
                <w:sz w:val="24"/>
              </w:rPr>
            </w:pPr>
            <w:r>
              <w:rPr>
                <w:color w:val="auto"/>
                <w:spacing w:val="4"/>
                <w:sz w:val="24"/>
              </w:rPr>
              <w:t>（5）如项目规模、性质、选址、总图布置、生产工艺等情况有大的变动时，建设单位应及时向有关部门申报，必要时重新进行环境影响评价。</w:t>
            </w:r>
          </w:p>
          <w:p>
            <w:pPr>
              <w:spacing w:line="360" w:lineRule="auto"/>
              <w:ind w:firstLine="496" w:firstLineChars="200"/>
              <w:rPr>
                <w:rFonts w:hint="eastAsia" w:ascii="Times New Roman" w:eastAsia="宋体"/>
                <w:color w:val="auto"/>
                <w:spacing w:val="4"/>
                <w:sz w:val="24"/>
                <w:lang w:eastAsia="zh-CN"/>
              </w:rPr>
            </w:pPr>
            <w:r>
              <w:rPr>
                <w:rFonts w:hint="eastAsia"/>
                <w:color w:val="auto"/>
                <w:spacing w:val="4"/>
                <w:sz w:val="24"/>
                <w:u w:val="single"/>
                <w:lang w:eastAsia="zh-CN"/>
              </w:rPr>
              <w:t>（</w:t>
            </w:r>
            <w:r>
              <w:rPr>
                <w:rFonts w:hint="eastAsia"/>
                <w:color w:val="auto"/>
                <w:spacing w:val="4"/>
                <w:sz w:val="24"/>
                <w:u w:val="single"/>
                <w:lang w:val="en-US" w:eastAsia="zh-CN"/>
              </w:rPr>
              <w:t>6</w:t>
            </w:r>
            <w:r>
              <w:rPr>
                <w:rFonts w:hint="eastAsia"/>
                <w:color w:val="auto"/>
                <w:spacing w:val="4"/>
                <w:sz w:val="24"/>
                <w:u w:val="single"/>
                <w:lang w:eastAsia="zh-CN"/>
              </w:rPr>
              <w:t>）建议企业需在环保审批表完成前购买污染物NOx总量控制指标。</w:t>
            </w:r>
          </w:p>
        </w:tc>
      </w:tr>
      <w:bookmarkEnd w:id="22"/>
    </w:tbl>
    <w:p>
      <w:pPr>
        <w:pStyle w:val="2"/>
        <w:rPr>
          <w:sz w:val="24"/>
          <w:szCs w:val="24"/>
        </w:rPr>
      </w:pPr>
    </w:p>
    <w:sectPr>
      <w:pgSz w:w="11906" w:h="16838"/>
      <w:pgMar w:top="1383" w:right="1800" w:bottom="1383"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80"/>
    <w:family w:val="auto"/>
    <w:pitch w:val="default"/>
    <w:sig w:usb0="00000000" w:usb1="00000000" w:usb2="00000010" w:usb3="00000000" w:csb0="00060000" w:csb1="00000000"/>
  </w:font>
  <w:font w:name="仿宋">
    <w:panose1 w:val="02010609060101010101"/>
    <w:charset w:val="86"/>
    <w:family w:val="auto"/>
    <w:pitch w:val="default"/>
    <w:sig w:usb0="800002BF" w:usb1="38CF7CFA" w:usb2="00000016" w:usb3="00000000" w:csb0="00040001" w:csb1="00000000"/>
  </w:font>
  <w:font w:name="T">
    <w:altName w:val="Times New Roman"/>
    <w:panose1 w:val="02020603050405020304"/>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15DD3F"/>
    <w:multiLevelType w:val="singleLevel"/>
    <w:tmpl w:val="9415DD3F"/>
    <w:lvl w:ilvl="0" w:tentative="0">
      <w:start w:val="1"/>
      <w:numFmt w:val="decimal"/>
      <w:suff w:val="nothing"/>
      <w:lvlText w:val="（%1）"/>
      <w:lvlJc w:val="left"/>
      <w:pPr>
        <w:ind w:left="480" w:leftChars="0" w:firstLine="0" w:firstLineChars="0"/>
      </w:pPr>
    </w:lvl>
  </w:abstractNum>
  <w:abstractNum w:abstractNumId="1">
    <w:nsid w:val="C9EB64F8"/>
    <w:multiLevelType w:val="singleLevel"/>
    <w:tmpl w:val="C9EB64F8"/>
    <w:lvl w:ilvl="0" w:tentative="0">
      <w:start w:val="1"/>
      <w:numFmt w:val="decimal"/>
      <w:suff w:val="nothing"/>
      <w:lvlText w:val="%1）"/>
      <w:lvlJc w:val="left"/>
    </w:lvl>
  </w:abstractNum>
  <w:abstractNum w:abstractNumId="2">
    <w:nsid w:val="F9A2E789"/>
    <w:multiLevelType w:val="singleLevel"/>
    <w:tmpl w:val="F9A2E789"/>
    <w:lvl w:ilvl="0" w:tentative="0">
      <w:start w:val="1"/>
      <w:numFmt w:val="decimal"/>
      <w:pStyle w:val="6"/>
      <w:lvlText w:val="%1."/>
      <w:lvlJc w:val="left"/>
      <w:pPr>
        <w:tabs>
          <w:tab w:val="left" w:pos="360"/>
        </w:tabs>
        <w:ind w:left="360" w:hanging="360"/>
      </w:pPr>
    </w:lvl>
  </w:abstractNum>
  <w:abstractNum w:abstractNumId="3">
    <w:nsid w:val="0C34A1F1"/>
    <w:multiLevelType w:val="singleLevel"/>
    <w:tmpl w:val="0C34A1F1"/>
    <w:lvl w:ilvl="0" w:tentative="0">
      <w:start w:val="3"/>
      <w:numFmt w:val="decimal"/>
      <w:suff w:val="nothing"/>
      <w:lvlText w:val="（%1）"/>
      <w:lvlJc w:val="left"/>
    </w:lvl>
  </w:abstractNum>
  <w:abstractNum w:abstractNumId="4">
    <w:nsid w:val="175BA4CD"/>
    <w:multiLevelType w:val="singleLevel"/>
    <w:tmpl w:val="175BA4CD"/>
    <w:lvl w:ilvl="0" w:tentative="0">
      <w:start w:val="1"/>
      <w:numFmt w:val="decimal"/>
      <w:suff w:val="nothing"/>
      <w:lvlText w:val="（%1）"/>
      <w:lvlJc w:val="left"/>
    </w:lvl>
  </w:abstractNum>
  <w:abstractNum w:abstractNumId="5">
    <w:nsid w:val="2FB9112A"/>
    <w:multiLevelType w:val="singleLevel"/>
    <w:tmpl w:val="2FB9112A"/>
    <w:lvl w:ilvl="0" w:tentative="0">
      <w:start w:val="1"/>
      <w:numFmt w:val="decimal"/>
      <w:suff w:val="nothing"/>
      <w:lvlText w:val="（%1）"/>
      <w:lvlJc w:val="left"/>
    </w:lvl>
  </w:abstractNum>
  <w:abstractNum w:abstractNumId="6">
    <w:nsid w:val="58D9FDDC"/>
    <w:multiLevelType w:val="singleLevel"/>
    <w:tmpl w:val="58D9FDDC"/>
    <w:lvl w:ilvl="0" w:tentative="0">
      <w:start w:val="1"/>
      <w:numFmt w:val="decimal"/>
      <w:suff w:val="nothing"/>
      <w:lvlText w:val="%1、"/>
      <w:lvlJc w:val="left"/>
    </w:lvl>
  </w:abstractNum>
  <w:abstractNum w:abstractNumId="7">
    <w:nsid w:val="5A5422E8"/>
    <w:multiLevelType w:val="singleLevel"/>
    <w:tmpl w:val="5A5422E8"/>
    <w:lvl w:ilvl="0" w:tentative="0">
      <w:start w:val="5"/>
      <w:numFmt w:val="decimal"/>
      <w:suff w:val="nothing"/>
      <w:lvlText w:val="（%1）"/>
      <w:lvlJc w:val="left"/>
    </w:lvl>
  </w:abstractNum>
  <w:num w:numId="1">
    <w:abstractNumId w:val="2"/>
  </w:num>
  <w:num w:numId="2">
    <w:abstractNumId w:val="4"/>
  </w:num>
  <w:num w:numId="3">
    <w:abstractNumId w:val="6"/>
  </w:num>
  <w:num w:numId="4">
    <w:abstractNumId w:val="0"/>
  </w:num>
  <w:num w:numId="5">
    <w:abstractNumId w:val="5"/>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979D9"/>
    <w:rsid w:val="006E6FB6"/>
    <w:rsid w:val="00A5476B"/>
    <w:rsid w:val="00AB2D2C"/>
    <w:rsid w:val="00BB3B26"/>
    <w:rsid w:val="00BF7470"/>
    <w:rsid w:val="00D02BDE"/>
    <w:rsid w:val="00D80736"/>
    <w:rsid w:val="01251623"/>
    <w:rsid w:val="012C699A"/>
    <w:rsid w:val="012C6ED4"/>
    <w:rsid w:val="01537BA6"/>
    <w:rsid w:val="01ED728B"/>
    <w:rsid w:val="028420BB"/>
    <w:rsid w:val="02C34A90"/>
    <w:rsid w:val="02CA2769"/>
    <w:rsid w:val="02D222DF"/>
    <w:rsid w:val="031700E7"/>
    <w:rsid w:val="03480016"/>
    <w:rsid w:val="03B23DB7"/>
    <w:rsid w:val="03B25A0F"/>
    <w:rsid w:val="041A7BC4"/>
    <w:rsid w:val="045A6D8F"/>
    <w:rsid w:val="04A20F09"/>
    <w:rsid w:val="04B80706"/>
    <w:rsid w:val="04CC3345"/>
    <w:rsid w:val="04EA386A"/>
    <w:rsid w:val="05A75C97"/>
    <w:rsid w:val="06751C00"/>
    <w:rsid w:val="075C2429"/>
    <w:rsid w:val="0773334D"/>
    <w:rsid w:val="07A818D1"/>
    <w:rsid w:val="07B939C1"/>
    <w:rsid w:val="084E412E"/>
    <w:rsid w:val="085959C7"/>
    <w:rsid w:val="08604410"/>
    <w:rsid w:val="087C7A1A"/>
    <w:rsid w:val="089D3342"/>
    <w:rsid w:val="08BB12DD"/>
    <w:rsid w:val="093C121C"/>
    <w:rsid w:val="09731E43"/>
    <w:rsid w:val="099D6982"/>
    <w:rsid w:val="0A334895"/>
    <w:rsid w:val="0A7E065C"/>
    <w:rsid w:val="0ABD0118"/>
    <w:rsid w:val="0AD55C97"/>
    <w:rsid w:val="0B1A293B"/>
    <w:rsid w:val="0B2B08F6"/>
    <w:rsid w:val="0B381AB2"/>
    <w:rsid w:val="0B741C7E"/>
    <w:rsid w:val="0C474041"/>
    <w:rsid w:val="0C50132B"/>
    <w:rsid w:val="0CA9229F"/>
    <w:rsid w:val="0CE00402"/>
    <w:rsid w:val="0CF66EBE"/>
    <w:rsid w:val="0D4A2D05"/>
    <w:rsid w:val="0D5F31CE"/>
    <w:rsid w:val="0D6E582C"/>
    <w:rsid w:val="0D7F5C2E"/>
    <w:rsid w:val="0D9215EA"/>
    <w:rsid w:val="0DF709A0"/>
    <w:rsid w:val="0E200780"/>
    <w:rsid w:val="0E75373A"/>
    <w:rsid w:val="0E9855E0"/>
    <w:rsid w:val="0EA400B8"/>
    <w:rsid w:val="0EE50FCF"/>
    <w:rsid w:val="0F1B4911"/>
    <w:rsid w:val="0F252BF0"/>
    <w:rsid w:val="0F296CA1"/>
    <w:rsid w:val="0F4F4007"/>
    <w:rsid w:val="0F5A512E"/>
    <w:rsid w:val="0F686EC1"/>
    <w:rsid w:val="0FE40122"/>
    <w:rsid w:val="0FFF24D9"/>
    <w:rsid w:val="1054632E"/>
    <w:rsid w:val="105C6D89"/>
    <w:rsid w:val="109D0C32"/>
    <w:rsid w:val="10E56AE2"/>
    <w:rsid w:val="10F50ABF"/>
    <w:rsid w:val="11336C20"/>
    <w:rsid w:val="126F1D6C"/>
    <w:rsid w:val="126F4B21"/>
    <w:rsid w:val="128B70FE"/>
    <w:rsid w:val="12A95B0A"/>
    <w:rsid w:val="13105EA3"/>
    <w:rsid w:val="1320748B"/>
    <w:rsid w:val="13252B1B"/>
    <w:rsid w:val="13413D9C"/>
    <w:rsid w:val="13EC182E"/>
    <w:rsid w:val="13ED792A"/>
    <w:rsid w:val="14067C66"/>
    <w:rsid w:val="14B5513A"/>
    <w:rsid w:val="15192502"/>
    <w:rsid w:val="15463C0E"/>
    <w:rsid w:val="155837B0"/>
    <w:rsid w:val="156455DC"/>
    <w:rsid w:val="15A7707C"/>
    <w:rsid w:val="1605318F"/>
    <w:rsid w:val="160637DC"/>
    <w:rsid w:val="16150C4E"/>
    <w:rsid w:val="163A40B2"/>
    <w:rsid w:val="163B0F39"/>
    <w:rsid w:val="169E5709"/>
    <w:rsid w:val="16D1242A"/>
    <w:rsid w:val="17030344"/>
    <w:rsid w:val="17097A28"/>
    <w:rsid w:val="175915EE"/>
    <w:rsid w:val="175B167F"/>
    <w:rsid w:val="17761B28"/>
    <w:rsid w:val="17A12CA2"/>
    <w:rsid w:val="18397414"/>
    <w:rsid w:val="187869FE"/>
    <w:rsid w:val="18BF7EA2"/>
    <w:rsid w:val="18C75592"/>
    <w:rsid w:val="194E27F3"/>
    <w:rsid w:val="196F7026"/>
    <w:rsid w:val="19D75334"/>
    <w:rsid w:val="19E24F93"/>
    <w:rsid w:val="19E80B31"/>
    <w:rsid w:val="1A0A725F"/>
    <w:rsid w:val="1A3B3753"/>
    <w:rsid w:val="1A7F3BDF"/>
    <w:rsid w:val="1B5860BE"/>
    <w:rsid w:val="1B776624"/>
    <w:rsid w:val="1B7B288A"/>
    <w:rsid w:val="1B7B2DB3"/>
    <w:rsid w:val="1B937683"/>
    <w:rsid w:val="1BBE4D1B"/>
    <w:rsid w:val="1BD94C41"/>
    <w:rsid w:val="1BF734B8"/>
    <w:rsid w:val="1C7D37D2"/>
    <w:rsid w:val="1D05573A"/>
    <w:rsid w:val="1D5E2B19"/>
    <w:rsid w:val="1D855E38"/>
    <w:rsid w:val="1DB85D3B"/>
    <w:rsid w:val="1DC76E0A"/>
    <w:rsid w:val="1DFE3F18"/>
    <w:rsid w:val="1E525CD2"/>
    <w:rsid w:val="1E5A3C48"/>
    <w:rsid w:val="1E5C6403"/>
    <w:rsid w:val="1E920CE7"/>
    <w:rsid w:val="1EA84C68"/>
    <w:rsid w:val="1EBC5674"/>
    <w:rsid w:val="1F02375D"/>
    <w:rsid w:val="1F1B6FD2"/>
    <w:rsid w:val="1F573166"/>
    <w:rsid w:val="1F627DC1"/>
    <w:rsid w:val="1F730712"/>
    <w:rsid w:val="1FAA7A3C"/>
    <w:rsid w:val="20083F96"/>
    <w:rsid w:val="20BC0D3E"/>
    <w:rsid w:val="20CA2AA1"/>
    <w:rsid w:val="212B350B"/>
    <w:rsid w:val="21AD7475"/>
    <w:rsid w:val="21B64F9C"/>
    <w:rsid w:val="21B95587"/>
    <w:rsid w:val="21F0430F"/>
    <w:rsid w:val="223F6C8A"/>
    <w:rsid w:val="22837D4A"/>
    <w:rsid w:val="22A1191E"/>
    <w:rsid w:val="22C1006C"/>
    <w:rsid w:val="23B07BEF"/>
    <w:rsid w:val="23D6341B"/>
    <w:rsid w:val="249F182C"/>
    <w:rsid w:val="24AF218B"/>
    <w:rsid w:val="24DD0566"/>
    <w:rsid w:val="25505230"/>
    <w:rsid w:val="255E0375"/>
    <w:rsid w:val="259047CF"/>
    <w:rsid w:val="262C7D79"/>
    <w:rsid w:val="26367130"/>
    <w:rsid w:val="263B7536"/>
    <w:rsid w:val="264A7D25"/>
    <w:rsid w:val="269D3B55"/>
    <w:rsid w:val="26DF66F7"/>
    <w:rsid w:val="26EA0177"/>
    <w:rsid w:val="27555984"/>
    <w:rsid w:val="280C0F8E"/>
    <w:rsid w:val="28AF6E2E"/>
    <w:rsid w:val="28FA1B1E"/>
    <w:rsid w:val="290B19F1"/>
    <w:rsid w:val="29840BCC"/>
    <w:rsid w:val="299D4879"/>
    <w:rsid w:val="29A97271"/>
    <w:rsid w:val="29F00616"/>
    <w:rsid w:val="2A00545A"/>
    <w:rsid w:val="2A107F92"/>
    <w:rsid w:val="2A2D121D"/>
    <w:rsid w:val="2A4A1CB8"/>
    <w:rsid w:val="2AA10B6E"/>
    <w:rsid w:val="2AED39CF"/>
    <w:rsid w:val="2AFB72EB"/>
    <w:rsid w:val="2AFC663C"/>
    <w:rsid w:val="2C723092"/>
    <w:rsid w:val="2D223474"/>
    <w:rsid w:val="2D373B63"/>
    <w:rsid w:val="2D631C5C"/>
    <w:rsid w:val="2DAD0415"/>
    <w:rsid w:val="2DBE2EDD"/>
    <w:rsid w:val="2DD5244F"/>
    <w:rsid w:val="2DF92A51"/>
    <w:rsid w:val="2E2D0BC6"/>
    <w:rsid w:val="2EBC751F"/>
    <w:rsid w:val="2EE62C43"/>
    <w:rsid w:val="2F0444E8"/>
    <w:rsid w:val="2FE63320"/>
    <w:rsid w:val="30080DF9"/>
    <w:rsid w:val="300F4914"/>
    <w:rsid w:val="3093188B"/>
    <w:rsid w:val="314B3240"/>
    <w:rsid w:val="315E7119"/>
    <w:rsid w:val="31D50506"/>
    <w:rsid w:val="31D56300"/>
    <w:rsid w:val="326F07FD"/>
    <w:rsid w:val="327C7213"/>
    <w:rsid w:val="32C20E64"/>
    <w:rsid w:val="330E44C1"/>
    <w:rsid w:val="33191327"/>
    <w:rsid w:val="33C07CB2"/>
    <w:rsid w:val="34141ABD"/>
    <w:rsid w:val="34186545"/>
    <w:rsid w:val="34862ED5"/>
    <w:rsid w:val="34C90403"/>
    <w:rsid w:val="34CA1306"/>
    <w:rsid w:val="352007F1"/>
    <w:rsid w:val="356E2B1A"/>
    <w:rsid w:val="35A471F8"/>
    <w:rsid w:val="35AC4EBD"/>
    <w:rsid w:val="35B35257"/>
    <w:rsid w:val="35FD5491"/>
    <w:rsid w:val="362C7D09"/>
    <w:rsid w:val="366A119C"/>
    <w:rsid w:val="366A37EC"/>
    <w:rsid w:val="3674724C"/>
    <w:rsid w:val="373D1016"/>
    <w:rsid w:val="37576A78"/>
    <w:rsid w:val="37880147"/>
    <w:rsid w:val="37A20C1F"/>
    <w:rsid w:val="37B432A6"/>
    <w:rsid w:val="37CF0AFE"/>
    <w:rsid w:val="37D03885"/>
    <w:rsid w:val="38007ED5"/>
    <w:rsid w:val="38163A37"/>
    <w:rsid w:val="382D79A0"/>
    <w:rsid w:val="385244CB"/>
    <w:rsid w:val="385A3C25"/>
    <w:rsid w:val="38A756B6"/>
    <w:rsid w:val="38F05744"/>
    <w:rsid w:val="38FB0FAB"/>
    <w:rsid w:val="39264F55"/>
    <w:rsid w:val="39B22E74"/>
    <w:rsid w:val="39BD3127"/>
    <w:rsid w:val="39D77B0A"/>
    <w:rsid w:val="3A581CB6"/>
    <w:rsid w:val="3AF132A6"/>
    <w:rsid w:val="3B566325"/>
    <w:rsid w:val="3BBA4274"/>
    <w:rsid w:val="3BBF7A66"/>
    <w:rsid w:val="3BEC3D39"/>
    <w:rsid w:val="3BF02C48"/>
    <w:rsid w:val="3C09313B"/>
    <w:rsid w:val="3C292B26"/>
    <w:rsid w:val="3C396ADD"/>
    <w:rsid w:val="3C442EF9"/>
    <w:rsid w:val="3C4841FB"/>
    <w:rsid w:val="3C732E46"/>
    <w:rsid w:val="3C8A6B6B"/>
    <w:rsid w:val="3C8F5EBF"/>
    <w:rsid w:val="3CDD3727"/>
    <w:rsid w:val="3D247453"/>
    <w:rsid w:val="3D286966"/>
    <w:rsid w:val="3D387AD6"/>
    <w:rsid w:val="3D586497"/>
    <w:rsid w:val="3DB13BEC"/>
    <w:rsid w:val="3DC61981"/>
    <w:rsid w:val="3E052D0C"/>
    <w:rsid w:val="3E500F4D"/>
    <w:rsid w:val="3E595224"/>
    <w:rsid w:val="3E930493"/>
    <w:rsid w:val="3EB5515C"/>
    <w:rsid w:val="3F0470C0"/>
    <w:rsid w:val="3F520318"/>
    <w:rsid w:val="3F9C399C"/>
    <w:rsid w:val="3FA254ED"/>
    <w:rsid w:val="40FD4C62"/>
    <w:rsid w:val="412E5A4E"/>
    <w:rsid w:val="413A64AC"/>
    <w:rsid w:val="415E60F4"/>
    <w:rsid w:val="41C97168"/>
    <w:rsid w:val="41CD7091"/>
    <w:rsid w:val="42406F3C"/>
    <w:rsid w:val="42B02EBF"/>
    <w:rsid w:val="43934F5A"/>
    <w:rsid w:val="43AB2B72"/>
    <w:rsid w:val="44D21F7A"/>
    <w:rsid w:val="44DE485B"/>
    <w:rsid w:val="44E615BC"/>
    <w:rsid w:val="44FA7DB0"/>
    <w:rsid w:val="456B429C"/>
    <w:rsid w:val="457201B0"/>
    <w:rsid w:val="459D6827"/>
    <w:rsid w:val="45CC2B78"/>
    <w:rsid w:val="4690581D"/>
    <w:rsid w:val="472926A5"/>
    <w:rsid w:val="473276D3"/>
    <w:rsid w:val="47492730"/>
    <w:rsid w:val="477C1469"/>
    <w:rsid w:val="47D15AF1"/>
    <w:rsid w:val="481F13B5"/>
    <w:rsid w:val="48BD7E57"/>
    <w:rsid w:val="48FF25AE"/>
    <w:rsid w:val="494975B5"/>
    <w:rsid w:val="4A0225EC"/>
    <w:rsid w:val="4A672AEB"/>
    <w:rsid w:val="4AAD7DC7"/>
    <w:rsid w:val="4B0C33CB"/>
    <w:rsid w:val="4B4E3DC3"/>
    <w:rsid w:val="4BD51F2F"/>
    <w:rsid w:val="4BE154D8"/>
    <w:rsid w:val="4BF12CDA"/>
    <w:rsid w:val="4BF6621A"/>
    <w:rsid w:val="4C5732F9"/>
    <w:rsid w:val="4C620137"/>
    <w:rsid w:val="4C762CC1"/>
    <w:rsid w:val="4D996FC4"/>
    <w:rsid w:val="4E655717"/>
    <w:rsid w:val="4EC31E43"/>
    <w:rsid w:val="4EFC155B"/>
    <w:rsid w:val="4F461097"/>
    <w:rsid w:val="4F58707D"/>
    <w:rsid w:val="4FBF62C4"/>
    <w:rsid w:val="4FF32489"/>
    <w:rsid w:val="5038485A"/>
    <w:rsid w:val="50637155"/>
    <w:rsid w:val="5082011B"/>
    <w:rsid w:val="50953467"/>
    <w:rsid w:val="5098554F"/>
    <w:rsid w:val="509E2626"/>
    <w:rsid w:val="51213AF0"/>
    <w:rsid w:val="5134210A"/>
    <w:rsid w:val="514F5C1B"/>
    <w:rsid w:val="51657FEC"/>
    <w:rsid w:val="517148B1"/>
    <w:rsid w:val="51936240"/>
    <w:rsid w:val="51A2108D"/>
    <w:rsid w:val="522D440B"/>
    <w:rsid w:val="52367B2A"/>
    <w:rsid w:val="52CE2922"/>
    <w:rsid w:val="52DC6035"/>
    <w:rsid w:val="52F05B2B"/>
    <w:rsid w:val="53014681"/>
    <w:rsid w:val="53413A3C"/>
    <w:rsid w:val="53773C23"/>
    <w:rsid w:val="53B46B6E"/>
    <w:rsid w:val="53F05D9F"/>
    <w:rsid w:val="547C3832"/>
    <w:rsid w:val="54C0128F"/>
    <w:rsid w:val="54FD529F"/>
    <w:rsid w:val="55245106"/>
    <w:rsid w:val="55960FE6"/>
    <w:rsid w:val="55A7474B"/>
    <w:rsid w:val="55CB6CB5"/>
    <w:rsid w:val="560C1CAB"/>
    <w:rsid w:val="56314953"/>
    <w:rsid w:val="56746738"/>
    <w:rsid w:val="57B90C8B"/>
    <w:rsid w:val="57DB03CF"/>
    <w:rsid w:val="5807724F"/>
    <w:rsid w:val="586567CF"/>
    <w:rsid w:val="58662C5F"/>
    <w:rsid w:val="592552A2"/>
    <w:rsid w:val="59766B27"/>
    <w:rsid w:val="59F53579"/>
    <w:rsid w:val="5A075A12"/>
    <w:rsid w:val="5ACB7887"/>
    <w:rsid w:val="5AD21561"/>
    <w:rsid w:val="5B3D2008"/>
    <w:rsid w:val="5B830A70"/>
    <w:rsid w:val="5BBF3994"/>
    <w:rsid w:val="5BDF7125"/>
    <w:rsid w:val="5BE54FBD"/>
    <w:rsid w:val="5BEE587D"/>
    <w:rsid w:val="5BEE5E9B"/>
    <w:rsid w:val="5BF81B9A"/>
    <w:rsid w:val="5C0F5BE6"/>
    <w:rsid w:val="5C3717D7"/>
    <w:rsid w:val="5CD43F97"/>
    <w:rsid w:val="5CFA1EE4"/>
    <w:rsid w:val="5D1960A9"/>
    <w:rsid w:val="5D3459F3"/>
    <w:rsid w:val="5D4B2E6E"/>
    <w:rsid w:val="5D895BD8"/>
    <w:rsid w:val="5DBF3E65"/>
    <w:rsid w:val="5DBF576F"/>
    <w:rsid w:val="5DC7438E"/>
    <w:rsid w:val="5DD44363"/>
    <w:rsid w:val="5DF66E77"/>
    <w:rsid w:val="5E026A40"/>
    <w:rsid w:val="5EAB4D82"/>
    <w:rsid w:val="5EB86B77"/>
    <w:rsid w:val="5EF95DBC"/>
    <w:rsid w:val="5F0E2F0C"/>
    <w:rsid w:val="5F274C99"/>
    <w:rsid w:val="5FC47A50"/>
    <w:rsid w:val="602761D1"/>
    <w:rsid w:val="60293432"/>
    <w:rsid w:val="6066441E"/>
    <w:rsid w:val="60751414"/>
    <w:rsid w:val="60A25A5C"/>
    <w:rsid w:val="614E0834"/>
    <w:rsid w:val="61652425"/>
    <w:rsid w:val="618E2AB9"/>
    <w:rsid w:val="61A231D1"/>
    <w:rsid w:val="61AD66E7"/>
    <w:rsid w:val="61AF7B5C"/>
    <w:rsid w:val="61EB06DC"/>
    <w:rsid w:val="6217128A"/>
    <w:rsid w:val="621B3DEA"/>
    <w:rsid w:val="62511598"/>
    <w:rsid w:val="62664C5E"/>
    <w:rsid w:val="62CE6C7D"/>
    <w:rsid w:val="62EA0CD9"/>
    <w:rsid w:val="62F76F93"/>
    <w:rsid w:val="62FF4B76"/>
    <w:rsid w:val="634243AE"/>
    <w:rsid w:val="638D384D"/>
    <w:rsid w:val="63944EE0"/>
    <w:rsid w:val="64215CB6"/>
    <w:rsid w:val="642816D3"/>
    <w:rsid w:val="6431460C"/>
    <w:rsid w:val="649B572A"/>
    <w:rsid w:val="64A01007"/>
    <w:rsid w:val="64A30270"/>
    <w:rsid w:val="650F5980"/>
    <w:rsid w:val="65345A85"/>
    <w:rsid w:val="653E7FCB"/>
    <w:rsid w:val="654F05FC"/>
    <w:rsid w:val="658C615E"/>
    <w:rsid w:val="65B81012"/>
    <w:rsid w:val="65CE10A2"/>
    <w:rsid w:val="65F00C99"/>
    <w:rsid w:val="6659335A"/>
    <w:rsid w:val="66825797"/>
    <w:rsid w:val="668C439D"/>
    <w:rsid w:val="66BB0167"/>
    <w:rsid w:val="670A5283"/>
    <w:rsid w:val="679B49A5"/>
    <w:rsid w:val="67AE60AB"/>
    <w:rsid w:val="68052F55"/>
    <w:rsid w:val="6886397D"/>
    <w:rsid w:val="68A119D6"/>
    <w:rsid w:val="68A6059B"/>
    <w:rsid w:val="696667DB"/>
    <w:rsid w:val="69692424"/>
    <w:rsid w:val="69980238"/>
    <w:rsid w:val="699F11FF"/>
    <w:rsid w:val="69B3342D"/>
    <w:rsid w:val="69FC0FF9"/>
    <w:rsid w:val="6A15727B"/>
    <w:rsid w:val="6A1B258C"/>
    <w:rsid w:val="6A224AE3"/>
    <w:rsid w:val="6AAA699E"/>
    <w:rsid w:val="6AB540F6"/>
    <w:rsid w:val="6AD26E43"/>
    <w:rsid w:val="6AD75CD1"/>
    <w:rsid w:val="6AFD40E0"/>
    <w:rsid w:val="6B59061B"/>
    <w:rsid w:val="6BC04A3F"/>
    <w:rsid w:val="6BFD18EE"/>
    <w:rsid w:val="6C0A22F5"/>
    <w:rsid w:val="6C12183C"/>
    <w:rsid w:val="6C3B68A7"/>
    <w:rsid w:val="6C8E56DF"/>
    <w:rsid w:val="6C9F73DA"/>
    <w:rsid w:val="6CC91DB0"/>
    <w:rsid w:val="6D514832"/>
    <w:rsid w:val="6D5E1E5B"/>
    <w:rsid w:val="6D6A06B2"/>
    <w:rsid w:val="6E5F00C8"/>
    <w:rsid w:val="6E647D3D"/>
    <w:rsid w:val="6E680432"/>
    <w:rsid w:val="6E6C222A"/>
    <w:rsid w:val="6E830C92"/>
    <w:rsid w:val="6E8F10F3"/>
    <w:rsid w:val="6EE817DF"/>
    <w:rsid w:val="6F3377B5"/>
    <w:rsid w:val="6F523FB2"/>
    <w:rsid w:val="6F710251"/>
    <w:rsid w:val="6FC12203"/>
    <w:rsid w:val="702969B0"/>
    <w:rsid w:val="70461721"/>
    <w:rsid w:val="707030CE"/>
    <w:rsid w:val="70A45711"/>
    <w:rsid w:val="70A62537"/>
    <w:rsid w:val="70CB5880"/>
    <w:rsid w:val="70FD558B"/>
    <w:rsid w:val="711273C9"/>
    <w:rsid w:val="71200EFC"/>
    <w:rsid w:val="715617FC"/>
    <w:rsid w:val="716E192F"/>
    <w:rsid w:val="71E56863"/>
    <w:rsid w:val="71EC3E1D"/>
    <w:rsid w:val="72025C99"/>
    <w:rsid w:val="722F233E"/>
    <w:rsid w:val="72506A8C"/>
    <w:rsid w:val="727D4567"/>
    <w:rsid w:val="72920B39"/>
    <w:rsid w:val="72C46761"/>
    <w:rsid w:val="735B1821"/>
    <w:rsid w:val="7364625A"/>
    <w:rsid w:val="73E263FA"/>
    <w:rsid w:val="74043CC1"/>
    <w:rsid w:val="742E5F39"/>
    <w:rsid w:val="745B6156"/>
    <w:rsid w:val="75161D42"/>
    <w:rsid w:val="75292FA9"/>
    <w:rsid w:val="75920A82"/>
    <w:rsid w:val="75B52C49"/>
    <w:rsid w:val="75D00A98"/>
    <w:rsid w:val="75D1112F"/>
    <w:rsid w:val="75F933EB"/>
    <w:rsid w:val="76205732"/>
    <w:rsid w:val="76205C58"/>
    <w:rsid w:val="764B7624"/>
    <w:rsid w:val="76C74CCB"/>
    <w:rsid w:val="770B7230"/>
    <w:rsid w:val="77642888"/>
    <w:rsid w:val="77A46CCC"/>
    <w:rsid w:val="77C41F48"/>
    <w:rsid w:val="77E50161"/>
    <w:rsid w:val="77F034AF"/>
    <w:rsid w:val="780C3613"/>
    <w:rsid w:val="78410810"/>
    <w:rsid w:val="78F213F4"/>
    <w:rsid w:val="78F62769"/>
    <w:rsid w:val="79103937"/>
    <w:rsid w:val="791545D7"/>
    <w:rsid w:val="794F29E6"/>
    <w:rsid w:val="79814785"/>
    <w:rsid w:val="79922B48"/>
    <w:rsid w:val="799B1A6F"/>
    <w:rsid w:val="7A1D196E"/>
    <w:rsid w:val="7A2F48C8"/>
    <w:rsid w:val="7A821585"/>
    <w:rsid w:val="7A940E03"/>
    <w:rsid w:val="7AEF70BF"/>
    <w:rsid w:val="7AF72388"/>
    <w:rsid w:val="7B362CB0"/>
    <w:rsid w:val="7BC82649"/>
    <w:rsid w:val="7BD50A8E"/>
    <w:rsid w:val="7C0A23D5"/>
    <w:rsid w:val="7C461107"/>
    <w:rsid w:val="7C786D6D"/>
    <w:rsid w:val="7CE860C4"/>
    <w:rsid w:val="7CEA6F99"/>
    <w:rsid w:val="7D725EAD"/>
    <w:rsid w:val="7D7548FD"/>
    <w:rsid w:val="7DA64254"/>
    <w:rsid w:val="7DB759DC"/>
    <w:rsid w:val="7DE51942"/>
    <w:rsid w:val="7DE81363"/>
    <w:rsid w:val="7E397132"/>
    <w:rsid w:val="7E407ACF"/>
    <w:rsid w:val="7E7B1F5B"/>
    <w:rsid w:val="7EB63FAF"/>
    <w:rsid w:val="7EE573A8"/>
    <w:rsid w:val="7F2C1BCC"/>
    <w:rsid w:val="7F694C93"/>
    <w:rsid w:val="7F7734E3"/>
    <w:rsid w:val="7F9212D8"/>
    <w:rsid w:val="7FA10BF1"/>
    <w:rsid w:val="7FBE1B58"/>
    <w:rsid w:val="7FC64B6E"/>
    <w:rsid w:val="7FE413D1"/>
    <w:rsid w:val="7FF97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ind w:firstLine="0" w:firstLineChars="0"/>
      <w:outlineLvl w:val="1"/>
    </w:pPr>
    <w:rPr>
      <w:rFonts w:ascii="黑体" w:hAnsi="黑体" w:eastAsia="黑体"/>
      <w:b/>
      <w:bCs/>
      <w:kern w:val="0"/>
      <w:sz w:val="28"/>
      <w:szCs w:val="32"/>
    </w:rPr>
  </w:style>
  <w:style w:type="paragraph" w:styleId="5">
    <w:name w:val="heading 4"/>
    <w:basedOn w:val="1"/>
    <w:next w:val="1"/>
    <w:qFormat/>
    <w:uiPriority w:val="0"/>
    <w:pPr>
      <w:keepNext/>
      <w:jc w:val="center"/>
      <w:outlineLvl w:val="3"/>
    </w:pPr>
    <w:rPr>
      <w:sz w:val="28"/>
      <w:szCs w:val="20"/>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6">
    <w:name w:val="List Number"/>
    <w:basedOn w:val="1"/>
    <w:qFormat/>
    <w:uiPriority w:val="0"/>
    <w:pPr>
      <w:numPr>
        <w:ilvl w:val="0"/>
        <w:numId w:val="1"/>
      </w:numPr>
    </w:pPr>
  </w:style>
  <w:style w:type="paragraph" w:styleId="7">
    <w:name w:val="Normal Indent"/>
    <w:basedOn w:val="1"/>
    <w:qFormat/>
    <w:uiPriority w:val="0"/>
  </w:style>
  <w:style w:type="paragraph" w:styleId="8">
    <w:name w:val="caption"/>
    <w:basedOn w:val="1"/>
    <w:next w:val="1"/>
    <w:qFormat/>
    <w:uiPriority w:val="35"/>
    <w:rPr>
      <w:rFonts w:ascii="Arial" w:hAnsi="Arial" w:eastAsia="黑体" w:cs="Arial"/>
      <w:sz w:val="20"/>
      <w:szCs w:val="20"/>
    </w:rPr>
  </w:style>
  <w:style w:type="paragraph" w:styleId="9">
    <w:name w:val="annotation text"/>
    <w:basedOn w:val="1"/>
    <w:qFormat/>
    <w:uiPriority w:val="0"/>
    <w:pPr>
      <w:jc w:val="left"/>
    </w:pPr>
  </w:style>
  <w:style w:type="paragraph" w:styleId="10">
    <w:name w:val="Body Text"/>
    <w:basedOn w:val="1"/>
    <w:next w:val="11"/>
    <w:unhideWhenUsed/>
    <w:qFormat/>
    <w:uiPriority w:val="99"/>
    <w:pPr>
      <w:spacing w:after="120"/>
    </w:pPr>
  </w:style>
  <w:style w:type="paragraph" w:customStyle="1" w:styleId="11">
    <w:name w:val="xl27"/>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kern w:val="0"/>
      <w:szCs w:val="21"/>
    </w:rPr>
  </w:style>
  <w:style w:type="paragraph" w:styleId="12">
    <w:name w:val="Body Text Indent"/>
    <w:basedOn w:val="1"/>
    <w:unhideWhenUsed/>
    <w:qFormat/>
    <w:uiPriority w:val="99"/>
    <w:pPr>
      <w:spacing w:after="120"/>
      <w:ind w:left="420" w:leftChars="200"/>
    </w:pPr>
  </w:style>
  <w:style w:type="paragraph" w:styleId="13">
    <w:name w:val="Plain Text"/>
    <w:basedOn w:val="1"/>
    <w:qFormat/>
    <w:uiPriority w:val="0"/>
    <w:rPr>
      <w:rFonts w:ascii="Courier New" w:hAnsi="Courier New"/>
      <w:szCs w:val="20"/>
    </w:r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next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right" w:leader="dot" w:pos="8296"/>
      </w:tabs>
      <w:spacing w:line="360" w:lineRule="auto"/>
    </w:pPr>
  </w:style>
  <w:style w:type="paragraph" w:styleId="17">
    <w:name w:val="List"/>
    <w:basedOn w:val="1"/>
    <w:qFormat/>
    <w:uiPriority w:val="99"/>
    <w:pPr>
      <w:ind w:left="200" w:hanging="200" w:hangingChars="200"/>
      <w:contextualSpacing/>
    </w:pPr>
  </w:style>
  <w:style w:type="paragraph" w:styleId="18">
    <w:name w:val="Body Text 2"/>
    <w:basedOn w:val="1"/>
    <w:unhideWhenUsed/>
    <w:qFormat/>
    <w:uiPriority w:val="99"/>
    <w:pPr>
      <w:spacing w:after="120" w:line="480" w:lineRule="auto"/>
    </w:p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Body Text First Indent"/>
    <w:basedOn w:val="10"/>
    <w:qFormat/>
    <w:uiPriority w:val="0"/>
    <w:pPr>
      <w:ind w:firstLine="420" w:firstLineChars="100"/>
    </w:pPr>
  </w:style>
  <w:style w:type="paragraph" w:styleId="21">
    <w:name w:val="Body Text First Indent 2"/>
    <w:basedOn w:val="12"/>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table" w:styleId="23">
    <w:name w:val="Table Grid"/>
    <w:basedOn w:val="22"/>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Hyperlink"/>
    <w:unhideWhenUsed/>
    <w:qFormat/>
    <w:uiPriority w:val="99"/>
    <w:rPr>
      <w:color w:val="0000FF"/>
      <w:u w:val="single"/>
    </w:rPr>
  </w:style>
  <w:style w:type="character" w:styleId="26">
    <w:name w:val="annotation reference"/>
    <w:qFormat/>
    <w:uiPriority w:val="0"/>
    <w:rPr>
      <w:sz w:val="21"/>
      <w:szCs w:val="21"/>
    </w:rPr>
  </w:style>
  <w:style w:type="character" w:customStyle="1" w:styleId="27">
    <w:name w:val="标题 2 字符"/>
    <w:qFormat/>
    <w:uiPriority w:val="99"/>
    <w:rPr>
      <w:rFonts w:ascii="Times New Roman" w:hAnsi="Times New Roman" w:eastAsia="黑体" w:cs="Times New Roman"/>
      <w:b/>
      <w:bCs/>
      <w:sz w:val="28"/>
      <w:szCs w:val="32"/>
    </w:rPr>
  </w:style>
  <w:style w:type="paragraph" w:customStyle="1" w:styleId="28">
    <w:name w:val="表格题注"/>
    <w:qFormat/>
    <w:uiPriority w:val="0"/>
    <w:pPr>
      <w:jc w:val="center"/>
    </w:pPr>
    <w:rPr>
      <w:rFonts w:ascii="Times New Roman" w:hAnsi="Times New Roman" w:eastAsia="宋体" w:cs="Times New Roman"/>
      <w:b/>
      <w:sz w:val="21"/>
      <w:lang w:val="en-US" w:eastAsia="zh-CN" w:bidi="ar-SA"/>
    </w:rPr>
  </w:style>
  <w:style w:type="paragraph" w:customStyle="1" w:styleId="29">
    <w:name w:val="表格 32"/>
    <w:basedOn w:val="1"/>
    <w:qFormat/>
    <w:uiPriority w:val="0"/>
    <w:pPr>
      <w:autoSpaceDE w:val="0"/>
      <w:autoSpaceDN w:val="0"/>
      <w:adjustRightInd w:val="0"/>
      <w:spacing w:line="240" w:lineRule="atLeast"/>
      <w:jc w:val="center"/>
      <w:textAlignment w:val="baseline"/>
    </w:pPr>
    <w:rPr>
      <w:kern w:val="0"/>
      <w:sz w:val="24"/>
      <w:szCs w:val="20"/>
    </w:rPr>
  </w:style>
  <w:style w:type="paragraph" w:customStyle="1" w:styleId="30">
    <w:name w:val="样式 表格 32 + 首行缩进:  2 字符"/>
    <w:basedOn w:val="29"/>
    <w:qFormat/>
    <w:uiPriority w:val="0"/>
    <w:pPr>
      <w:spacing w:line="0" w:lineRule="atLeast"/>
      <w:textAlignment w:val="auto"/>
    </w:pPr>
    <w:rPr>
      <w:rFonts w:ascii="Times New Roman" w:hAnsi="Times New Roman"/>
      <w:sz w:val="20"/>
      <w:szCs w:val="21"/>
    </w:rPr>
  </w:style>
  <w:style w:type="character" w:customStyle="1" w:styleId="31">
    <w:name w:val="纯文本 Char"/>
    <w:qFormat/>
    <w:uiPriority w:val="0"/>
    <w:rPr>
      <w:rFonts w:ascii="Courier New" w:hAnsi="Courier New" w:eastAsia="宋体"/>
      <w:kern w:val="2"/>
      <w:sz w:val="21"/>
      <w:lang w:val="en-US" w:eastAsia="zh-CN" w:bidi="ar-SA"/>
    </w:rPr>
  </w:style>
  <w:style w:type="paragraph" w:customStyle="1" w:styleId="32">
    <w:name w:val="样式 样式 (符号) 宋体 小四 行距: 1.5 倍行距 + (符号) Times New Roman"/>
    <w:basedOn w:val="33"/>
    <w:qFormat/>
    <w:uiPriority w:val="0"/>
    <w:pPr>
      <w:adjustRightInd w:val="0"/>
      <w:snapToGrid w:val="0"/>
      <w:ind w:firstLine="200"/>
    </w:pPr>
    <w:rPr>
      <w:rFonts w:hAnsi="Times New Roman"/>
    </w:rPr>
  </w:style>
  <w:style w:type="paragraph" w:customStyle="1" w:styleId="33">
    <w:name w:val="样式 (符号) 宋体 小四 行距: 1.5 倍行距"/>
    <w:basedOn w:val="1"/>
    <w:semiHidden/>
    <w:qFormat/>
    <w:uiPriority w:val="0"/>
    <w:pPr>
      <w:spacing w:line="360" w:lineRule="auto"/>
      <w:ind w:firstLine="480" w:firstLineChars="200"/>
    </w:pPr>
    <w:rPr>
      <w:rFonts w:hAnsi="宋体" w:cs="宋体"/>
      <w:sz w:val="24"/>
      <w:szCs w:val="20"/>
    </w:rPr>
  </w:style>
  <w:style w:type="paragraph" w:customStyle="1" w:styleId="34">
    <w:name w:val="样式 行距: 固定值 24 磅 首行缩进:  2 字符"/>
    <w:basedOn w:val="1"/>
    <w:qFormat/>
    <w:uiPriority w:val="99"/>
    <w:pPr>
      <w:spacing w:line="480" w:lineRule="exact"/>
      <w:ind w:firstLine="480" w:firstLineChars="200"/>
    </w:pPr>
    <w:rPr>
      <w:rFonts w:ascii="Calibri" w:hAnsi="Calibri" w:eastAsia="宋体" w:cs="宋体"/>
      <w:sz w:val="24"/>
      <w:szCs w:val="20"/>
    </w:rPr>
  </w:style>
  <w:style w:type="paragraph" w:customStyle="1" w:styleId="35">
    <w:name w:val="样式 样式 (符号) 宋体 小四 行距: 1.5 倍行距 + 首行缩进:  0 字符"/>
    <w:basedOn w:val="33"/>
    <w:qFormat/>
    <w:uiPriority w:val="0"/>
    <w:pPr>
      <w:adjustRightInd w:val="0"/>
      <w:snapToGrid w:val="0"/>
      <w:ind w:firstLine="200"/>
    </w:pPr>
    <w:rPr>
      <w:rFonts w:hAnsi="Times New Roman"/>
      <w:kern w:val="0"/>
    </w:rPr>
  </w:style>
  <w:style w:type="paragraph" w:customStyle="1" w:styleId="36">
    <w:name w:val="BG1"/>
    <w:basedOn w:val="1"/>
    <w:qFormat/>
    <w:uiPriority w:val="0"/>
    <w:pPr>
      <w:ind w:firstLine="200" w:firstLineChars="200"/>
      <w:jc w:val="center"/>
    </w:pPr>
    <w:rPr>
      <w:rFonts w:ascii="Times New Roman" w:hAnsi="Times New Roman" w:cs="Times New Roman"/>
      <w:b/>
      <w:bCs/>
      <w:color w:val="000000"/>
      <w:kern w:val="0"/>
      <w:szCs w:val="20"/>
      <w:lang w:eastAsia="en-US"/>
    </w:rPr>
  </w:style>
  <w:style w:type="paragraph" w:customStyle="1" w:styleId="37">
    <w:name w:val="BG"/>
    <w:basedOn w:val="1"/>
    <w:qFormat/>
    <w:uiPriority w:val="0"/>
    <w:pPr>
      <w:jc w:val="center"/>
    </w:pPr>
    <w:rPr>
      <w:rFonts w:ascii="Times New Roman" w:hAnsi="Times New Roman" w:cs="Times New Roman"/>
      <w:szCs w:val="21"/>
    </w:rPr>
  </w:style>
  <w:style w:type="paragraph" w:customStyle="1" w:styleId="38">
    <w:name w:val="报告表格"/>
    <w:basedOn w:val="39"/>
    <w:qFormat/>
    <w:uiPriority w:val="0"/>
    <w:pPr>
      <w:pBdr>
        <w:top w:val="none" w:color="auto" w:sz="0" w:space="1"/>
        <w:left w:val="none" w:color="auto" w:sz="0" w:space="4"/>
        <w:bottom w:val="none" w:color="auto" w:sz="0" w:space="1"/>
        <w:right w:val="none" w:color="auto" w:sz="0" w:space="4"/>
      </w:pBdr>
      <w:suppressAutoHyphens w:val="0"/>
      <w:topLinePunct w:val="0"/>
    </w:pPr>
    <w:rPr>
      <w:szCs w:val="21"/>
      <w:lang w:val="en-US" w:eastAsia="zh-CN"/>
    </w:rPr>
  </w:style>
  <w:style w:type="paragraph" w:customStyle="1" w:styleId="39">
    <w:name w:val="sheet"/>
    <w:basedOn w:val="1"/>
    <w:qFormat/>
    <w:uiPriority w:val="0"/>
    <w:pPr>
      <w:suppressAutoHyphens/>
      <w:topLinePunct/>
      <w:jc w:val="center"/>
    </w:pPr>
    <w:rPr>
      <w:rFonts w:ascii="Times New Roman" w:hAnsi="Times New Roman"/>
      <w:kern w:val="0"/>
      <w:szCs w:val="24"/>
    </w:rPr>
  </w:style>
  <w:style w:type="paragraph" w:customStyle="1" w:styleId="40">
    <w:name w:val="正文 2 字符"/>
    <w:basedOn w:val="1"/>
    <w:qFormat/>
    <w:uiPriority w:val="0"/>
    <w:pPr>
      <w:spacing w:line="360" w:lineRule="auto"/>
      <w:ind w:firstLine="480" w:firstLineChars="200"/>
    </w:pPr>
    <w:rPr>
      <w:rFonts w:cs="宋体"/>
      <w:sz w:val="24"/>
      <w:szCs w:val="24"/>
    </w:rPr>
  </w:style>
  <w:style w:type="paragraph" w:customStyle="1" w:styleId="41">
    <w:name w:val="样式 样式 (符号) 宋体 小四 行距: 1.5 倍行距 + (符号) Times New Roman 上标"/>
    <w:basedOn w:val="33"/>
    <w:semiHidden/>
    <w:qFormat/>
    <w:uiPriority w:val="0"/>
    <w:pPr>
      <w:spacing w:line="480" w:lineRule="exact"/>
      <w:ind w:firstLine="200"/>
    </w:pPr>
    <w:rPr>
      <w:rFonts w:ascii="Times New Roman" w:hAnsi="Times New Roman"/>
    </w:rPr>
  </w:style>
  <w:style w:type="paragraph" w:customStyle="1" w:styleId="42">
    <w:name w:val="表格正文"/>
    <w:basedOn w:val="1"/>
    <w:next w:val="1"/>
    <w:qFormat/>
    <w:uiPriority w:val="0"/>
    <w:pPr>
      <w:snapToGrid w:val="0"/>
      <w:jc w:val="center"/>
    </w:pPr>
    <w:rPr>
      <w:color w:val="000000"/>
      <w:szCs w:val="21"/>
    </w:rPr>
  </w:style>
  <w:style w:type="paragraph" w:customStyle="1" w:styleId="43">
    <w:name w:val="table caption"/>
    <w:qFormat/>
    <w:uiPriority w:val="0"/>
    <w:pPr>
      <w:spacing w:before="120" w:after="120"/>
      <w:jc w:val="center"/>
    </w:pPr>
    <w:rPr>
      <w:rFonts w:ascii="Times New Roman" w:hAnsi="Times New Roman" w:eastAsia="黑体" w:cs="Times New Roman"/>
      <w:b/>
      <w:kern w:val="2"/>
      <w:sz w:val="24"/>
      <w:szCs w:val="24"/>
      <w:lang w:val="en-US" w:eastAsia="zh-CN" w:bidi="ar-SA"/>
    </w:rPr>
  </w:style>
  <w:style w:type="paragraph" w:customStyle="1" w:styleId="44">
    <w:name w:val="List Paragraph"/>
    <w:basedOn w:val="1"/>
    <w:qFormat/>
    <w:uiPriority w:val="0"/>
    <w:pPr>
      <w:ind w:firstLine="420" w:firstLineChars="200"/>
    </w:pPr>
    <w:rPr>
      <w:rFonts w:ascii="Calibri" w:hAnsi="Calibri"/>
      <w:sz w:val="21"/>
      <w:szCs w:val="22"/>
    </w:rPr>
  </w:style>
  <w:style w:type="paragraph" w:customStyle="1" w:styleId="45">
    <w:name w:val="黄酒表格标题"/>
    <w:qFormat/>
    <w:uiPriority w:val="0"/>
    <w:pPr>
      <w:tabs>
        <w:tab w:val="left" w:pos="-2848"/>
      </w:tabs>
      <w:jc w:val="center"/>
    </w:pPr>
    <w:rPr>
      <w:rFonts w:ascii="Times New Roman" w:hAnsi="Times New Roman" w:eastAsia="宋体" w:cs="宋体"/>
      <w:b/>
      <w:sz w:val="21"/>
      <w:szCs w:val="21"/>
      <w:lang w:val="en-US" w:eastAsia="zh-CN" w:bidi="ar-SA"/>
    </w:rPr>
  </w:style>
  <w:style w:type="character" w:customStyle="1" w:styleId="46">
    <w:name w:val="样式 正文01 + Times New Roman Char"/>
    <w:link w:val="47"/>
    <w:qFormat/>
    <w:uiPriority w:val="0"/>
    <w:rPr>
      <w:color w:val="000000"/>
      <w:kern w:val="0"/>
      <w:sz w:val="24"/>
    </w:rPr>
  </w:style>
  <w:style w:type="paragraph" w:customStyle="1" w:styleId="47">
    <w:name w:val="样式 正文01 + Times New Roman"/>
    <w:basedOn w:val="48"/>
    <w:link w:val="46"/>
    <w:qFormat/>
    <w:uiPriority w:val="0"/>
    <w:pPr>
      <w:adjustRightInd w:val="0"/>
      <w:spacing w:line="520" w:lineRule="exact"/>
      <w:ind w:firstLine="514" w:firstLineChars="214"/>
      <w:textAlignment w:val="baseline"/>
    </w:pPr>
    <w:rPr>
      <w:color w:val="000000"/>
      <w:kern w:val="0"/>
      <w:sz w:val="24"/>
    </w:rPr>
  </w:style>
  <w:style w:type="paragraph" w:customStyle="1" w:styleId="48">
    <w:name w:val="正文01"/>
    <w:basedOn w:val="1"/>
    <w:qFormat/>
    <w:uiPriority w:val="0"/>
    <w:pPr>
      <w:spacing w:line="360" w:lineRule="auto"/>
      <w:ind w:firstLine="200" w:firstLineChars="200"/>
    </w:pPr>
    <w:rPr>
      <w:sz w:val="28"/>
    </w:rPr>
  </w:style>
  <w:style w:type="paragraph" w:customStyle="1" w:styleId="49">
    <w:name w:val="表文"/>
    <w:basedOn w:val="1"/>
    <w:qFormat/>
    <w:uiPriority w:val="0"/>
    <w:pPr>
      <w:tabs>
        <w:tab w:val="left" w:pos="1021"/>
      </w:tabs>
      <w:jc w:val="center"/>
    </w:pPr>
    <w:rPr>
      <w:kern w:val="0"/>
      <w:position w:val="-24"/>
      <w:szCs w:val="21"/>
    </w:rPr>
  </w:style>
  <w:style w:type="paragraph" w:customStyle="1" w:styleId="50">
    <w:name w:val="表格字体"/>
    <w:basedOn w:val="1"/>
    <w:qFormat/>
    <w:uiPriority w:val="0"/>
    <w:pPr>
      <w:jc w:val="center"/>
    </w:pPr>
    <w:rPr>
      <w:rFonts w:ascii="Arial" w:hAnsi="Arial" w:cs="宋体"/>
      <w:sz w:val="21"/>
    </w:rPr>
  </w:style>
  <w:style w:type="paragraph" w:customStyle="1" w:styleId="51">
    <w:name w:val="正 文"/>
    <w:qFormat/>
    <w:uiPriority w:val="0"/>
    <w:pPr>
      <w:widowControl w:val="0"/>
      <w:spacing w:line="480" w:lineRule="exact"/>
      <w:ind w:firstLine="471"/>
      <w:jc w:val="both"/>
    </w:pPr>
    <w:rPr>
      <w:rFonts w:ascii="Arial" w:hAnsi="Arial" w:eastAsia="Times New Roman" w:cs="Times New Roman"/>
      <w:kern w:val="2"/>
      <w:sz w:val="24"/>
      <w:lang w:val="en-US" w:eastAsia="zh-CN" w:bidi="ar-SA"/>
    </w:rPr>
  </w:style>
  <w:style w:type="paragraph" w:customStyle="1" w:styleId="52">
    <w:name w:val="表格"/>
    <w:basedOn w:val="1"/>
    <w:qFormat/>
    <w:uiPriority w:val="0"/>
    <w:pPr>
      <w:spacing w:line="240" w:lineRule="auto"/>
      <w:ind w:firstLine="0" w:firstLineChars="0"/>
    </w:pPr>
    <w:rPr>
      <w:rFonts w:ascii="Times New Roman" w:hAnsi="Times New Roman"/>
      <w:sz w:val="21"/>
    </w:rPr>
  </w:style>
  <w:style w:type="paragraph" w:customStyle="1" w:styleId="53">
    <w:name w:val="表格文字"/>
    <w:basedOn w:val="1"/>
    <w:qFormat/>
    <w:uiPriority w:val="0"/>
    <w:pPr>
      <w:adjustRightInd w:val="0"/>
      <w:snapToGrid w:val="0"/>
      <w:jc w:val="center"/>
    </w:pPr>
    <w:rPr>
      <w:rFonts w:ascii="宋体" w:hAnsi="宋体"/>
      <w:kern w:val="0"/>
      <w:sz w:val="20"/>
      <w:szCs w:val="20"/>
    </w:rPr>
  </w:style>
  <w:style w:type="paragraph" w:customStyle="1" w:styleId="54">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55">
    <w:name w:val="样式1"/>
    <w:basedOn w:val="1"/>
    <w:qFormat/>
    <w:uiPriority w:val="0"/>
    <w:pPr>
      <w:tabs>
        <w:tab w:val="left" w:pos="8820"/>
      </w:tabs>
    </w:pPr>
  </w:style>
  <w:style w:type="character" w:customStyle="1" w:styleId="56">
    <w:name w:val="fontstyle11"/>
    <w:qFormat/>
    <w:uiPriority w:val="0"/>
    <w:rPr>
      <w:rFonts w:ascii="宋体" w:hAnsi="宋体" w:eastAsia="宋体" w:cs="宋体"/>
      <w:color w:val="000000"/>
      <w:sz w:val="24"/>
      <w:szCs w:val="24"/>
    </w:rPr>
  </w:style>
  <w:style w:type="paragraph" w:customStyle="1" w:styleId="57">
    <w:name w:val="MM正文"/>
    <w:basedOn w:val="1"/>
    <w:qFormat/>
    <w:uiPriority w:val="99"/>
    <w:pPr>
      <w:spacing w:line="480" w:lineRule="exact"/>
      <w:ind w:firstLine="200" w:firstLineChars="200"/>
    </w:pPr>
    <w:rPr>
      <w:rFonts w:cs="楷体"/>
      <w:sz w:val="24"/>
      <w:szCs w:val="20"/>
    </w:rPr>
  </w:style>
  <w:style w:type="paragraph" w:customStyle="1" w:styleId="58">
    <w:name w:val="无间隔1"/>
    <w:basedOn w:val="4"/>
    <w:qFormat/>
    <w:uiPriority w:val="1"/>
    <w:pPr>
      <w:keepNext w:val="0"/>
      <w:keepLines w:val="0"/>
      <w:tabs>
        <w:tab w:val="left" w:pos="1001"/>
      </w:tabs>
      <w:spacing w:before="440" w:after="440" w:line="400" w:lineRule="exact"/>
    </w:pPr>
    <w:rPr>
      <w:rFonts w:ascii="Times New Roman" w:hAnsi="Times New Roman"/>
      <w:color w:val="000000"/>
      <w:sz w:val="28"/>
    </w:rPr>
  </w:style>
  <w:style w:type="paragraph" w:customStyle="1" w:styleId="59">
    <w:name w:val="表格文字2"/>
    <w:basedOn w:val="1"/>
    <w:qFormat/>
    <w:uiPriority w:val="0"/>
    <w:pPr>
      <w:adjustRightInd w:val="0"/>
      <w:spacing w:before="60"/>
      <w:jc w:val="center"/>
      <w:textAlignment w:val="baseline"/>
    </w:pPr>
    <w:rPr>
      <w:rFonts w:ascii="宋体"/>
      <w:kern w:val="0"/>
      <w:sz w:val="24"/>
      <w:szCs w:val="20"/>
    </w:rPr>
  </w:style>
  <w:style w:type="paragraph" w:customStyle="1" w:styleId="60">
    <w:name w:val="表头"/>
    <w:basedOn w:val="6"/>
    <w:next w:val="17"/>
    <w:qFormat/>
    <w:uiPriority w:val="0"/>
    <w:pPr>
      <w:tabs>
        <w:tab w:val="left" w:pos="1021"/>
      </w:tabs>
      <w:jc w:val="center"/>
    </w:pPr>
    <w:rPr>
      <w:rFonts w:ascii="宋体"/>
      <w:b/>
      <w:color w:val="000000"/>
      <w:sz w:val="24"/>
      <w:szCs w:val="20"/>
    </w:rPr>
  </w:style>
  <w:style w:type="paragraph" w:customStyle="1" w:styleId="61">
    <w:name w:val="报告书正文"/>
    <w:basedOn w:val="1"/>
    <w:qFormat/>
    <w:uiPriority w:val="0"/>
    <w:pPr>
      <w:snapToGrid w:val="0"/>
      <w:spacing w:line="300" w:lineRule="auto"/>
      <w:ind w:firstLine="200" w:firstLineChars="200"/>
    </w:pPr>
    <w:rPr>
      <w:rFonts w:eastAsia="仿宋_GB2312"/>
      <w:sz w:val="28"/>
    </w:rPr>
  </w:style>
  <w:style w:type="paragraph" w:customStyle="1" w:styleId="62">
    <w:name w:val="环评表内容"/>
    <w:basedOn w:val="1"/>
    <w:qFormat/>
    <w:uiPriority w:val="99"/>
    <w:pPr>
      <w:spacing w:line="260" w:lineRule="exact"/>
      <w:jc w:val="center"/>
    </w:pPr>
    <w:rPr>
      <w:szCs w:val="20"/>
    </w:rPr>
  </w:style>
  <w:style w:type="character" w:customStyle="1" w:styleId="63">
    <w:name w:val="fontstyle01"/>
    <w:qFormat/>
    <w:uiPriority w:val="0"/>
    <w:rPr>
      <w:rFonts w:ascii="宋体" w:hAnsi="宋体" w:eastAsia="宋体" w:cs="宋体"/>
      <w:color w:val="000000"/>
      <w:sz w:val="24"/>
      <w:szCs w:val="24"/>
    </w:rPr>
  </w:style>
  <w:style w:type="paragraph" w:customStyle="1" w:styleId="64">
    <w:name w:val="headline4"/>
    <w:basedOn w:val="1"/>
    <w:next w:val="1"/>
    <w:qFormat/>
    <w:uiPriority w:val="0"/>
    <w:pPr>
      <w:spacing w:line="480" w:lineRule="exact"/>
      <w:jc w:val="left"/>
      <w:outlineLvl w:val="3"/>
    </w:pPr>
    <w:rPr>
      <w:b/>
      <w:kern w:val="0"/>
    </w:rPr>
  </w:style>
  <w:style w:type="paragraph" w:customStyle="1" w:styleId="65">
    <w:name w:val="headline3"/>
    <w:basedOn w:val="1"/>
    <w:qFormat/>
    <w:uiPriority w:val="0"/>
    <w:pPr>
      <w:keepNext/>
      <w:keepLines/>
      <w:ind w:firstLine="0" w:firstLineChars="0"/>
      <w:jc w:val="left"/>
      <w:outlineLvl w:val="2"/>
    </w:pPr>
    <w:rPr>
      <w:b/>
      <w:color w:val="0D0D0D"/>
      <w:kern w:val="0"/>
      <w:sz w:val="28"/>
    </w:rPr>
  </w:style>
  <w:style w:type="paragraph" w:customStyle="1" w:styleId="66">
    <w:name w:val="Char1"/>
    <w:basedOn w:val="1"/>
    <w:qFormat/>
    <w:uiPriority w:val="0"/>
    <w:pPr>
      <w:suppressAutoHyphens w:val="0"/>
      <w:topLinePunct w:val="0"/>
    </w:pPr>
    <w:rPr>
      <w:rFonts w:ascii="宋体" w:hAnsi="宋体"/>
      <w:kern w:val="0"/>
      <w:szCs w:val="20"/>
    </w:rPr>
  </w:style>
  <w:style w:type="paragraph" w:customStyle="1" w:styleId="67">
    <w:name w:val="报告正文"/>
    <w:basedOn w:val="1"/>
    <w:qFormat/>
    <w:uiPriority w:val="0"/>
    <w:pPr>
      <w:adjustRightInd w:val="0"/>
      <w:snapToGrid w:val="0"/>
      <w:spacing w:line="360" w:lineRule="auto"/>
      <w:ind w:firstLine="200" w:firstLineChars="200"/>
    </w:pPr>
    <w:rPr>
      <w:rFonts w:ascii="宋体"/>
      <w:sz w:val="24"/>
      <w:szCs w:val="20"/>
    </w:rPr>
  </w:style>
  <w:style w:type="character" w:customStyle="1" w:styleId="68">
    <w:name w:val="copyright1"/>
    <w:basedOn w:val="24"/>
    <w:qFormat/>
    <w:uiPriority w:val="0"/>
    <w:rPr>
      <w:rFonts w:hint="default" w:ascii="_x000B__x000C_" w:hAnsi="_x000B__x000C_"/>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wmf"/><Relationship Id="rId24" Type="http://schemas.openxmlformats.org/officeDocument/2006/relationships/oleObject" Target="embeddings/oleObject6.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4.bin"/><Relationship Id="rId17" Type="http://schemas.openxmlformats.org/officeDocument/2006/relationships/image" Target="media/image8.emf"/><Relationship Id="rId16" Type="http://schemas.openxmlformats.org/officeDocument/2006/relationships/oleObject" Target="embeddings/oleObject3.bin"/><Relationship Id="rId15" Type="http://schemas.openxmlformats.org/officeDocument/2006/relationships/image" Target="media/image7.emf"/><Relationship Id="rId14" Type="http://schemas.openxmlformats.org/officeDocument/2006/relationships/oleObject" Target="embeddings/oleObject2.bin"/><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64</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2020-08-18T06:23:00Z</dcterms:created>
  <dc:creator>Administrator</dc:creator>
  <cp:lastModifiedBy>Administrator</cp:lastModifiedBy>
  <cp:lastPrinted>2020-10-18T10:03:00Z</cp:lastPrinted>
  <dcterms:modified xsi:type="dcterms:W3CDTF">2020-11-04T07:40:22Z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