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年转移支付预算情况说明</w:t>
      </w:r>
    </w:p>
    <w:p/>
    <w:p>
      <w:pPr>
        <w:widowControl/>
        <w:ind w:firstLine="680" w:firstLineChars="200"/>
        <w:jc w:val="left"/>
        <w:rPr>
          <w:rFonts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  <w:lang w:val="en-US" w:eastAsia="zh-CN"/>
        </w:rPr>
        <w:t>2022年</w:t>
      </w:r>
      <w:r>
        <w:rPr>
          <w:rFonts w:ascii="Times New Roman" w:hAnsi="Times New Roman" w:eastAsia="仿宋_GB2312"/>
          <w:snapToGrid w:val="0"/>
          <w:spacing w:val="10"/>
          <w:kern w:val="0"/>
          <w:sz w:val="32"/>
          <w:szCs w:val="32"/>
        </w:rPr>
        <w:t>上级补助收入预计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  <w:lang w:val="en-US" w:eastAsia="zh-CN"/>
        </w:rPr>
        <w:t>68039</w:t>
      </w:r>
      <w:r>
        <w:rPr>
          <w:rFonts w:ascii="Times New Roman" w:hAnsi="Times New Roman" w:eastAsia="仿宋_GB2312"/>
          <w:snapToGrid w:val="0"/>
          <w:spacing w:val="10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  <w:lang w:val="en-US" w:eastAsia="zh-CN"/>
        </w:rPr>
        <w:t>同比增长1690万元，其中</w:t>
      </w:r>
      <w:r>
        <w:rPr>
          <w:rFonts w:ascii="Times New Roman" w:hAnsi="Times New Roman" w:eastAsia="仿宋_GB2312"/>
          <w:snapToGrid w:val="0"/>
          <w:spacing w:val="10"/>
          <w:kern w:val="0"/>
          <w:sz w:val="32"/>
          <w:szCs w:val="32"/>
        </w:rPr>
        <w:t>返还性收入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  <w:lang w:val="en-US" w:eastAsia="zh-CN"/>
        </w:rPr>
        <w:t>1468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</w:rPr>
        <w:t>一般性转移支付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  <w:lang w:val="en-US" w:eastAsia="zh-CN"/>
        </w:rPr>
        <w:t>47864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</w:rPr>
        <w:t>万元，同比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  <w:lang w:val="en-US" w:eastAsia="zh-CN"/>
        </w:rPr>
        <w:t>增加6880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</w:rPr>
        <w:t>专项转移支付收入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  <w:lang w:val="en-US" w:eastAsia="zh-CN"/>
        </w:rPr>
        <w:t>18707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</w:rPr>
        <w:t>万元，同比减少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  <w:lang w:val="en-US" w:eastAsia="zh-CN"/>
        </w:rPr>
        <w:t>5168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  <w:lang w:val="en-US" w:eastAsia="zh-CN"/>
        </w:rPr>
        <w:t>主要是专项转移支付调整到一般性转移支付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</w:rPr>
        <w:t>。</w:t>
      </w:r>
    </w:p>
    <w:p>
      <w:pPr>
        <w:widowControl/>
        <w:ind w:firstLine="680" w:firstLineChars="200"/>
        <w:jc w:val="left"/>
        <w:rPr>
          <w:rFonts w:ascii="Times New Roman" w:hAnsi="Times New Roman" w:eastAsia="仿宋_GB2312"/>
          <w:snapToGrid w:val="0"/>
          <w:color w:val="0000FF"/>
          <w:spacing w:val="1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1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</w:rPr>
        <w:t>一般性转移支付中：均衡性转移支付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  <w:lang w:val="en-US" w:eastAsia="zh-CN"/>
        </w:rPr>
        <w:t>13998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</w:rPr>
        <w:t>万元、县级财力保障机制奖补收入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  <w:lang w:val="en-US" w:eastAsia="zh-CN"/>
        </w:rPr>
        <w:t>2595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</w:rPr>
        <w:t>万元、结算补助收入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  <w:lang w:val="en-US" w:eastAsia="zh-CN"/>
        </w:rPr>
        <w:t>1188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</w:rPr>
        <w:t xml:space="preserve">万元、企事业单位划转补助收入 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</w:rPr>
        <w:t>万元、重点生态功能区转移支付收入2755万元、固定数额补助收入2880万元、革命老区转移支付收入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  <w:lang w:val="en-US" w:eastAsia="zh-CN"/>
        </w:rPr>
        <w:t>140万元、欠发达地区转移支付收入3180万元、公共安全共同财政事权转移支付收入408万元、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  <w:lang w:eastAsia="zh-CN"/>
        </w:rPr>
        <w:t>教育共同财政事权转移支付收入</w:t>
      </w:r>
      <w:r>
        <w:rPr>
          <w:rFonts w:hint="eastAsia" w:ascii="Times New Roman" w:hAnsi="Times New Roman" w:eastAsia="仿宋_GB2312"/>
          <w:snapToGrid w:val="0"/>
          <w:spacing w:val="10"/>
          <w:kern w:val="0"/>
          <w:sz w:val="32"/>
          <w:szCs w:val="32"/>
          <w:lang w:val="en-US" w:eastAsia="zh-CN"/>
        </w:rPr>
        <w:t>2512万元、文化旅游体育与传媒共同财政事权转移支付收入447万元、社会保障和就业共同财政事权转移支付收入4432万元、医疗卫生公共财政事务转移支付3311万元、节能环保共同财政事权转移支付收入395万元、农林水共同财权事务转移支付收入1256万元、交通运输共同财政事权转移支付收入400万元、住房保障共同财政事权转移支付收入2181万元、粮油物资储备共同财政事权转移支付收入127万元、 灾害防治及应急管理共同财政事权转移支付收入200万元、其他一般性转移支付收入5436万元</w:t>
      </w:r>
      <w:r>
        <w:rPr>
          <w:rFonts w:hint="eastAsia" w:ascii="Times New Roman" w:hAnsi="Times New Roman" w:eastAsia="仿宋_GB2312"/>
          <w:snapToGrid w:val="0"/>
          <w:color w:val="auto"/>
          <w:spacing w:val="10"/>
          <w:kern w:val="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WZlMjJjOTJkODkwMWFlMzA4ZTA0ZmVhN2VlMGYifQ=="/>
  </w:docVars>
  <w:rsids>
    <w:rsidRoot w:val="001B4774"/>
    <w:rsid w:val="00004DD1"/>
    <w:rsid w:val="00040D0E"/>
    <w:rsid w:val="000B16D6"/>
    <w:rsid w:val="001B4774"/>
    <w:rsid w:val="0020064B"/>
    <w:rsid w:val="002D30CC"/>
    <w:rsid w:val="002E3122"/>
    <w:rsid w:val="003B0452"/>
    <w:rsid w:val="00431416"/>
    <w:rsid w:val="005428E9"/>
    <w:rsid w:val="00562756"/>
    <w:rsid w:val="00600F56"/>
    <w:rsid w:val="006E2A43"/>
    <w:rsid w:val="00734C01"/>
    <w:rsid w:val="00872235"/>
    <w:rsid w:val="008D7FAA"/>
    <w:rsid w:val="009633AD"/>
    <w:rsid w:val="00A44BCF"/>
    <w:rsid w:val="00A828F1"/>
    <w:rsid w:val="00AB5DC1"/>
    <w:rsid w:val="00B45B16"/>
    <w:rsid w:val="00BA23BD"/>
    <w:rsid w:val="00C1249E"/>
    <w:rsid w:val="00C41A78"/>
    <w:rsid w:val="00CB3A63"/>
    <w:rsid w:val="00DE558C"/>
    <w:rsid w:val="00F82106"/>
    <w:rsid w:val="00F851E8"/>
    <w:rsid w:val="00FB3E70"/>
    <w:rsid w:val="04B5356C"/>
    <w:rsid w:val="08D102D7"/>
    <w:rsid w:val="108912D1"/>
    <w:rsid w:val="10D43499"/>
    <w:rsid w:val="10F05D52"/>
    <w:rsid w:val="1EE54F4D"/>
    <w:rsid w:val="29EA1470"/>
    <w:rsid w:val="3E1B314F"/>
    <w:rsid w:val="497E0E3E"/>
    <w:rsid w:val="5E954748"/>
    <w:rsid w:val="5F414CB5"/>
    <w:rsid w:val="761B2740"/>
    <w:rsid w:val="7905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360" w:lineRule="auto"/>
      <w:ind w:firstLine="200" w:firstLineChars="200"/>
    </w:pPr>
    <w:rPr>
      <w:sz w:val="24"/>
      <w:szCs w:val="24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1">
    <w:name w:val="标题 2 Char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10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标题 Char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323</Characters>
  <Lines>1</Lines>
  <Paragraphs>1</Paragraphs>
  <TotalTime>104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2019-01-28T07:50:00Z</dcterms:created>
  <dc:creator>China</dc:creator>
  <cp:lastModifiedBy>日月 日月</cp:lastModifiedBy>
  <dcterms:modified xsi:type="dcterms:W3CDTF">2023-05-25T03:21:50Z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BFEA90962B634E0FB8E7437E152BF36E</vt:lpwstr>
  </property>
</Properties>
</file>