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tabs>
          <w:tab w:val="left" w:pos="2203"/>
          <w:tab w:val="left" w:pos="4145"/>
          <w:tab w:val="left" w:pos="5718"/>
          <w:tab w:val="left" w:pos="6938"/>
          <w:tab w:val="left" w:pos="8139"/>
        </w:tabs>
        <w:spacing w:line="540" w:lineRule="exact"/>
        <w:ind w:left="93"/>
        <w:jc w:val="left"/>
        <w:rPr>
          <w:rFonts w:eastAsia="黑体"/>
          <w:kern w:val="0"/>
          <w:sz w:val="32"/>
          <w:szCs w:val="32"/>
        </w:rPr>
      </w:pP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1</w:t>
      </w:r>
      <w:r>
        <w:rPr>
          <w:rFonts w:eastAsia="黑体"/>
          <w:kern w:val="0"/>
          <w:sz w:val="32"/>
          <w:szCs w:val="32"/>
        </w:rPr>
        <w:t>-1</w:t>
      </w:r>
    </w:p>
    <w:p>
      <w:pPr>
        <w:spacing w:line="500" w:lineRule="exact"/>
        <w:jc w:val="center"/>
        <w:rPr>
          <w:rFonts w:hint="eastAsia"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专项资金绩效目标申报表</w:t>
      </w:r>
    </w:p>
    <w:p>
      <w:pPr>
        <w:spacing w:line="500" w:lineRule="exact"/>
        <w:jc w:val="center"/>
        <w:rPr>
          <w:rFonts w:eastAsia="楷体_GB2312"/>
          <w:bCs/>
          <w:kern w:val="0"/>
          <w:sz w:val="32"/>
          <w:szCs w:val="32"/>
        </w:rPr>
      </w:pPr>
      <w:r>
        <w:rPr>
          <w:rFonts w:eastAsia="楷体_GB2312"/>
          <w:bCs/>
          <w:kern w:val="0"/>
          <w:sz w:val="32"/>
          <w:szCs w:val="32"/>
        </w:rPr>
        <w:t xml:space="preserve">（ </w:t>
      </w:r>
      <w:r>
        <w:rPr>
          <w:rFonts w:hint="eastAsia" w:eastAsia="楷体_GB2312"/>
          <w:bCs/>
          <w:kern w:val="0"/>
          <w:sz w:val="32"/>
          <w:szCs w:val="32"/>
        </w:rPr>
        <w:t>2022</w:t>
      </w:r>
      <w:r>
        <w:rPr>
          <w:rFonts w:eastAsia="楷体_GB2312"/>
          <w:bCs/>
          <w:kern w:val="0"/>
          <w:sz w:val="32"/>
          <w:szCs w:val="32"/>
        </w:rPr>
        <w:t>年度）</w:t>
      </w:r>
    </w:p>
    <w:p>
      <w:pPr>
        <w:widowControl/>
        <w:jc w:val="left"/>
        <w:rPr>
          <w:rFonts w:hint="eastAsia" w:eastAsia="宋体"/>
          <w:kern w:val="0"/>
          <w:sz w:val="20"/>
          <w:szCs w:val="20"/>
          <w:lang w:val="en-US" w:eastAsia="zh-CN"/>
        </w:rPr>
      </w:pPr>
      <w:r>
        <w:rPr>
          <w:kern w:val="0"/>
          <w:sz w:val="20"/>
          <w:szCs w:val="20"/>
        </w:rPr>
        <w:t>填报单位（盖章）</w:t>
      </w:r>
      <w:r>
        <w:rPr>
          <w:rFonts w:hint="eastAsia"/>
          <w:kern w:val="0"/>
          <w:sz w:val="20"/>
          <w:szCs w:val="20"/>
        </w:rPr>
        <w:t>：</w:t>
      </w:r>
      <w:r>
        <w:rPr>
          <w:rFonts w:hint="eastAsia"/>
          <w:kern w:val="0"/>
          <w:sz w:val="20"/>
          <w:szCs w:val="20"/>
          <w:lang w:eastAsia="zh-CN"/>
        </w:rPr>
        <w:t>洪江区民政局</w:t>
      </w:r>
      <w:bookmarkStart w:id="0" w:name="_GoBack"/>
      <w:bookmarkEnd w:id="0"/>
    </w:p>
    <w:tbl>
      <w:tblPr>
        <w:tblStyle w:val="4"/>
        <w:tblW w:w="952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0"/>
        <w:gridCol w:w="735"/>
        <w:gridCol w:w="15"/>
        <w:gridCol w:w="1770"/>
        <w:gridCol w:w="590"/>
        <w:gridCol w:w="2359"/>
        <w:gridCol w:w="425"/>
        <w:gridCol w:w="956"/>
        <w:gridCol w:w="437"/>
        <w:gridCol w:w="15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3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专项名称</w:t>
            </w:r>
          </w:p>
        </w:tc>
        <w:tc>
          <w:tcPr>
            <w:tcW w:w="23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福彩圆梦孤儿助学工程</w:t>
            </w:r>
          </w:p>
        </w:tc>
        <w:tc>
          <w:tcPr>
            <w:tcW w:w="235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专项属性</w:t>
            </w:r>
          </w:p>
        </w:tc>
        <w:tc>
          <w:tcPr>
            <w:tcW w:w="3341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延续专项</w:t>
            </w:r>
            <w:r>
              <w:rPr>
                <w:rFonts w:hint="eastAsia" w:ascii="宋体" w:hAnsi="宋体"/>
                <w:kern w:val="0"/>
                <w:szCs w:val="21"/>
              </w:rPr>
              <w:t>√</w:t>
            </w:r>
            <w:r>
              <w:rPr>
                <w:kern w:val="0"/>
                <w:szCs w:val="21"/>
              </w:rPr>
              <w:t xml:space="preserve">     新增专项□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9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部门名称</w:t>
            </w:r>
          </w:p>
        </w:tc>
        <w:tc>
          <w:tcPr>
            <w:tcW w:w="23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</w:rPr>
              <w:t>洪江区民政局</w:t>
            </w:r>
          </w:p>
        </w:tc>
        <w:tc>
          <w:tcPr>
            <w:tcW w:w="2359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资金总额（万元）</w:t>
            </w:r>
          </w:p>
        </w:tc>
        <w:tc>
          <w:tcPr>
            <w:tcW w:w="3341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部门相应职能职责概述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widowControl/>
              <w:spacing w:line="280" w:lineRule="exact"/>
              <w:jc w:val="left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孤儿助学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专项立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项依据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湖南省民政厅关于做好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/>
                <w:kern w:val="0"/>
                <w:szCs w:val="21"/>
              </w:rPr>
              <w:t>福彩圆梦﹒孤儿助学工程</w:t>
            </w:r>
            <w:r>
              <w:rPr>
                <w:kern w:val="0"/>
                <w:szCs w:val="21"/>
              </w:rPr>
              <w:t>”</w:t>
            </w:r>
            <w:r>
              <w:rPr>
                <w:rFonts w:hint="eastAsia"/>
                <w:kern w:val="0"/>
                <w:szCs w:val="21"/>
              </w:rPr>
              <w:t>的通知（湘民函〔</w:t>
            </w:r>
            <w:r>
              <w:rPr>
                <w:kern w:val="0"/>
                <w:szCs w:val="21"/>
              </w:rPr>
              <w:t>2019</w:t>
            </w:r>
            <w:r>
              <w:rPr>
                <w:rFonts w:hint="eastAsia"/>
                <w:kern w:val="0"/>
                <w:szCs w:val="21"/>
              </w:rPr>
              <w:t>〕</w:t>
            </w:r>
            <w:r>
              <w:rPr>
                <w:kern w:val="0"/>
                <w:szCs w:val="21"/>
              </w:rPr>
              <w:t>26</w:t>
            </w:r>
            <w:r>
              <w:rPr>
                <w:rFonts w:hint="eastAsia"/>
                <w:kern w:val="0"/>
                <w:szCs w:val="21"/>
              </w:rPr>
              <w:t>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进度计划</w:t>
            </w:r>
          </w:p>
        </w:tc>
        <w:tc>
          <w:tcPr>
            <w:tcW w:w="5144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专项实施内容</w:t>
            </w:r>
          </w:p>
        </w:tc>
        <w:tc>
          <w:tcPr>
            <w:tcW w:w="139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计划开始时间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计划完成时间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1460" w:type="dxa"/>
            <w:gridSpan w:val="3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5144" w:type="dxa"/>
            <w:gridSpan w:val="4"/>
            <w:vAlign w:val="center"/>
          </w:tcPr>
          <w:p>
            <w:pPr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福彩圆梦孤儿助学工程</w:t>
            </w:r>
          </w:p>
        </w:tc>
        <w:tc>
          <w:tcPr>
            <w:tcW w:w="1393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2022年1月</w:t>
            </w:r>
          </w:p>
        </w:tc>
        <w:tc>
          <w:tcPr>
            <w:tcW w:w="152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2022年12月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专项长期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为进一步健全孤儿保障制度，维护孤儿受教育权利，践行福彩救孤济困宗旨，自2019 年起利用彩票公益金，实施“福彩圆梦 •孤儿助学工程”项目。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专项年度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绩效目标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民政部负责指导、监督全国 “助学工程”实施工作。省级民政部门应将“助学工程” 作为儿童福利工作的重要内容之一，纳入本省份年度常态化工作部署，严格资金管理，规范工作流程和项目结账审核程序，加强项目监督。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3" w:hRule="atLeast"/>
          <w:jc w:val="center"/>
        </w:trPr>
        <w:tc>
          <w:tcPr>
            <w:tcW w:w="710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专项年度绩效指标</w:t>
            </w:r>
          </w:p>
        </w:tc>
        <w:tc>
          <w:tcPr>
            <w:tcW w:w="75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4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资金拨付及发放到位率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资金发放率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restart"/>
            <w:textDirection w:val="tbRlV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维护孤儿受教育权利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可持续影响指标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落实孤儿助学政策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710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rFonts w:eastAsia="黑体"/>
                <w:kern w:val="0"/>
                <w:szCs w:val="21"/>
              </w:rPr>
            </w:pPr>
          </w:p>
        </w:tc>
        <w:tc>
          <w:tcPr>
            <w:tcW w:w="750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70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社会公众或服务对象满意度指标</w:t>
            </w:r>
          </w:p>
        </w:tc>
        <w:tc>
          <w:tcPr>
            <w:tcW w:w="2949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孤儿满意度</w:t>
            </w:r>
          </w:p>
        </w:tc>
        <w:tc>
          <w:tcPr>
            <w:tcW w:w="1381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9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9" w:hRule="atLeast"/>
          <w:jc w:val="center"/>
        </w:trPr>
        <w:tc>
          <w:tcPr>
            <w:tcW w:w="1460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专项实施</w:t>
            </w:r>
          </w:p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保障措施</w:t>
            </w:r>
          </w:p>
        </w:tc>
        <w:tc>
          <w:tcPr>
            <w:tcW w:w="8060" w:type="dxa"/>
            <w:gridSpan w:val="7"/>
            <w:vAlign w:val="center"/>
          </w:tcPr>
          <w:p>
            <w:pPr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为进一步健全孤儿保障制度，维护孤儿受教育权利，践行福彩救孤济困宗旨，</w:t>
            </w:r>
            <w:r>
              <w:rPr>
                <w:rFonts w:hint="eastAsia" w:ascii="宋体" w:hAnsi="宋体"/>
                <w:szCs w:val="21"/>
                <w:lang w:eastAsia="zh-CN"/>
              </w:rPr>
              <w:t>主动摸排孤儿情况，及时受理申请，对符合条件的纳入保障范围。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加强上门走访，宣传解释政策，为群众答疑解惑</w:t>
            </w:r>
            <w:r>
              <w:rPr>
                <w:rFonts w:ascii="宋体" w:hAnsi="宋体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4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归口股室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8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绩效股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8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21" w:hRule="atLeast"/>
          <w:jc w:val="center"/>
        </w:trPr>
        <w:tc>
          <w:tcPr>
            <w:tcW w:w="1445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财政</w:t>
            </w:r>
            <w:r>
              <w:rPr>
                <w:rFonts w:hint="eastAsia" w:ascii="宋体" w:hAnsi="宋体"/>
                <w:kern w:val="0"/>
                <w:szCs w:val="21"/>
              </w:rPr>
              <w:t>预算股</w:t>
            </w:r>
            <w:r>
              <w:rPr>
                <w:rFonts w:ascii="宋体" w:hAnsi="宋体"/>
                <w:kern w:val="0"/>
                <w:szCs w:val="21"/>
              </w:rPr>
              <w:t>审核意见</w:t>
            </w:r>
          </w:p>
        </w:tc>
        <w:tc>
          <w:tcPr>
            <w:tcW w:w="8075" w:type="dxa"/>
            <w:gridSpan w:val="8"/>
            <w:vAlign w:val="center"/>
          </w:tcPr>
          <w:p>
            <w:pPr>
              <w:widowControl/>
              <w:spacing w:line="280" w:lineRule="exact"/>
              <w:ind w:right="420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                                                           </w:t>
            </w:r>
          </w:p>
          <w:p>
            <w:pPr>
              <w:widowControl/>
              <w:spacing w:line="280" w:lineRule="exact"/>
              <w:ind w:right="630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   （盖章）</w:t>
            </w:r>
          </w:p>
          <w:p>
            <w:pPr>
              <w:widowControl/>
              <w:spacing w:line="280" w:lineRule="exact"/>
              <w:jc w:val="righ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年   月   日                                                        </w:t>
            </w:r>
          </w:p>
        </w:tc>
      </w:tr>
    </w:tbl>
    <w:p>
      <w:pPr>
        <w:widowControl/>
        <w:tabs>
          <w:tab w:val="left" w:pos="2250"/>
          <w:tab w:val="left" w:pos="5655"/>
        </w:tabs>
        <w:jc w:val="left"/>
        <w:rPr>
          <w:kern w:val="0"/>
          <w:szCs w:val="21"/>
        </w:rPr>
      </w:pPr>
      <w:r>
        <w:rPr>
          <w:kern w:val="0"/>
          <w:szCs w:val="21"/>
        </w:rPr>
        <w:t>填报人：</w:t>
      </w:r>
      <w:r>
        <w:rPr>
          <w:rFonts w:hint="eastAsia"/>
          <w:kern w:val="0"/>
          <w:szCs w:val="21"/>
          <w:lang w:eastAsia="zh-CN"/>
        </w:rPr>
        <w:t>黄靖</w:t>
      </w:r>
      <w:r>
        <w:rPr>
          <w:kern w:val="0"/>
          <w:szCs w:val="21"/>
        </w:rPr>
        <w:tab/>
      </w:r>
      <w:r>
        <w:rPr>
          <w:kern w:val="0"/>
          <w:szCs w:val="21"/>
        </w:rPr>
        <w:t>联系电话：</w:t>
      </w:r>
      <w:r>
        <w:rPr>
          <w:rFonts w:hint="eastAsia"/>
          <w:kern w:val="0"/>
          <w:szCs w:val="21"/>
          <w:lang w:val="en-US" w:eastAsia="zh-CN"/>
        </w:rPr>
        <w:t>19152111908</w:t>
      </w:r>
      <w:r>
        <w:rPr>
          <w:kern w:val="0"/>
          <w:szCs w:val="21"/>
        </w:rPr>
        <w:tab/>
      </w:r>
      <w:r>
        <w:rPr>
          <w:kern w:val="0"/>
          <w:szCs w:val="21"/>
        </w:rPr>
        <w:t>填报日期：</w:t>
      </w:r>
      <w:r>
        <w:rPr>
          <w:rFonts w:hint="eastAsia"/>
          <w:kern w:val="0"/>
          <w:szCs w:val="21"/>
        </w:rPr>
        <w:t>2022年3月1日</w:t>
      </w:r>
    </w:p>
    <w:p>
      <w:pPr>
        <w:widowControl/>
        <w:tabs>
          <w:tab w:val="left" w:pos="3093"/>
          <w:tab w:val="left" w:pos="6493"/>
        </w:tabs>
        <w:jc w:val="left"/>
        <w:rPr>
          <w:rFonts w:eastAsia="黑体"/>
          <w:kern w:val="0"/>
          <w:sz w:val="32"/>
          <w:szCs w:val="32"/>
        </w:rPr>
      </w:pPr>
      <w:r>
        <w:rPr>
          <w:kern w:val="0"/>
          <w:szCs w:val="21"/>
        </w:rPr>
        <w:br w:type="page"/>
      </w:r>
      <w:r>
        <w:rPr>
          <w:rFonts w:eastAsia="黑体"/>
          <w:kern w:val="0"/>
          <w:sz w:val="32"/>
          <w:szCs w:val="32"/>
        </w:rPr>
        <w:t>附件</w:t>
      </w:r>
      <w:r>
        <w:rPr>
          <w:rFonts w:hint="eastAsia" w:eastAsia="黑体"/>
          <w:kern w:val="0"/>
          <w:sz w:val="32"/>
          <w:szCs w:val="32"/>
        </w:rPr>
        <w:t>2</w:t>
      </w:r>
      <w:r>
        <w:rPr>
          <w:rFonts w:eastAsia="黑体"/>
          <w:kern w:val="0"/>
          <w:sz w:val="32"/>
          <w:szCs w:val="32"/>
        </w:rPr>
        <w:t>-1</w:t>
      </w:r>
    </w:p>
    <w:p>
      <w:pPr>
        <w:jc w:val="center"/>
        <w:rPr>
          <w:rFonts w:hint="eastAsia" w:ascii="方正小标宋_GBK" w:eastAsia="方正小标宋_GBK"/>
          <w:bCs/>
          <w:kern w:val="0"/>
          <w:sz w:val="36"/>
          <w:szCs w:val="36"/>
        </w:rPr>
      </w:pPr>
      <w:r>
        <w:rPr>
          <w:rFonts w:hint="eastAsia" w:ascii="方正小标宋_GBK" w:eastAsia="方正小标宋_GBK"/>
          <w:bCs/>
          <w:kern w:val="0"/>
          <w:sz w:val="36"/>
          <w:szCs w:val="36"/>
        </w:rPr>
        <w:t>项目绩效目标申报表</w:t>
      </w:r>
    </w:p>
    <w:p>
      <w:pPr>
        <w:jc w:val="center"/>
        <w:rPr>
          <w:rFonts w:eastAsia="楷体_GB2312"/>
          <w:b/>
          <w:bCs/>
          <w:kern w:val="0"/>
          <w:sz w:val="32"/>
          <w:szCs w:val="32"/>
        </w:rPr>
      </w:pPr>
      <w:r>
        <w:rPr>
          <w:rFonts w:eastAsia="楷体_GB2312"/>
          <w:kern w:val="0"/>
          <w:sz w:val="32"/>
          <w:szCs w:val="32"/>
        </w:rPr>
        <w:t>（</w:t>
      </w:r>
      <w:r>
        <w:rPr>
          <w:rFonts w:hint="eastAsia" w:eastAsia="楷体_GB2312"/>
          <w:kern w:val="0"/>
          <w:sz w:val="32"/>
          <w:szCs w:val="32"/>
        </w:rPr>
        <w:t>2022</w:t>
      </w:r>
      <w:r>
        <w:rPr>
          <w:rFonts w:eastAsia="楷体_GB2312"/>
          <w:kern w:val="0"/>
          <w:sz w:val="32"/>
          <w:szCs w:val="32"/>
        </w:rPr>
        <w:t>年度）</w:t>
      </w:r>
    </w:p>
    <w:p>
      <w:pPr>
        <w:widowControl/>
        <w:tabs>
          <w:tab w:val="left" w:pos="1913"/>
          <w:tab w:val="left" w:pos="3933"/>
          <w:tab w:val="left" w:pos="5413"/>
          <w:tab w:val="left" w:pos="6733"/>
          <w:tab w:val="left" w:pos="8033"/>
        </w:tabs>
        <w:ind w:left="93"/>
        <w:jc w:val="left"/>
        <w:rPr>
          <w:kern w:val="0"/>
          <w:szCs w:val="21"/>
        </w:rPr>
      </w:pPr>
      <w:r>
        <w:rPr>
          <w:rFonts w:hAnsi="宋体"/>
          <w:kern w:val="0"/>
          <w:szCs w:val="21"/>
        </w:rPr>
        <w:t>填报单位（盖章）</w:t>
      </w:r>
      <w:r>
        <w:rPr>
          <w:rFonts w:hint="eastAsia" w:hAnsi="宋体"/>
          <w:kern w:val="0"/>
          <w:szCs w:val="21"/>
        </w:rPr>
        <w:t>：</w:t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  <w:r>
        <w:rPr>
          <w:kern w:val="0"/>
          <w:szCs w:val="21"/>
        </w:rPr>
        <w:tab/>
      </w:r>
    </w:p>
    <w:tbl>
      <w:tblPr>
        <w:tblStyle w:val="4"/>
        <w:tblW w:w="95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3"/>
        <w:gridCol w:w="1709"/>
        <w:gridCol w:w="518"/>
        <w:gridCol w:w="1742"/>
        <w:gridCol w:w="353"/>
        <w:gridCol w:w="73"/>
        <w:gridCol w:w="1443"/>
        <w:gridCol w:w="417"/>
        <w:gridCol w:w="717"/>
        <w:gridCol w:w="1371"/>
        <w:gridCol w:w="2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10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项目名称</w:t>
            </w:r>
          </w:p>
        </w:tc>
        <w:tc>
          <w:tcPr>
            <w:tcW w:w="222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  <w:r>
              <w:rPr>
                <w:rFonts w:hint="eastAsia" w:hAnsi="宋体"/>
                <w:kern w:val="0"/>
                <w:szCs w:val="21"/>
              </w:rPr>
              <w:t>福彩圆梦孤儿助学工程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项目属性</w:t>
            </w:r>
          </w:p>
        </w:tc>
        <w:tc>
          <w:tcPr>
            <w:tcW w:w="4374" w:type="dxa"/>
            <w:gridSpan w:val="6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新增项目</w:t>
            </w:r>
            <w:r>
              <w:rPr>
                <w:kern w:val="0"/>
                <w:szCs w:val="21"/>
              </w:rPr>
              <w:t xml:space="preserve"> □        </w:t>
            </w:r>
            <w:r>
              <w:rPr>
                <w:rFonts w:hAnsi="宋体"/>
                <w:kern w:val="0"/>
                <w:szCs w:val="21"/>
              </w:rPr>
              <w:t>延续项目</w:t>
            </w:r>
            <w:r>
              <w:rPr>
                <w:kern w:val="0"/>
                <w:szCs w:val="21"/>
              </w:rPr>
              <w:t xml:space="preserve"> </w:t>
            </w:r>
            <w:r>
              <w:rPr>
                <w:rFonts w:hint="eastAsia" w:ascii="宋体" w:hAnsi="宋体"/>
                <w:kern w:val="0"/>
                <w:szCs w:val="21"/>
              </w:rPr>
              <w:t>√</w:t>
            </w:r>
            <w:r>
              <w:rPr>
                <w:kern w:val="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0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</w:t>
            </w:r>
          </w:p>
        </w:tc>
        <w:tc>
          <w:tcPr>
            <w:tcW w:w="2227" w:type="dxa"/>
            <w:gridSpan w:val="2"/>
            <w:vAlign w:val="center"/>
          </w:tcPr>
          <w:p>
            <w:pPr>
              <w:widowControl/>
              <w:spacing w:line="280" w:lineRule="exact"/>
              <w:jc w:val="both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主管部门编码</w:t>
            </w:r>
          </w:p>
        </w:tc>
        <w:tc>
          <w:tcPr>
            <w:tcW w:w="4374" w:type="dxa"/>
            <w:gridSpan w:val="6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0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项目单位</w:t>
            </w:r>
          </w:p>
        </w:tc>
        <w:tc>
          <w:tcPr>
            <w:tcW w:w="222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　</w:t>
            </w:r>
            <w:r>
              <w:rPr>
                <w:rFonts w:hint="eastAsia" w:hAnsi="宋体"/>
                <w:kern w:val="0"/>
                <w:szCs w:val="21"/>
              </w:rPr>
              <w:t>洪江区民政局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项目负责人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eastAsia="宋体"/>
                <w:kern w:val="0"/>
                <w:szCs w:val="21"/>
                <w:lang w:eastAsia="zh-CN"/>
              </w:rPr>
            </w:pPr>
            <w:r>
              <w:rPr>
                <w:rFonts w:hint="eastAsia" w:hAnsi="宋体"/>
                <w:kern w:val="0"/>
                <w:szCs w:val="21"/>
                <w:lang w:eastAsia="zh-CN"/>
              </w:rPr>
              <w:t>黄靖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联系电话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val="en-US" w:eastAsia="zh-CN"/>
              </w:rPr>
              <w:t>19152111908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项目起止时间</w:t>
            </w: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2022年1月－2022年12月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项目资金申请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（万元）</w:t>
            </w: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资金总额：</w:t>
            </w:r>
            <w:r>
              <w:rPr>
                <w:rFonts w:hint="eastAsia" w:hAnsi="宋体"/>
                <w:kern w:val="0"/>
                <w:szCs w:val="21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一、财政拨款：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二、自有资金：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</w:t>
            </w:r>
            <w:r>
              <w:rPr>
                <w:rFonts w:hAnsi="宋体"/>
                <w:kern w:val="0"/>
                <w:szCs w:val="21"/>
              </w:rPr>
              <w:t>三、其他：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0" w:hRule="atLeast"/>
          <w:jc w:val="center"/>
        </w:trPr>
        <w:tc>
          <w:tcPr>
            <w:tcW w:w="1193" w:type="dxa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项目概况</w:t>
            </w:r>
          </w:p>
        </w:tc>
        <w:tc>
          <w:tcPr>
            <w:tcW w:w="8364" w:type="dxa"/>
            <w:gridSpan w:val="10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面向孤儿开展的助学项目，为符合条件的孤儿每人每学年发放1万元助学金，资助时限为孤儿入学就读期间。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93" w:type="dxa"/>
            <w:vMerge w:val="restart"/>
            <w:noWrap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项目立项情况</w:t>
            </w:r>
          </w:p>
        </w:tc>
        <w:tc>
          <w:tcPr>
            <w:tcW w:w="1709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项目立项的依据</w:t>
            </w:r>
          </w:p>
        </w:tc>
        <w:tc>
          <w:tcPr>
            <w:tcW w:w="6655" w:type="dxa"/>
            <w:gridSpan w:val="9"/>
            <w:noWrap/>
            <w:vAlign w:val="center"/>
          </w:tcPr>
          <w:p>
            <w:pPr>
              <w:widowControl/>
              <w:spacing w:line="280" w:lineRule="exact"/>
              <w:jc w:val="lef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湖南省民政厅关于做好</w:t>
            </w:r>
            <w:r>
              <w:rPr>
                <w:kern w:val="0"/>
                <w:szCs w:val="21"/>
              </w:rPr>
              <w:t>“</w:t>
            </w:r>
            <w:r>
              <w:rPr>
                <w:rFonts w:hint="eastAsia"/>
                <w:kern w:val="0"/>
                <w:szCs w:val="21"/>
              </w:rPr>
              <w:t>福彩圆梦﹒孤儿助学工程</w:t>
            </w:r>
            <w:r>
              <w:rPr>
                <w:kern w:val="0"/>
                <w:szCs w:val="21"/>
              </w:rPr>
              <w:t>”</w:t>
            </w:r>
            <w:r>
              <w:rPr>
                <w:rFonts w:hint="eastAsia"/>
                <w:kern w:val="0"/>
                <w:szCs w:val="21"/>
              </w:rPr>
              <w:t>的通知（湘民函〔</w:t>
            </w:r>
            <w:r>
              <w:rPr>
                <w:kern w:val="0"/>
                <w:szCs w:val="21"/>
              </w:rPr>
              <w:t>2019</w:t>
            </w:r>
            <w:r>
              <w:rPr>
                <w:rFonts w:hint="eastAsia"/>
                <w:kern w:val="0"/>
                <w:szCs w:val="21"/>
              </w:rPr>
              <w:t>〕</w:t>
            </w:r>
            <w:r>
              <w:rPr>
                <w:kern w:val="0"/>
                <w:szCs w:val="21"/>
              </w:rPr>
              <w:t>26</w:t>
            </w:r>
            <w:r>
              <w:rPr>
                <w:rFonts w:hint="eastAsia"/>
                <w:kern w:val="0"/>
                <w:szCs w:val="21"/>
              </w:rPr>
              <w:t>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项目申报的可行性</w:t>
            </w:r>
          </w:p>
        </w:tc>
        <w:tc>
          <w:tcPr>
            <w:tcW w:w="6655" w:type="dxa"/>
            <w:gridSpan w:val="9"/>
            <w:noWrap/>
            <w:vAlign w:val="center"/>
          </w:tcPr>
          <w:p>
            <w:pPr>
              <w:widowControl/>
              <w:spacing w:line="280" w:lineRule="exact"/>
              <w:rPr>
                <w:rFonts w:ascii="仿宋" w:hAnsi="仿宋" w:eastAsia="仿宋"/>
                <w:sz w:val="18"/>
                <w:szCs w:val="18"/>
              </w:rPr>
            </w:pPr>
            <w:r>
              <w:rPr>
                <w:rFonts w:hint="eastAsia"/>
                <w:kern w:val="0"/>
                <w:szCs w:val="21"/>
              </w:rPr>
              <w:t>民政部负责指导、监督全国 “助学工程”实施工作。省级民政部门应将“助学工程” 作为儿童福利工作的重要内容之一，纳入本省份年度常态化工作部署，严格资金管理，规范工作流程和项目结账审核程序，加强项目监督。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09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项目申报的必要性</w:t>
            </w:r>
          </w:p>
        </w:tc>
        <w:tc>
          <w:tcPr>
            <w:tcW w:w="6655" w:type="dxa"/>
            <w:gridSpan w:val="9"/>
            <w:noWrap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为进一步健全孤儿保障制度，维护孤儿受教育权利，践行福彩救孤济困宗旨，自2019 年起利用彩票公益金，实施“福彩圆梦 •孤儿助学工程”项目。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项目实施进度计划</w:t>
            </w:r>
          </w:p>
        </w:tc>
        <w:tc>
          <w:tcPr>
            <w:tcW w:w="4395" w:type="dxa"/>
            <w:gridSpan w:val="5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项目实施内容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开始时间</w:t>
            </w:r>
          </w:p>
        </w:tc>
        <w:tc>
          <w:tcPr>
            <w:tcW w:w="210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完成时间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9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4395" w:type="dxa"/>
            <w:gridSpan w:val="5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 w:hAnsi="宋体"/>
                <w:kern w:val="0"/>
                <w:szCs w:val="21"/>
              </w:rPr>
              <w:t>福彩圆梦孤儿助学工程</w:t>
            </w:r>
          </w:p>
        </w:tc>
        <w:tc>
          <w:tcPr>
            <w:tcW w:w="1860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2022年1月</w:t>
            </w:r>
          </w:p>
        </w:tc>
        <w:tc>
          <w:tcPr>
            <w:tcW w:w="210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2022年12月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项目绩效目标</w:t>
            </w:r>
          </w:p>
        </w:tc>
        <w:tc>
          <w:tcPr>
            <w:tcW w:w="4322" w:type="dxa"/>
            <w:gridSpan w:val="4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长期目标</w:t>
            </w:r>
          </w:p>
        </w:tc>
        <w:tc>
          <w:tcPr>
            <w:tcW w:w="4042" w:type="dxa"/>
            <w:gridSpan w:val="6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年度目标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4322" w:type="dxa"/>
            <w:gridSpan w:val="4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面向孤儿开展的助学项目，为符合条件的孤儿每人每学年发放1万元助学金，资助时限为孤儿入学就读期间。</w:t>
            </w:r>
          </w:p>
        </w:tc>
        <w:tc>
          <w:tcPr>
            <w:tcW w:w="4042" w:type="dxa"/>
            <w:gridSpan w:val="6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面向孤儿开展的助学项目，为符合条件的孤儿每人每学年发放1万元助学金，资助时限为孤儿入学就读期间。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296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长期绩效指标</w:t>
            </w:r>
          </w:p>
        </w:tc>
        <w:tc>
          <w:tcPr>
            <w:tcW w:w="222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一级指标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二级指标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指标内容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指标值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6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产出指标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数量指标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ind w:firstLine="420" w:firstLineChars="200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2名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  <w:r>
              <w:rPr>
                <w:rFonts w:hint="eastAsia"/>
                <w:kern w:val="0"/>
                <w:szCs w:val="21"/>
              </w:rPr>
              <w:t>孤儿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考上大学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3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质量指标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3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时效指标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3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成本指标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资金拨付及发放到位率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6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效益指标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经济效益指标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2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社会效益指标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维护孤儿受教育权利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6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生态效益指标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0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可持续影响指标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落实孤儿助学政策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61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 w:hAnsi="宋体"/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社会公众或服务对象满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rFonts w:hAnsi="宋体"/>
                <w:kern w:val="0"/>
                <w:szCs w:val="21"/>
              </w:rPr>
              <w:t>意度指标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孤儿满意度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331" w:hRule="atLeast"/>
          <w:jc w:val="center"/>
        </w:trPr>
        <w:tc>
          <w:tcPr>
            <w:tcW w:w="1193" w:type="dxa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年度绩效指标</w:t>
            </w:r>
          </w:p>
        </w:tc>
        <w:tc>
          <w:tcPr>
            <w:tcW w:w="2227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一级指标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二级指标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指标内容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指标值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6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产出指标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数量指标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3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质量指标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保障标准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6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时效指标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资金拨付及发放到位率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3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成本指标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3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restart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效益指标</w:t>
            </w: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经济效益指标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维护孤儿受教育权利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2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社会效益指标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39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生态效益指标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落实孤儿助学政策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495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可持续影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响指标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孤儿满意度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21" w:type="dxa"/>
          <w:trHeight w:val="510" w:hRule="atLeast"/>
          <w:jc w:val="center"/>
        </w:trPr>
        <w:tc>
          <w:tcPr>
            <w:tcW w:w="1193" w:type="dxa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2227" w:type="dxa"/>
            <w:gridSpan w:val="2"/>
            <w:vMerge w:val="continue"/>
            <w:vAlign w:val="center"/>
          </w:tcPr>
          <w:p>
            <w:pPr>
              <w:widowControl/>
              <w:spacing w:line="280" w:lineRule="exact"/>
              <w:jc w:val="left"/>
              <w:rPr>
                <w:kern w:val="0"/>
                <w:szCs w:val="21"/>
              </w:rPr>
            </w:pPr>
          </w:p>
        </w:tc>
        <w:tc>
          <w:tcPr>
            <w:tcW w:w="1742" w:type="dxa"/>
            <w:vAlign w:val="center"/>
          </w:tcPr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社会公众或</w:t>
            </w:r>
          </w:p>
          <w:p>
            <w:pPr>
              <w:widowControl/>
              <w:spacing w:line="240" w:lineRule="atLeas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kern w:val="0"/>
                <w:szCs w:val="21"/>
              </w:rPr>
              <w:t>服务对象</w:t>
            </w:r>
          </w:p>
          <w:p>
            <w:pPr>
              <w:widowControl/>
              <w:spacing w:line="240" w:lineRule="atLeas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满意度指标</w:t>
            </w:r>
          </w:p>
        </w:tc>
        <w:tc>
          <w:tcPr>
            <w:tcW w:w="1869" w:type="dxa"/>
            <w:gridSpan w:val="3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  <w:lang w:eastAsia="zh-CN"/>
              </w:rPr>
              <w:t>符合条件对象纳入保障范围</w:t>
            </w:r>
          </w:p>
        </w:tc>
        <w:tc>
          <w:tcPr>
            <w:tcW w:w="1134" w:type="dxa"/>
            <w:gridSpan w:val="2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100%</w:t>
            </w:r>
          </w:p>
        </w:tc>
        <w:tc>
          <w:tcPr>
            <w:tcW w:w="1371" w:type="dxa"/>
            <w:vAlign w:val="center"/>
          </w:tcPr>
          <w:p>
            <w:pPr>
              <w:widowControl/>
              <w:spacing w:line="240" w:lineRule="atLeast"/>
              <w:jc w:val="left"/>
              <w:rPr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37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其他需说明的问题</w:t>
            </w: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88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归口股室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</w:t>
            </w:r>
            <w:r>
              <w:rPr>
                <w:rFonts w:hint="eastAsia"/>
                <w:kern w:val="0"/>
                <w:szCs w:val="21"/>
              </w:rPr>
              <w:t>　　　　　　　　　　　　　　　　　　　　　　　　　　　　</w:t>
            </w:r>
            <w:r>
              <w:rPr>
                <w:kern w:val="0"/>
                <w:szCs w:val="21"/>
              </w:rPr>
              <w:t>（盖章）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3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财政绩效股</w:t>
            </w:r>
          </w:p>
          <w:p>
            <w:pPr>
              <w:widowControl/>
              <w:spacing w:line="280" w:lineRule="exact"/>
              <w:jc w:val="center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>审核意见</w:t>
            </w: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31" w:hRule="atLeast"/>
          <w:jc w:val="center"/>
        </w:trPr>
        <w:tc>
          <w:tcPr>
            <w:tcW w:w="1193" w:type="dxa"/>
            <w:vAlign w:val="center"/>
          </w:tcPr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财政预算股</w:t>
            </w:r>
          </w:p>
          <w:p>
            <w:pPr>
              <w:widowControl/>
              <w:spacing w:line="280" w:lineRule="exact"/>
              <w:jc w:val="center"/>
              <w:rPr>
                <w:rFonts w:hint="eastAsia"/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审核意见</w:t>
            </w:r>
          </w:p>
        </w:tc>
        <w:tc>
          <w:tcPr>
            <w:tcW w:w="8364" w:type="dxa"/>
            <w:gridSpan w:val="10"/>
            <w:vAlign w:val="center"/>
          </w:tcPr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    （盖章）</w:t>
            </w:r>
          </w:p>
          <w:p>
            <w:pPr>
              <w:widowControl/>
              <w:spacing w:line="280" w:lineRule="exact"/>
              <w:rPr>
                <w:kern w:val="0"/>
                <w:szCs w:val="21"/>
              </w:rPr>
            </w:pPr>
            <w:r>
              <w:rPr>
                <w:kern w:val="0"/>
                <w:szCs w:val="21"/>
              </w:rPr>
              <w:t xml:space="preserve">                                                      年   月   日</w:t>
            </w:r>
          </w:p>
        </w:tc>
      </w:tr>
    </w:tbl>
    <w:p>
      <w:pPr>
        <w:widowControl/>
        <w:tabs>
          <w:tab w:val="left" w:pos="1333"/>
          <w:tab w:val="left" w:pos="3793"/>
          <w:tab w:val="left" w:pos="5853"/>
        </w:tabs>
        <w:jc w:val="left"/>
        <w:rPr>
          <w:kern w:val="0"/>
          <w:szCs w:val="21"/>
        </w:rPr>
      </w:pPr>
      <w:r>
        <w:rPr>
          <w:kern w:val="0"/>
          <w:szCs w:val="21"/>
        </w:rPr>
        <w:t xml:space="preserve">填报人： </w:t>
      </w:r>
      <w:r>
        <w:rPr>
          <w:rFonts w:hint="eastAsia"/>
          <w:kern w:val="0"/>
          <w:szCs w:val="21"/>
          <w:lang w:eastAsia="zh-CN"/>
        </w:rPr>
        <w:t>黄靖</w:t>
      </w:r>
      <w:r>
        <w:rPr>
          <w:kern w:val="0"/>
          <w:szCs w:val="21"/>
        </w:rPr>
        <w:t xml:space="preserve">           联系电话：</w:t>
      </w:r>
      <w:r>
        <w:rPr>
          <w:rFonts w:hint="eastAsia"/>
          <w:kern w:val="0"/>
          <w:szCs w:val="21"/>
          <w:lang w:val="en-US" w:eastAsia="zh-CN"/>
        </w:rPr>
        <w:t>19152111908</w:t>
      </w:r>
      <w:r>
        <w:rPr>
          <w:kern w:val="0"/>
          <w:szCs w:val="21"/>
        </w:rPr>
        <w:t xml:space="preserve">        填报日期：</w:t>
      </w:r>
      <w:r>
        <w:rPr>
          <w:rFonts w:hint="eastAsia"/>
          <w:kern w:val="0"/>
          <w:szCs w:val="21"/>
        </w:rPr>
        <w:t>2022年3月1日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35559"/>
    <w:rsid w:val="00072A2B"/>
    <w:rsid w:val="000F316A"/>
    <w:rsid w:val="00285ADD"/>
    <w:rsid w:val="003E2FFA"/>
    <w:rsid w:val="003E6DFF"/>
    <w:rsid w:val="00471EC3"/>
    <w:rsid w:val="005201F2"/>
    <w:rsid w:val="00835559"/>
    <w:rsid w:val="00F34FD8"/>
    <w:rsid w:val="00FD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5</Pages>
  <Words>495</Words>
  <Characters>2823</Characters>
  <Lines>23</Lines>
  <Paragraphs>6</Paragraphs>
  <TotalTime>1</TotalTime>
  <ScaleCrop>false</ScaleCrop>
  <LinksUpToDate>false</LinksUpToDate>
  <CharactersWithSpaces>3312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2022-03-02T02:52:00Z</dcterms:created>
  <dc:creator>webUser</dc:creator>
  <cp:lastModifiedBy> 佳佳</cp:lastModifiedBy>
  <dcterms:modified xsi:type="dcterms:W3CDTF">2022-03-04T08:34:39Z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B172E5325E2242E483699973C8698CAA</vt:lpwstr>
  </property>
</Properties>
</file>