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2203"/>
          <w:tab w:val="left" w:pos="4145"/>
          <w:tab w:val="left" w:pos="5718"/>
          <w:tab w:val="left" w:pos="6938"/>
          <w:tab w:val="left" w:pos="8139"/>
        </w:tabs>
        <w:spacing w:line="600" w:lineRule="exact"/>
        <w:ind w:left="93"/>
        <w:jc w:val="lef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附件3-1</w:t>
      </w:r>
    </w:p>
    <w:p>
      <w:pPr>
        <w:jc w:val="center"/>
        <w:rPr>
          <w:rFonts w:hint="eastAsia" w:ascii="方正小标宋_GBK" w:eastAsia="方正小标宋_GBK"/>
          <w:bCs/>
          <w:kern w:val="0"/>
          <w:sz w:val="36"/>
          <w:szCs w:val="36"/>
          <w:lang w:eastAsia="zh-CN"/>
        </w:rPr>
      </w:pPr>
      <w:r>
        <w:rPr>
          <w:rFonts w:hint="eastAsia" w:ascii="方正小标宋_GBK" w:eastAsia="方正小标宋_GBK"/>
          <w:bCs/>
          <w:kern w:val="0"/>
          <w:sz w:val="36"/>
          <w:szCs w:val="36"/>
        </w:rPr>
        <w:t>部门整体支出绩效目标申报表</w:t>
      </w:r>
    </w:p>
    <w:p>
      <w:pPr>
        <w:jc w:val="center"/>
        <w:rPr>
          <w:rFonts w:eastAsia="楷体_GB2312"/>
          <w:bCs/>
          <w:kern w:val="0"/>
          <w:sz w:val="32"/>
          <w:szCs w:val="32"/>
        </w:rPr>
      </w:pPr>
      <w:r>
        <w:rPr>
          <w:rFonts w:eastAsia="楷体_GB2312"/>
          <w:bCs/>
          <w:kern w:val="0"/>
          <w:sz w:val="32"/>
          <w:szCs w:val="32"/>
        </w:rPr>
        <w:t xml:space="preserve">（ </w:t>
      </w:r>
      <w:r>
        <w:rPr>
          <w:rFonts w:hint="eastAsia" w:eastAsia="楷体_GB2312"/>
          <w:bCs/>
          <w:kern w:val="0"/>
          <w:sz w:val="32"/>
          <w:szCs w:val="32"/>
          <w:lang w:val="en-US" w:eastAsia="zh-CN"/>
        </w:rPr>
        <w:t>2022</w:t>
      </w:r>
      <w:r>
        <w:rPr>
          <w:rFonts w:hint="eastAsia" w:eastAsia="楷体_GB2312"/>
          <w:bCs/>
          <w:kern w:val="0"/>
          <w:sz w:val="32"/>
          <w:szCs w:val="32"/>
        </w:rPr>
        <w:t xml:space="preserve"> </w:t>
      </w:r>
      <w:r>
        <w:rPr>
          <w:rFonts w:eastAsia="楷体_GB2312"/>
          <w:bCs/>
          <w:kern w:val="0"/>
          <w:sz w:val="32"/>
          <w:szCs w:val="32"/>
        </w:rPr>
        <w:t>年度）</w:t>
      </w:r>
    </w:p>
    <w:p>
      <w:pPr>
        <w:widowControl/>
        <w:tabs>
          <w:tab w:val="left" w:pos="2593"/>
        </w:tabs>
        <w:ind w:left="93"/>
        <w:jc w:val="left"/>
        <w:rPr>
          <w:rFonts w:eastAsia="黑体"/>
          <w:kern w:val="0"/>
          <w:szCs w:val="21"/>
        </w:rPr>
      </w:pPr>
      <w:r>
        <w:rPr>
          <w:rFonts w:ascii="宋体" w:hAnsi="宋体"/>
          <w:kern w:val="0"/>
          <w:szCs w:val="21"/>
        </w:rPr>
        <w:t>填报单位（盖章）</w:t>
      </w:r>
      <w:r>
        <w:rPr>
          <w:rFonts w:hint="eastAsia" w:eastAsia="黑体"/>
          <w:kern w:val="0"/>
          <w:szCs w:val="21"/>
        </w:rPr>
        <w:t>：</w:t>
      </w:r>
      <w:r>
        <w:rPr>
          <w:rFonts w:eastAsia="黑体"/>
          <w:kern w:val="0"/>
          <w:szCs w:val="21"/>
        </w:rPr>
        <w:tab/>
      </w:r>
    </w:p>
    <w:tbl>
      <w:tblPr>
        <w:tblStyle w:val="2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750"/>
        <w:gridCol w:w="980"/>
        <w:gridCol w:w="790"/>
        <w:gridCol w:w="2625"/>
        <w:gridCol w:w="525"/>
        <w:gridCol w:w="1180"/>
        <w:gridCol w:w="2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250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部门名称</w:t>
            </w:r>
          </w:p>
        </w:tc>
        <w:tc>
          <w:tcPr>
            <w:tcW w:w="7140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Cs w:val="21"/>
              </w:rPr>
            </w:pPr>
            <w:r>
              <w:rPr>
                <w:rFonts w:hint="eastAsia" w:eastAsia="黑体"/>
                <w:kern w:val="0"/>
                <w:szCs w:val="21"/>
                <w:lang w:eastAsia="zh-CN"/>
              </w:rPr>
              <w:t>洪江区政法委</w:t>
            </w:r>
            <w:r>
              <w:rPr>
                <w:rFonts w:eastAsia="黑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00" w:type="dxa"/>
            <w:gridSpan w:val="3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ascii="宋体" w:hAnsi="宋体"/>
                <w:kern w:val="0"/>
                <w:szCs w:val="21"/>
              </w:rPr>
              <w:t>年度预算申请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（万元）</w:t>
            </w:r>
          </w:p>
        </w:tc>
        <w:tc>
          <w:tcPr>
            <w:tcW w:w="7140" w:type="dxa"/>
            <w:gridSpan w:val="5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资金总额：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271.89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500" w:type="dxa"/>
            <w:gridSpan w:val="3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按收入性质分：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271.89</w:t>
            </w:r>
          </w:p>
        </w:tc>
        <w:tc>
          <w:tcPr>
            <w:tcW w:w="320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按支出性质分：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271.89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00" w:type="dxa"/>
            <w:gridSpan w:val="3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noWrap w:val="0"/>
            <w:vAlign w:val="center"/>
          </w:tcPr>
          <w:p>
            <w:pPr>
              <w:widowControl/>
              <w:ind w:firstLine="105" w:firstLineChars="5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其中：       公共财政拨款：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271.89</w:t>
            </w:r>
          </w:p>
        </w:tc>
        <w:tc>
          <w:tcPr>
            <w:tcW w:w="320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其中： 基本支出：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261.89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00" w:type="dxa"/>
            <w:gridSpan w:val="3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     政府性基金拨款：</w:t>
            </w:r>
          </w:p>
        </w:tc>
        <w:tc>
          <w:tcPr>
            <w:tcW w:w="320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项目支出：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00" w:type="dxa"/>
            <w:gridSpan w:val="3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纳入专户管理的非税收入拨款：</w:t>
            </w:r>
          </w:p>
        </w:tc>
        <w:tc>
          <w:tcPr>
            <w:tcW w:w="320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00" w:type="dxa"/>
            <w:gridSpan w:val="3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           其他资金：</w:t>
            </w:r>
          </w:p>
        </w:tc>
        <w:tc>
          <w:tcPr>
            <w:tcW w:w="320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5" w:hRule="atLeast"/>
          <w:jc w:val="center"/>
        </w:trPr>
        <w:tc>
          <w:tcPr>
            <w:tcW w:w="250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部门职能</w:t>
            </w:r>
            <w:r>
              <w:rPr>
                <w:rFonts w:hint="eastAsia" w:ascii="宋体" w:hAnsi="宋体"/>
                <w:kern w:val="0"/>
                <w:szCs w:val="21"/>
              </w:rPr>
              <w:t>职责</w:t>
            </w:r>
            <w:r>
              <w:rPr>
                <w:rFonts w:ascii="宋体" w:hAnsi="宋体"/>
                <w:kern w:val="0"/>
                <w:szCs w:val="21"/>
              </w:rPr>
              <w:t>概述</w:t>
            </w:r>
          </w:p>
        </w:tc>
        <w:tc>
          <w:tcPr>
            <w:tcW w:w="7140" w:type="dxa"/>
            <w:gridSpan w:val="5"/>
            <w:noWrap w:val="0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区工委政法委是区工委领导和管理政法工作的职能部门，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>是实现党对政法工作领导的重要组织形式。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区工委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>政法委在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区工委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>领导下履行职责、开展工作，应当把握政治方向、协调各方职能、统筹政法工作、建设政法队伍、督促依法履职、创造公正司法环境，带头依法依规办事，保证宪法法律正确统一实施。其主要职责任务是:贯彻习近平新时代中国特色社会主义思想，贯彻党中央以及上级党组织决定，加强对政法领域重大实践和理论问题调查研究，创新完善多部门参与的平安建设工作协调机制，加强对政法工作的督查，支持和监督政法单位依法行使职权，指导和推动政法单位党的建设和政法队伍建设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8" w:hRule="atLeast"/>
          <w:jc w:val="center"/>
        </w:trPr>
        <w:tc>
          <w:tcPr>
            <w:tcW w:w="250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整体绩效目标</w:t>
            </w:r>
          </w:p>
        </w:tc>
        <w:tc>
          <w:tcPr>
            <w:tcW w:w="7140" w:type="dxa"/>
            <w:gridSpan w:val="5"/>
            <w:noWrap w:val="0"/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kern w:val="0"/>
                <w:szCs w:val="21"/>
              </w:rPr>
              <w:t>目标1：</w:t>
            </w:r>
            <w:r>
              <w:rPr>
                <w:rFonts w:hint="eastAsia"/>
                <w:kern w:val="0"/>
                <w:szCs w:val="21"/>
                <w:lang w:eastAsia="zh-CN"/>
              </w:rPr>
              <w:t>为党的二十大胜利召开创造安全稳定的政治社会环境；</w:t>
            </w:r>
          </w:p>
          <w:p>
            <w:pPr>
              <w:widowControl/>
              <w:jc w:val="left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kern w:val="0"/>
                <w:szCs w:val="21"/>
              </w:rPr>
              <w:t>目标2：</w:t>
            </w:r>
            <w:r>
              <w:rPr>
                <w:rFonts w:hint="eastAsia"/>
                <w:kern w:val="0"/>
                <w:szCs w:val="21"/>
              </w:rPr>
              <w:t>确保“平安建设”工作创省市先进，继续保持省级“平安县（市、区）”荣誉称号</w:t>
            </w:r>
            <w:r>
              <w:rPr>
                <w:rFonts w:hint="eastAsia"/>
                <w:kern w:val="0"/>
                <w:szCs w:val="21"/>
                <w:lang w:eastAsia="zh-CN"/>
              </w:rPr>
              <w:t>；</w:t>
            </w:r>
          </w:p>
          <w:p>
            <w:pPr>
              <w:widowControl/>
              <w:jc w:val="left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kern w:val="0"/>
                <w:szCs w:val="21"/>
              </w:rPr>
              <w:t>目标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3：全力再创全省信访工作“示范”县（市、区）；</w:t>
            </w:r>
          </w:p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目标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4：全力打造一支忠诚干净担当的政法铁军。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77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部门整体支出年度绩效指标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一级指标</w:t>
            </w:r>
          </w:p>
        </w:tc>
        <w:tc>
          <w:tcPr>
            <w:tcW w:w="1770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二级指标</w:t>
            </w:r>
          </w:p>
        </w:tc>
        <w:tc>
          <w:tcPr>
            <w:tcW w:w="262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指标内容</w:t>
            </w:r>
          </w:p>
        </w:tc>
        <w:tc>
          <w:tcPr>
            <w:tcW w:w="1705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指标值</w:t>
            </w:r>
          </w:p>
        </w:tc>
        <w:tc>
          <w:tcPr>
            <w:tcW w:w="202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restart"/>
            <w:noWrap w:val="0"/>
            <w:textDirection w:val="tbRlV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产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kern w:val="0"/>
                <w:szCs w:val="21"/>
              </w:rPr>
              <w:t>出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kern w:val="0"/>
                <w:szCs w:val="21"/>
              </w:rPr>
              <w:t>指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kern w:val="0"/>
                <w:szCs w:val="21"/>
              </w:rPr>
              <w:t>标</w:t>
            </w:r>
          </w:p>
        </w:tc>
        <w:tc>
          <w:tcPr>
            <w:tcW w:w="1770" w:type="dxa"/>
            <w:gridSpan w:val="2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数量指标</w:t>
            </w:r>
          </w:p>
        </w:tc>
        <w:tc>
          <w:tcPr>
            <w:tcW w:w="262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开展民调宣传</w:t>
            </w:r>
          </w:p>
        </w:tc>
        <w:tc>
          <w:tcPr>
            <w:tcW w:w="170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≥2次</w:t>
            </w:r>
          </w:p>
        </w:tc>
        <w:tc>
          <w:tcPr>
            <w:tcW w:w="20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62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组织开展平安建设活动</w:t>
            </w:r>
          </w:p>
        </w:tc>
        <w:tc>
          <w:tcPr>
            <w:tcW w:w="170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1次/年</w:t>
            </w:r>
          </w:p>
        </w:tc>
        <w:tc>
          <w:tcPr>
            <w:tcW w:w="20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62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确保全市平安稳定</w:t>
            </w:r>
          </w:p>
        </w:tc>
        <w:tc>
          <w:tcPr>
            <w:tcW w:w="170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20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62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邪教人员信息排查工作次数</w:t>
            </w:r>
          </w:p>
        </w:tc>
        <w:tc>
          <w:tcPr>
            <w:tcW w:w="170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≥3次</w:t>
            </w:r>
          </w:p>
        </w:tc>
        <w:tc>
          <w:tcPr>
            <w:tcW w:w="20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gridSpan w:val="2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质量指标</w:t>
            </w:r>
          </w:p>
        </w:tc>
        <w:tc>
          <w:tcPr>
            <w:tcW w:w="262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资金使用合规率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70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20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62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0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0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时效指标</w:t>
            </w:r>
          </w:p>
        </w:tc>
        <w:tc>
          <w:tcPr>
            <w:tcW w:w="262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  <w:lang w:eastAsia="zh-CN"/>
              </w:rPr>
              <w:t>工作开展的及时性</w:t>
            </w:r>
          </w:p>
        </w:tc>
        <w:tc>
          <w:tcPr>
            <w:tcW w:w="170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按时开展</w:t>
            </w:r>
          </w:p>
        </w:tc>
        <w:tc>
          <w:tcPr>
            <w:tcW w:w="20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成本指标</w:t>
            </w:r>
          </w:p>
        </w:tc>
        <w:tc>
          <w:tcPr>
            <w:tcW w:w="262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预算支出金额：</w:t>
            </w:r>
          </w:p>
        </w:tc>
        <w:tc>
          <w:tcPr>
            <w:tcW w:w="170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≤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271.89</w:t>
            </w:r>
            <w:r>
              <w:rPr>
                <w:rFonts w:hint="eastAsia"/>
                <w:kern w:val="0"/>
                <w:szCs w:val="21"/>
              </w:rPr>
              <w:t>万元</w:t>
            </w:r>
          </w:p>
        </w:tc>
        <w:tc>
          <w:tcPr>
            <w:tcW w:w="20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restart"/>
            <w:noWrap w:val="0"/>
            <w:textDirection w:val="tbRlV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效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kern w:val="0"/>
                <w:szCs w:val="21"/>
              </w:rPr>
              <w:t>益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kern w:val="0"/>
                <w:szCs w:val="21"/>
              </w:rPr>
              <w:t>指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kern w:val="0"/>
                <w:szCs w:val="21"/>
              </w:rPr>
              <w:t>标</w:t>
            </w:r>
          </w:p>
        </w:tc>
        <w:tc>
          <w:tcPr>
            <w:tcW w:w="177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经济效益指标</w:t>
            </w:r>
          </w:p>
        </w:tc>
        <w:tc>
          <w:tcPr>
            <w:tcW w:w="262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0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</w:p>
        </w:tc>
        <w:tc>
          <w:tcPr>
            <w:tcW w:w="20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gridSpan w:val="2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社会效益指标</w:t>
            </w:r>
          </w:p>
        </w:tc>
        <w:tc>
          <w:tcPr>
            <w:tcW w:w="262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  <w:lang w:eastAsia="zh-CN"/>
              </w:rPr>
              <w:t>加强社会治安综合治理</w:t>
            </w:r>
          </w:p>
        </w:tc>
        <w:tc>
          <w:tcPr>
            <w:tcW w:w="170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全面提升</w:t>
            </w:r>
          </w:p>
        </w:tc>
        <w:tc>
          <w:tcPr>
            <w:tcW w:w="20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62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政法宣传工作</w:t>
            </w:r>
          </w:p>
        </w:tc>
        <w:tc>
          <w:tcPr>
            <w:tcW w:w="170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有影响力</w:t>
            </w:r>
          </w:p>
        </w:tc>
        <w:tc>
          <w:tcPr>
            <w:tcW w:w="20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生态效益指标</w:t>
            </w:r>
          </w:p>
        </w:tc>
        <w:tc>
          <w:tcPr>
            <w:tcW w:w="262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70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0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可持续影响指标</w:t>
            </w:r>
          </w:p>
        </w:tc>
        <w:tc>
          <w:tcPr>
            <w:tcW w:w="262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平安洪江区建设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70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有力深化</w:t>
            </w:r>
          </w:p>
        </w:tc>
        <w:tc>
          <w:tcPr>
            <w:tcW w:w="20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77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社会公众或服务对象满意度指标</w:t>
            </w:r>
          </w:p>
        </w:tc>
        <w:tc>
          <w:tcPr>
            <w:tcW w:w="262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社会公众满意度</w:t>
            </w:r>
          </w:p>
        </w:tc>
        <w:tc>
          <w:tcPr>
            <w:tcW w:w="170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90%以上</w:t>
            </w:r>
          </w:p>
        </w:tc>
        <w:tc>
          <w:tcPr>
            <w:tcW w:w="202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  <w:jc w:val="center"/>
        </w:trPr>
        <w:tc>
          <w:tcPr>
            <w:tcW w:w="152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归口股室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120" w:type="dxa"/>
            <w:gridSpan w:val="6"/>
            <w:noWrap w:val="0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  <w:jc w:val="center"/>
        </w:trPr>
        <w:tc>
          <w:tcPr>
            <w:tcW w:w="152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绩效股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120" w:type="dxa"/>
            <w:gridSpan w:val="6"/>
            <w:noWrap w:val="0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  <w:jc w:val="center"/>
        </w:trPr>
        <w:tc>
          <w:tcPr>
            <w:tcW w:w="152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预算股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120" w:type="dxa"/>
            <w:gridSpan w:val="6"/>
            <w:noWrap w:val="0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</w:tbl>
    <w:p>
      <w:pPr>
        <w:widowControl/>
        <w:tabs>
          <w:tab w:val="left" w:pos="3093"/>
          <w:tab w:val="left" w:pos="6493"/>
        </w:tabs>
        <w:jc w:val="left"/>
        <w:rPr>
          <w:rFonts w:hint="eastAsia"/>
          <w:kern w:val="0"/>
          <w:szCs w:val="21"/>
        </w:rPr>
      </w:pPr>
    </w:p>
    <w:p>
      <w:pPr>
        <w:widowControl/>
        <w:tabs>
          <w:tab w:val="left" w:pos="3093"/>
          <w:tab w:val="left" w:pos="6493"/>
        </w:tabs>
        <w:jc w:val="left"/>
        <w:rPr>
          <w:rFonts w:hint="default" w:eastAsia="宋体"/>
          <w:kern w:val="0"/>
          <w:szCs w:val="21"/>
          <w:lang w:val="en-US" w:eastAsia="zh-CN"/>
        </w:rPr>
      </w:pPr>
      <w:r>
        <w:rPr>
          <w:kern w:val="0"/>
          <w:szCs w:val="21"/>
        </w:rPr>
        <w:t>填报人：</w:t>
      </w:r>
      <w:r>
        <w:rPr>
          <w:rFonts w:hint="eastAsia"/>
          <w:kern w:val="0"/>
          <w:szCs w:val="21"/>
          <w:lang w:eastAsia="zh-CN"/>
        </w:rPr>
        <w:t>谌爽爽</w:t>
      </w:r>
      <w:r>
        <w:rPr>
          <w:kern w:val="0"/>
          <w:szCs w:val="21"/>
        </w:rPr>
        <w:tab/>
      </w:r>
      <w:r>
        <w:rPr>
          <w:kern w:val="0"/>
          <w:szCs w:val="21"/>
        </w:rPr>
        <w:t>联系电话：</w:t>
      </w:r>
      <w:r>
        <w:rPr>
          <w:rFonts w:hint="eastAsia"/>
          <w:kern w:val="0"/>
          <w:szCs w:val="21"/>
          <w:lang w:val="en-US" w:eastAsia="zh-CN"/>
        </w:rPr>
        <w:t>7625988</w:t>
      </w:r>
      <w:r>
        <w:rPr>
          <w:kern w:val="0"/>
          <w:szCs w:val="21"/>
        </w:rPr>
        <w:tab/>
      </w:r>
      <w:r>
        <w:rPr>
          <w:kern w:val="0"/>
          <w:szCs w:val="21"/>
        </w:rPr>
        <w:t>填报日期：</w:t>
      </w:r>
      <w:bookmarkStart w:id="0" w:name="_GoBack"/>
      <w:bookmarkEnd w:id="0"/>
    </w:p>
    <w:p>
      <w:pPr>
        <w:widowControl/>
        <w:tabs>
          <w:tab w:val="left" w:pos="1333"/>
          <w:tab w:val="left" w:pos="3793"/>
          <w:tab w:val="left" w:pos="5853"/>
        </w:tabs>
        <w:ind w:firstLine="315" w:firstLineChars="150"/>
        <w:jc w:val="left"/>
        <w:rPr>
          <w:kern w:val="0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yOTlmMzk2YTY1ZmZkMmJjYjljOGE0NTYxZDRlMGUifQ=="/>
  </w:docVars>
  <w:rsids>
    <w:rsidRoot w:val="00000000"/>
    <w:rsid w:val="06827FBD"/>
    <w:rsid w:val="08C507A3"/>
    <w:rsid w:val="0AAC4681"/>
    <w:rsid w:val="15CB5BCE"/>
    <w:rsid w:val="160550C9"/>
    <w:rsid w:val="25C4232E"/>
    <w:rsid w:val="2A2F6063"/>
    <w:rsid w:val="5ECF2E7C"/>
    <w:rsid w:val="6B9D2722"/>
    <w:rsid w:val="75D72276"/>
    <w:rsid w:val="7B72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800</Words>
  <Characters>844</Characters>
  <Lines>0</Lines>
  <Paragraphs>0</Paragraphs>
  <TotalTime>15</TotalTime>
  <ScaleCrop>false</ScaleCrop>
  <LinksUpToDate>false</LinksUpToDate>
  <CharactersWithSpaces>1652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2022-05-25T08:11:00Z</dcterms:created>
  <dc:creator>Administrator</dc:creator>
  <cp:lastModifiedBy>Administrator</cp:lastModifiedBy>
  <dcterms:modified xsi:type="dcterms:W3CDTF">2022-07-18T01:34:38Z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D59F866768BE4823A90E07CC31C53BC3</vt:lpwstr>
  </property>
</Properties>
</file>