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color w:val="auto"/>
          <w:sz w:val="44"/>
          <w:szCs w:val="44"/>
        </w:rPr>
      </w:pPr>
      <w:bookmarkStart w:id="0" w:name="_GoBack"/>
      <w:bookmarkEnd w:id="0"/>
      <w:r>
        <w:rPr>
          <w:rFonts w:hint="eastAsia" w:ascii="方正小标宋简体" w:hAnsi="方正小标宋简体" w:eastAsia="方正小标宋简体" w:cs="方正小标宋简体"/>
          <w:color w:val="auto"/>
          <w:sz w:val="44"/>
          <w:szCs w:val="44"/>
          <w:lang w:eastAsia="zh-CN"/>
        </w:rPr>
        <w:t>洪江区发展和改革</w:t>
      </w:r>
      <w:r>
        <w:rPr>
          <w:rFonts w:hint="eastAsia" w:ascii="方正小标宋简体" w:hAnsi="方正小标宋简体" w:eastAsia="方正小标宋简体" w:cs="方正小标宋简体"/>
          <w:color w:val="auto"/>
          <w:sz w:val="44"/>
          <w:szCs w:val="44"/>
        </w:rPr>
        <w:t>局</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2</w:t>
      </w:r>
      <w:r>
        <w:rPr>
          <w:rFonts w:hint="eastAsia" w:ascii="方正小标宋简体" w:hAnsi="方正小标宋简体" w:eastAsia="方正小标宋简体" w:cs="方正小标宋简体"/>
          <w:color w:val="auto"/>
          <w:sz w:val="44"/>
          <w:szCs w:val="44"/>
        </w:rPr>
        <w:t>年工作总结</w:t>
      </w:r>
      <w:r>
        <w:rPr>
          <w:rFonts w:hint="eastAsia" w:ascii="方正小标宋简体" w:hAnsi="方正小标宋简体" w:eastAsia="方正小标宋简体" w:cs="方正小标宋简体"/>
          <w:color w:val="auto"/>
          <w:sz w:val="44"/>
          <w:szCs w:val="44"/>
          <w:lang w:eastAsia="zh-CN"/>
        </w:rPr>
        <w:t>和</w:t>
      </w:r>
      <w:r>
        <w:rPr>
          <w:rFonts w:hint="eastAsia" w:ascii="方正小标宋简体" w:hAnsi="方正小标宋简体" w:eastAsia="方正小标宋简体" w:cs="方正小标宋简体"/>
          <w:color w:val="auto"/>
          <w:sz w:val="44"/>
          <w:szCs w:val="44"/>
          <w:lang w:val="en-US" w:eastAsia="zh-CN"/>
        </w:rPr>
        <w:t>2023年工作计划</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color w:val="auto"/>
          <w:sz w:val="30"/>
          <w:szCs w:val="30"/>
        </w:rPr>
      </w:pPr>
    </w:p>
    <w:p>
      <w:pPr>
        <w:keepNext w:val="0"/>
        <w:keepLines w:val="0"/>
        <w:pageBreakBefore w:val="0"/>
        <w:widowControl w:val="0"/>
        <w:kinsoku/>
        <w:overflowPunct/>
        <w:topLinePunct w:val="0"/>
        <w:autoSpaceDE w:val="0"/>
        <w:autoSpaceDN/>
        <w:bidi w:val="0"/>
        <w:adjustRightInd/>
        <w:snapToGrid/>
        <w:spacing w:line="580" w:lineRule="exact"/>
        <w:ind w:firstLine="640" w:firstLineChars="200"/>
        <w:rPr>
          <w:rFonts w:hint="eastAsia" w:ascii="仿宋" w:hAnsi="仿宋" w:eastAsia="仿宋" w:cs="仿宋"/>
          <w:color w:val="auto"/>
          <w:spacing w:val="10"/>
          <w:sz w:val="32"/>
          <w:szCs w:val="32"/>
        </w:rPr>
      </w:pPr>
      <w:r>
        <w:rPr>
          <w:rFonts w:hint="eastAsia" w:ascii="仿宋" w:hAnsi="仿宋" w:eastAsia="仿宋" w:cs="仿宋"/>
          <w:color w:val="auto"/>
          <w:sz w:val="32"/>
          <w:szCs w:val="32"/>
        </w:rPr>
        <w:t>2022年是“十四五”规划的关键之年，在</w:t>
      </w:r>
      <w:r>
        <w:rPr>
          <w:rFonts w:hint="eastAsia" w:ascii="仿宋" w:hAnsi="仿宋" w:eastAsia="仿宋" w:cs="仿宋"/>
          <w:color w:val="auto"/>
          <w:sz w:val="32"/>
          <w:szCs w:val="32"/>
          <w:lang w:eastAsia="zh-CN"/>
        </w:rPr>
        <w:t>区工委、区管委</w:t>
      </w:r>
      <w:r>
        <w:rPr>
          <w:rFonts w:hint="eastAsia" w:ascii="仿宋" w:hAnsi="仿宋" w:eastAsia="仿宋" w:cs="仿宋"/>
          <w:color w:val="auto"/>
          <w:sz w:val="32"/>
          <w:szCs w:val="32"/>
        </w:rPr>
        <w:t>的坚强领导下，以习近平新时代中国特色社会主义思想为指导，深入学习贯彻</w:t>
      </w:r>
      <w:r>
        <w:rPr>
          <w:rFonts w:hint="eastAsia" w:ascii="仿宋" w:hAnsi="仿宋" w:eastAsia="仿宋" w:cs="仿宋"/>
          <w:color w:val="auto"/>
          <w:sz w:val="32"/>
          <w:szCs w:val="32"/>
          <w:lang w:eastAsia="zh-CN"/>
        </w:rPr>
        <w:t>二十大会议</w:t>
      </w:r>
      <w:r>
        <w:rPr>
          <w:rFonts w:hint="eastAsia" w:ascii="仿宋" w:hAnsi="仿宋" w:eastAsia="仿宋" w:cs="仿宋"/>
          <w:color w:val="auto"/>
          <w:sz w:val="32"/>
          <w:szCs w:val="32"/>
        </w:rPr>
        <w:t>精神，坚定不移贯彻新发展理念，坚持稳字当头、稳中求进，统筹疫情防控和经济社会发展，</w:t>
      </w:r>
      <w:r>
        <w:rPr>
          <w:rFonts w:hint="eastAsia" w:ascii="仿宋" w:hAnsi="仿宋" w:eastAsia="仿宋" w:cs="仿宋"/>
          <w:color w:val="auto"/>
          <w:spacing w:val="10"/>
          <w:sz w:val="32"/>
          <w:szCs w:val="32"/>
          <w:lang w:eastAsia="zh-CN"/>
        </w:rPr>
        <w:t>不断</w:t>
      </w:r>
      <w:r>
        <w:rPr>
          <w:rFonts w:hint="eastAsia" w:ascii="仿宋" w:hAnsi="仿宋" w:eastAsia="仿宋" w:cs="仿宋"/>
          <w:color w:val="auto"/>
          <w:spacing w:val="10"/>
          <w:sz w:val="32"/>
          <w:szCs w:val="32"/>
        </w:rPr>
        <w:t>发挥部门职能</w:t>
      </w:r>
      <w:r>
        <w:rPr>
          <w:rFonts w:hint="eastAsia" w:ascii="仿宋" w:hAnsi="仿宋" w:eastAsia="仿宋" w:cs="仿宋"/>
          <w:color w:val="auto"/>
          <w:spacing w:val="10"/>
          <w:sz w:val="32"/>
          <w:szCs w:val="32"/>
          <w:lang w:eastAsia="zh-CN"/>
        </w:rPr>
        <w:t>作用</w:t>
      </w:r>
      <w:r>
        <w:rPr>
          <w:rFonts w:hint="eastAsia" w:ascii="仿宋" w:hAnsi="仿宋" w:eastAsia="仿宋" w:cs="仿宋"/>
          <w:color w:val="auto"/>
          <w:spacing w:val="10"/>
          <w:sz w:val="32"/>
          <w:szCs w:val="32"/>
        </w:rPr>
        <w:t>，</w:t>
      </w:r>
      <w:r>
        <w:rPr>
          <w:rFonts w:hint="eastAsia" w:ascii="仿宋" w:hAnsi="仿宋" w:eastAsia="仿宋" w:cs="仿宋"/>
          <w:color w:val="auto"/>
          <w:spacing w:val="10"/>
          <w:sz w:val="32"/>
          <w:szCs w:val="32"/>
          <w:lang w:eastAsia="zh-CN"/>
        </w:rPr>
        <w:t>统筹经济、项目、改革、民生</w:t>
      </w:r>
      <w:r>
        <w:rPr>
          <w:rFonts w:hint="eastAsia" w:ascii="仿宋" w:hAnsi="仿宋" w:eastAsia="仿宋" w:cs="仿宋"/>
          <w:color w:val="auto"/>
          <w:spacing w:val="10"/>
          <w:sz w:val="32"/>
          <w:szCs w:val="32"/>
        </w:rPr>
        <w:t>各项工作</w:t>
      </w:r>
      <w:r>
        <w:rPr>
          <w:rFonts w:hint="eastAsia" w:ascii="仿宋" w:hAnsi="仿宋" w:eastAsia="仿宋" w:cs="仿宋"/>
          <w:color w:val="auto"/>
          <w:spacing w:val="10"/>
          <w:sz w:val="32"/>
          <w:szCs w:val="32"/>
          <w:lang w:eastAsia="zh-CN"/>
        </w:rPr>
        <w:t>取得较大进展。</w:t>
      </w:r>
      <w:r>
        <w:rPr>
          <w:rFonts w:hint="eastAsia" w:ascii="仿宋" w:hAnsi="仿宋" w:eastAsia="仿宋" w:cs="仿宋"/>
          <w:color w:val="auto"/>
          <w:spacing w:val="10"/>
          <w:sz w:val="32"/>
          <w:szCs w:val="32"/>
        </w:rPr>
        <w:t>现将202</w:t>
      </w:r>
      <w:r>
        <w:rPr>
          <w:rFonts w:hint="eastAsia" w:ascii="仿宋" w:hAnsi="仿宋" w:eastAsia="仿宋" w:cs="仿宋"/>
          <w:color w:val="auto"/>
          <w:spacing w:val="10"/>
          <w:sz w:val="32"/>
          <w:szCs w:val="32"/>
          <w:lang w:val="en-US" w:eastAsia="zh-CN"/>
        </w:rPr>
        <w:t>2</w:t>
      </w:r>
      <w:r>
        <w:rPr>
          <w:rFonts w:hint="eastAsia" w:ascii="仿宋" w:hAnsi="仿宋" w:eastAsia="仿宋" w:cs="仿宋"/>
          <w:color w:val="auto"/>
          <w:spacing w:val="10"/>
          <w:sz w:val="32"/>
          <w:szCs w:val="32"/>
        </w:rPr>
        <w:t>年主要工作开展情况汇报如下：</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0" w:firstLineChars="200"/>
        <w:rPr>
          <w:rFonts w:hint="eastAsia" w:ascii="仿宋" w:hAnsi="仿宋" w:eastAsia="仿宋" w:cs="仿宋"/>
          <w:b w:val="0"/>
          <w:bCs/>
          <w:color w:val="auto"/>
          <w:spacing w:val="10"/>
          <w:sz w:val="32"/>
          <w:szCs w:val="32"/>
          <w:lang w:val="en-US" w:eastAsia="zh-CN"/>
        </w:rPr>
      </w:pP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聚焦职能发挥，稳步推进经济增长</w:t>
      </w:r>
      <w:r>
        <w:rPr>
          <w:rFonts w:hint="eastAsia" w:ascii="黑体" w:hAnsi="黑体" w:eastAsia="黑体" w:cs="黑体"/>
          <w:color w:val="auto"/>
          <w:sz w:val="32"/>
          <w:szCs w:val="32"/>
          <w:lang w:eastAsia="zh-CN"/>
        </w:rPr>
        <w:t>。</w:t>
      </w:r>
      <w:r>
        <w:rPr>
          <w:rFonts w:hint="eastAsia" w:ascii="仿宋" w:hAnsi="仿宋" w:eastAsia="仿宋" w:cs="仿宋"/>
          <w:b w:val="0"/>
          <w:bCs/>
          <w:color w:val="auto"/>
          <w:spacing w:val="10"/>
          <w:sz w:val="32"/>
          <w:szCs w:val="32"/>
          <w:lang w:val="en-US" w:eastAsia="zh-CN"/>
        </w:rPr>
        <w:t>强化经济运行实时监测预警，锁定年初确定的发展预期指标和约束性指标，围绕进度、节点抓调度、促落实。及时分析研判全区经济运行的难点，研究提出相应的解决措施，形成了《洪江区2022年上半年国民经济执行情况报告》《洪江区2022年固定资产投资和项目建设情况汇报》《洪江区2022年国民经济和社会发展计划执行情况与2023年计划（草案）报告》等报告，供区工委、区管委领导决策参考。全年完成固定资产投资44.9亿元，同比增长12%。其中：民间投资27.84亿元，占全部投资比重的62%，产业投资36.37亿元，占全部投资比重的81%，同比增长79%；高技术产业投资2.92亿元，占全部投资比重的6.5%，同比增长24.7%。</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0" w:firstLineChars="200"/>
        <w:rPr>
          <w:rFonts w:hint="eastAsia" w:ascii="仿宋_GB2312" w:eastAsia="仿宋_GB2312"/>
          <w:color w:val="auto"/>
          <w:sz w:val="32"/>
          <w:szCs w:val="32"/>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聚焦项目建设，</w:t>
      </w:r>
      <w:r>
        <w:rPr>
          <w:rFonts w:hint="eastAsia" w:ascii="黑体" w:hAnsi="黑体" w:eastAsia="黑体" w:cs="黑体"/>
          <w:color w:val="auto"/>
          <w:sz w:val="32"/>
          <w:szCs w:val="32"/>
          <w:lang w:eastAsia="zh-CN"/>
        </w:rPr>
        <w:t>扩大有效投资</w:t>
      </w:r>
      <w:r>
        <w:rPr>
          <w:rFonts w:hint="eastAsia" w:ascii="黑体" w:hAnsi="黑体" w:eastAsia="黑体" w:cs="黑体"/>
          <w:color w:val="auto"/>
          <w:sz w:val="32"/>
          <w:szCs w:val="32"/>
        </w:rPr>
        <w:t>。</w:t>
      </w:r>
      <w:r>
        <w:rPr>
          <w:rFonts w:hint="eastAsia" w:ascii="仿宋" w:hAnsi="仿宋" w:eastAsia="仿宋" w:cs="仿宋"/>
          <w:b w:val="0"/>
          <w:bCs w:val="0"/>
          <w:color w:val="auto"/>
          <w:sz w:val="32"/>
          <w:szCs w:val="32"/>
        </w:rPr>
        <w:t>牢固树立“发展为要、项目为王、实干为先”</w:t>
      </w:r>
      <w:r>
        <w:rPr>
          <w:rFonts w:hint="eastAsia" w:ascii="仿宋" w:hAnsi="仿宋" w:eastAsia="仿宋" w:cs="仿宋"/>
          <w:b w:val="0"/>
          <w:bCs w:val="0"/>
          <w:color w:val="auto"/>
          <w:sz w:val="32"/>
          <w:szCs w:val="32"/>
          <w:lang w:eastAsia="zh-CN"/>
        </w:rPr>
        <w:t>的</w:t>
      </w:r>
      <w:r>
        <w:rPr>
          <w:rFonts w:hint="eastAsia" w:ascii="仿宋" w:hAnsi="仿宋" w:eastAsia="仿宋" w:cs="仿宋"/>
          <w:b w:val="0"/>
          <w:bCs w:val="0"/>
          <w:color w:val="auto"/>
          <w:sz w:val="32"/>
          <w:szCs w:val="32"/>
        </w:rPr>
        <w:t>鲜明导向</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重点项目建设高效推进。</w:t>
      </w:r>
      <w:r>
        <w:rPr>
          <w:rFonts w:hint="eastAsia" w:ascii="仿宋" w:hAnsi="仿宋" w:eastAsia="仿宋" w:cs="仿宋"/>
          <w:b/>
          <w:bCs/>
          <w:color w:val="auto"/>
          <w:sz w:val="32"/>
          <w:szCs w:val="32"/>
        </w:rPr>
        <w:t>一是产业投资快速增长。</w:t>
      </w:r>
      <w:r>
        <w:rPr>
          <w:rFonts w:hint="eastAsia" w:ascii="仿宋" w:hAnsi="仿宋" w:eastAsia="仿宋" w:cs="仿宋"/>
          <w:b w:val="0"/>
          <w:bCs w:val="0"/>
          <w:color w:val="auto"/>
          <w:sz w:val="32"/>
          <w:szCs w:val="32"/>
        </w:rPr>
        <w:t>全年完成固定资产投资44.9亿元，同比增长12%。其中：民间投资27.84亿元，占全部投资比重的62%，产业投资36.37亿元，占全部投资比重的81%，同比增长79%；高技术产业投资2.92亿元，占全部投资比重的6.5%，同比增长24.7%。</w:t>
      </w:r>
      <w:r>
        <w:rPr>
          <w:rFonts w:hint="eastAsia" w:ascii="仿宋" w:hAnsi="仿宋" w:eastAsia="仿宋" w:cs="仿宋"/>
          <w:b/>
          <w:bCs/>
          <w:color w:val="auto"/>
          <w:sz w:val="32"/>
          <w:szCs w:val="32"/>
        </w:rPr>
        <w:t>二是重点项目建设高效推进。</w:t>
      </w:r>
      <w:r>
        <w:rPr>
          <w:rFonts w:hint="eastAsia" w:ascii="仿宋" w:hAnsi="仿宋" w:eastAsia="仿宋" w:cs="仿宋"/>
          <w:b w:val="0"/>
          <w:bCs w:val="0"/>
          <w:color w:val="auto"/>
          <w:sz w:val="32"/>
          <w:szCs w:val="32"/>
        </w:rPr>
        <w:t>全年铺排本级重点项目47个，总投资71.52亿元，年度计划投资29.17亿元，其中省、市重点项目11个，总投资42.6亿元，年度计划投资18.2亿元。预计区重点项目完成率105%，省、市重点项目全年完成率达120%。</w:t>
      </w:r>
      <w:r>
        <w:rPr>
          <w:rFonts w:hint="eastAsia" w:ascii="仿宋" w:hAnsi="仿宋" w:eastAsia="仿宋" w:cs="仿宋"/>
          <w:b/>
          <w:bCs/>
          <w:color w:val="auto"/>
          <w:sz w:val="32"/>
          <w:szCs w:val="32"/>
        </w:rPr>
        <w:t>三是重大项目谋划全面发力。</w:t>
      </w:r>
      <w:r>
        <w:rPr>
          <w:rFonts w:hint="eastAsia" w:ascii="仿宋" w:hAnsi="仿宋" w:eastAsia="仿宋" w:cs="仿宋"/>
          <w:b w:val="0"/>
          <w:bCs w:val="0"/>
          <w:color w:val="auto"/>
          <w:sz w:val="32"/>
          <w:szCs w:val="32"/>
        </w:rPr>
        <w:t>成功申请将我区纳入湖南省天然气长输管道县县通规划。洪江全域旅游开发建设项目已列入全市《国省“十四五”规划中期调整重大项目谋划清单》，涉及我区的跨区域项目2个，分别是沅水洪江至辰溪航道建设工程、贵州玉屏-怀化市洪江区-怀化高新区天然气输送管道及储气设施建设项目。拟谋划国、省“十四五”规划中期调整重大项目4个。四是全力对接国家稳经济政策+接续措施。盘活国有存量资产近8亿元，包装项目6个，计划融资5.55亿元。成功以“洪江古商城景区半个铜钱广场建设项目”申报设备购置更新国家贴息贷款 4000万元，协助湖南双阳高科成功申报办理制造业中长期低息贷款2980万元。</w:t>
      </w:r>
    </w:p>
    <w:p>
      <w:pPr>
        <w:keepNext w:val="0"/>
        <w:keepLines w:val="0"/>
        <w:pageBreakBefore w:val="0"/>
        <w:widowControl w:val="0"/>
        <w:kinsoku/>
        <w:overflowPunct/>
        <w:topLinePunct w:val="0"/>
        <w:autoSpaceDN/>
        <w:bidi w:val="0"/>
        <w:adjustRightInd/>
        <w:snapToGrid/>
        <w:spacing w:line="580" w:lineRule="exact"/>
        <w:ind w:firstLine="640" w:firstLineChars="200"/>
        <w:rPr>
          <w:rFonts w:hint="eastAsia" w:ascii="仿宋_GB2312" w:hAnsi="??_GB2312" w:eastAsia="仿宋_GB2312"/>
          <w:color w:val="auto"/>
          <w:sz w:val="32"/>
          <w:szCs w:val="32"/>
          <w:lang w:val="en-US" w:eastAsia="zh-CN"/>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聚焦平台建设，全力服务高质量发展。</w:t>
      </w:r>
      <w:r>
        <w:rPr>
          <w:rFonts w:hint="eastAsia" w:ascii="仿宋_GB2312" w:hAnsi="??_GB2312" w:eastAsia="仿宋_GB2312"/>
          <w:color w:val="auto"/>
          <w:sz w:val="32"/>
          <w:szCs w:val="32"/>
          <w:lang w:eastAsia="zh-CN"/>
        </w:rPr>
        <w:t>为深入贯彻落实湖南省人民政府办公厅关于印发</w:t>
      </w:r>
      <w:r>
        <w:rPr>
          <w:rFonts w:hint="eastAsia" w:ascii="仿宋_GB2312" w:hAnsi="??_GB2312" w:eastAsia="仿宋_GB2312"/>
          <w:color w:val="auto"/>
          <w:sz w:val="32"/>
          <w:szCs w:val="32"/>
          <w:lang w:val="en-US" w:eastAsia="zh-CN"/>
        </w:rPr>
        <w:t>&lt;开展“走流程、解难题、优服务”行动方案&gt;的通知</w:t>
      </w:r>
      <w:r>
        <w:rPr>
          <w:rFonts w:hint="eastAsia" w:ascii="仿宋_GB2312" w:hAnsi="??_GB2312" w:eastAsia="仿宋_GB2312"/>
          <w:color w:val="auto"/>
          <w:sz w:val="32"/>
          <w:szCs w:val="32"/>
          <w:lang w:eastAsia="zh-CN"/>
        </w:rPr>
        <w:t>》（湘政办函〔</w:t>
      </w:r>
      <w:r>
        <w:rPr>
          <w:rFonts w:hint="eastAsia" w:ascii="仿宋_GB2312" w:hAnsi="??_GB2312" w:eastAsia="仿宋_GB2312"/>
          <w:color w:val="auto"/>
          <w:sz w:val="32"/>
          <w:szCs w:val="32"/>
          <w:lang w:val="en-US" w:eastAsia="zh-CN"/>
        </w:rPr>
        <w:t>2022</w:t>
      </w:r>
      <w:r>
        <w:rPr>
          <w:rFonts w:hint="eastAsia" w:ascii="仿宋_GB2312" w:hAnsi="??_GB2312" w:eastAsia="仿宋_GB2312"/>
          <w:color w:val="auto"/>
          <w:sz w:val="32"/>
          <w:szCs w:val="32"/>
          <w:lang w:eastAsia="zh-CN"/>
        </w:rPr>
        <w:t>〕</w:t>
      </w:r>
      <w:r>
        <w:rPr>
          <w:rFonts w:hint="eastAsia" w:ascii="仿宋_GB2312" w:hAnsi="??_GB2312" w:eastAsia="仿宋_GB2312"/>
          <w:color w:val="auto"/>
          <w:sz w:val="32"/>
          <w:szCs w:val="32"/>
          <w:lang w:val="en-US" w:eastAsia="zh-CN"/>
        </w:rPr>
        <w:t>22号</w:t>
      </w:r>
      <w:r>
        <w:rPr>
          <w:rFonts w:hint="eastAsia" w:ascii="仿宋_GB2312" w:hAnsi="??_GB2312" w:eastAsia="仿宋_GB2312"/>
          <w:color w:val="auto"/>
          <w:sz w:val="32"/>
          <w:szCs w:val="32"/>
          <w:lang w:eastAsia="zh-CN"/>
        </w:rPr>
        <w:t>）文件精神，《洪江区政务服务</w:t>
      </w:r>
      <w:r>
        <w:rPr>
          <w:rFonts w:hint="eastAsia" w:ascii="仿宋_GB2312" w:hAnsi="??_GB2312" w:eastAsia="仿宋_GB2312"/>
          <w:color w:val="auto"/>
          <w:sz w:val="32"/>
          <w:szCs w:val="32"/>
          <w:lang w:val="en-US" w:eastAsia="zh-CN"/>
        </w:rPr>
        <w:t>“走流程、解难题、优服务”行动方案&gt;的通知</w:t>
      </w:r>
      <w:r>
        <w:rPr>
          <w:rFonts w:hint="eastAsia" w:ascii="仿宋_GB2312" w:hAnsi="??_GB2312" w:eastAsia="仿宋_GB2312"/>
          <w:color w:val="auto"/>
          <w:sz w:val="32"/>
          <w:szCs w:val="32"/>
          <w:lang w:eastAsia="zh-CN"/>
        </w:rPr>
        <w:t>》（洪管办函〔</w:t>
      </w:r>
      <w:r>
        <w:rPr>
          <w:rFonts w:hint="eastAsia" w:ascii="仿宋_GB2312" w:hAnsi="??_GB2312" w:eastAsia="仿宋_GB2312"/>
          <w:color w:val="auto"/>
          <w:sz w:val="32"/>
          <w:szCs w:val="32"/>
          <w:lang w:val="en-US" w:eastAsia="zh-CN"/>
        </w:rPr>
        <w:t>2022</w:t>
      </w:r>
      <w:r>
        <w:rPr>
          <w:rFonts w:hint="eastAsia" w:ascii="仿宋_GB2312" w:hAnsi="??_GB2312" w:eastAsia="仿宋_GB2312"/>
          <w:color w:val="auto"/>
          <w:sz w:val="32"/>
          <w:szCs w:val="32"/>
          <w:lang w:eastAsia="zh-CN"/>
        </w:rPr>
        <w:t>〕</w:t>
      </w:r>
      <w:r>
        <w:rPr>
          <w:rFonts w:hint="eastAsia" w:ascii="仿宋_GB2312" w:hAnsi="??_GB2312" w:eastAsia="仿宋_GB2312"/>
          <w:color w:val="auto"/>
          <w:sz w:val="32"/>
          <w:szCs w:val="32"/>
          <w:lang w:val="en-US" w:eastAsia="zh-CN"/>
        </w:rPr>
        <w:t>10号</w:t>
      </w:r>
      <w:r>
        <w:rPr>
          <w:rFonts w:hint="eastAsia" w:ascii="仿宋_GB2312" w:hAnsi="??_GB2312" w:eastAsia="仿宋_GB2312"/>
          <w:color w:val="auto"/>
          <w:sz w:val="32"/>
          <w:szCs w:val="32"/>
          <w:lang w:eastAsia="zh-CN"/>
        </w:rPr>
        <w:t>）工作要求</w:t>
      </w:r>
      <w:r>
        <w:rPr>
          <w:rFonts w:hint="eastAsia" w:ascii="仿宋_GB2312" w:hAnsi="??_GB2312" w:eastAsia="仿宋_GB2312"/>
          <w:color w:val="auto"/>
          <w:sz w:val="32"/>
          <w:szCs w:val="32"/>
          <w:lang w:val="en-US" w:eastAsia="zh-CN"/>
        </w:rPr>
        <w:t>，我局积极开展“走流程、解难题、优服务”行动，局班子成员领导分别于5月6日、5月20日，以办事群众身份形式，对</w:t>
      </w:r>
      <w:r>
        <w:rPr>
          <w:rFonts w:hint="default" w:ascii="仿宋_GB2312" w:hAnsi="??_GB2312" w:eastAsia="仿宋_GB2312"/>
          <w:color w:val="auto"/>
          <w:sz w:val="32"/>
          <w:szCs w:val="32"/>
          <w:lang w:val="en-US" w:eastAsia="zh-CN"/>
        </w:rPr>
        <w:t>企业投资项目备案</w:t>
      </w:r>
      <w:r>
        <w:rPr>
          <w:rFonts w:hint="eastAsia" w:ascii="仿宋_GB2312" w:hAnsi="??_GB2312" w:eastAsia="仿宋_GB2312"/>
          <w:color w:val="auto"/>
          <w:sz w:val="32"/>
          <w:szCs w:val="32"/>
          <w:lang w:val="en-US" w:eastAsia="zh-CN"/>
        </w:rPr>
        <w:t>、权限内政府投资项目审批事项体验办事流程与办事服务，并了解办理“一件事一次办”事项的“堵点”，提出建设性意见建议。在开展“走流程、解难题、优服务”行动中发现存在的两个问题，审批综合窗口相关工作人员已全部整改到位。</w:t>
      </w:r>
      <w:r>
        <w:rPr>
          <w:rFonts w:hint="eastAsia" w:ascii="仿宋_GB2312" w:eastAsia="仿宋_GB2312"/>
          <w:color w:val="auto"/>
          <w:sz w:val="32"/>
          <w:lang w:val="en-US" w:eastAsia="zh-CN"/>
        </w:rPr>
        <w:t>2022年全力推进湖南省工程建设项目审批管理系统，规范项目申办过程，切实降低企业办事成本，为企业提供了高效、透明、规范的服务。截至12月，我局在湖南省投资项目在线审批监管平台和工程建设项目审批管理系统审批、核准、备案项目为94个。其中项目审批为53个，核准为2个，备案为39个。</w:t>
      </w:r>
      <w:r>
        <w:rPr>
          <w:rFonts w:hint="eastAsia" w:ascii="仿宋_GB2312" w:hAnsi="微软雅黑" w:eastAsia="仿宋_GB2312"/>
          <w:color w:val="auto"/>
          <w:sz w:val="32"/>
          <w:szCs w:val="19"/>
          <w:shd w:val="clear" w:color="auto" w:fill="FFFFFF"/>
        </w:rPr>
        <w:t>全面梳理了政务服务事项共88项，其中依申请类56项，无需申请的公共服务事项32项。承诺办结时限在法定办结时限的基础上压缩95%。均达到了“四办”的标准要求。</w:t>
      </w:r>
      <w:r>
        <w:rPr>
          <w:rFonts w:hint="eastAsia" w:ascii="仿宋_GB2312" w:hAnsi="??_GB2312" w:eastAsia="仿宋_GB2312"/>
          <w:color w:val="auto"/>
          <w:sz w:val="32"/>
          <w:szCs w:val="32"/>
          <w:lang w:val="en-US" w:eastAsia="zh-CN"/>
        </w:rPr>
        <w:t>截止12月31日，预计完成工程建设项目交易10宗，电子化率100%。招投标办已开展网上投诉受理工作，公示投诉电话和电子邮箱。目前，尚未收到网上投诉。全国信易贷服务示范平台的推广，我区已有750余家中小微企业及工商个体户实名注册，平台信用融资我区2022已完成4.2亿元。加强进园区宣传活动，共25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pacing w:val="10"/>
          <w:sz w:val="32"/>
          <w:szCs w:val="32"/>
        </w:rPr>
      </w:pPr>
      <w:r>
        <w:rPr>
          <w:rFonts w:hint="eastAsia" w:ascii="黑体" w:hAnsi="黑体" w:eastAsia="黑体" w:cs="黑体"/>
          <w:b w:val="0"/>
          <w:bCs w:val="0"/>
          <w:color w:val="auto"/>
          <w:sz w:val="32"/>
          <w:szCs w:val="32"/>
          <w:lang w:eastAsia="zh-CN"/>
        </w:rPr>
        <w:t>四、</w:t>
      </w:r>
      <w:r>
        <w:rPr>
          <w:rFonts w:hint="eastAsia" w:ascii="黑体" w:hAnsi="黑体" w:eastAsia="黑体" w:cs="黑体"/>
          <w:b w:val="0"/>
          <w:bCs w:val="0"/>
          <w:color w:val="auto"/>
          <w:sz w:val="32"/>
          <w:szCs w:val="32"/>
        </w:rPr>
        <w:t>聚焦民生福祉，着力提升治理水平</w:t>
      </w:r>
      <w:r>
        <w:rPr>
          <w:rFonts w:hint="eastAsia" w:ascii="黑体" w:hAnsi="黑体" w:eastAsia="黑体" w:cs="黑体"/>
          <w:b w:val="0"/>
          <w:bCs w:val="0"/>
          <w:color w:val="auto"/>
          <w:sz w:val="32"/>
          <w:szCs w:val="32"/>
          <w:lang w:eastAsia="zh-CN"/>
        </w:rPr>
        <w:t>。</w:t>
      </w:r>
      <w:r>
        <w:rPr>
          <w:rFonts w:hint="eastAsia" w:ascii="仿宋" w:hAnsi="仿宋" w:eastAsia="仿宋" w:cs="仿宋"/>
          <w:b/>
          <w:bCs/>
          <w:color w:val="auto"/>
          <w:sz w:val="32"/>
          <w:szCs w:val="32"/>
          <w:lang w:eastAsia="zh-CN"/>
        </w:rPr>
        <w:t>一是</w:t>
      </w:r>
      <w:r>
        <w:rPr>
          <w:rFonts w:hint="eastAsia" w:ascii="仿宋" w:hAnsi="仿宋" w:eastAsia="仿宋" w:cs="仿宋"/>
          <w:b/>
          <w:bCs/>
          <w:color w:val="auto"/>
          <w:spacing w:val="10"/>
          <w:sz w:val="32"/>
          <w:szCs w:val="32"/>
          <w:lang w:val="en-US" w:eastAsia="zh-CN"/>
        </w:rPr>
        <w:t>粮食安全工作扎实推进。</w:t>
      </w:r>
      <w:r>
        <w:rPr>
          <w:rFonts w:hint="eastAsia" w:ascii="仿宋" w:hAnsi="仿宋" w:eastAsia="仿宋" w:cs="仿宋"/>
          <w:color w:val="auto"/>
          <w:spacing w:val="10"/>
          <w:kern w:val="0"/>
          <w:sz w:val="32"/>
          <w:szCs w:val="32"/>
          <w:lang w:val="zh-CN"/>
        </w:rPr>
        <w:t>2022年3月30日经洪江区管委批复同意实施2022年区级储备粮轮换计划。严格按照储备库出库流程和区超标粮监管工作方案要求出库，参照怀化中储粮销售超标粮监管流程和要求，对超标粮出库、运输、入库、加工全过各实施封闭式监管，</w:t>
      </w:r>
      <w:r>
        <w:rPr>
          <w:rFonts w:hint="eastAsia" w:ascii="仿宋" w:hAnsi="仿宋" w:eastAsia="仿宋" w:cs="仿宋"/>
          <w:color w:val="auto"/>
          <w:spacing w:val="10"/>
          <w:kern w:val="0"/>
          <w:sz w:val="32"/>
          <w:szCs w:val="32"/>
          <w:lang w:val="en-US" w:eastAsia="zh-CN"/>
        </w:rPr>
        <w:t>2022年</w:t>
      </w:r>
      <w:r>
        <w:rPr>
          <w:rFonts w:hint="eastAsia" w:ascii="仿宋" w:hAnsi="仿宋" w:eastAsia="仿宋" w:cs="仿宋"/>
          <w:color w:val="auto"/>
          <w:spacing w:val="10"/>
          <w:kern w:val="0"/>
          <w:sz w:val="32"/>
          <w:szCs w:val="32"/>
          <w:lang w:val="zh-CN"/>
        </w:rPr>
        <w:t>8月9日，完成了我区地方储备粮992.754吨出库任务，</w:t>
      </w:r>
      <w:r>
        <w:rPr>
          <w:rFonts w:hint="eastAsia" w:ascii="仿宋" w:hAnsi="仿宋" w:eastAsia="仿宋" w:cs="仿宋"/>
          <w:color w:val="auto"/>
          <w:spacing w:val="10"/>
          <w:kern w:val="0"/>
          <w:sz w:val="32"/>
          <w:szCs w:val="32"/>
          <w:lang w:val="en-US" w:eastAsia="zh-CN"/>
        </w:rPr>
        <w:t>2022年10月4日，完成了我区</w:t>
      </w:r>
      <w:r>
        <w:rPr>
          <w:rFonts w:hint="eastAsia" w:ascii="仿宋_GB2312" w:hAnsi="仿宋_GB2312" w:eastAsia="仿宋_GB2312" w:cs="仿宋_GB2312"/>
          <w:color w:val="auto"/>
          <w:sz w:val="32"/>
          <w:szCs w:val="32"/>
          <w:lang w:val="en-US" w:eastAsia="zh-CN"/>
        </w:rPr>
        <w:t>地方储备粮992.754吨收购入库</w:t>
      </w:r>
      <w:r>
        <w:rPr>
          <w:rFonts w:hint="eastAsia" w:ascii="仿宋" w:hAnsi="仿宋" w:eastAsia="仿宋" w:cs="仿宋"/>
          <w:color w:val="auto"/>
          <w:spacing w:val="10"/>
          <w:kern w:val="0"/>
          <w:sz w:val="32"/>
          <w:szCs w:val="32"/>
          <w:lang w:val="zh-CN"/>
        </w:rPr>
        <w:t>。</w:t>
      </w:r>
      <w:r>
        <w:rPr>
          <w:rFonts w:hint="eastAsia" w:ascii="仿宋" w:hAnsi="仿宋" w:eastAsia="仿宋" w:cs="仿宋"/>
          <w:color w:val="auto"/>
          <w:spacing w:val="10"/>
          <w:kern w:val="0"/>
          <w:sz w:val="32"/>
          <w:szCs w:val="32"/>
          <w:lang w:val="zh-CN" w:eastAsia="zh-CN"/>
        </w:rPr>
        <w:t>我区应急成品粮储备规模根据市里要求由2016年下达的100吨下调为</w:t>
      </w:r>
      <w:r>
        <w:rPr>
          <w:rFonts w:hint="eastAsia" w:ascii="仿宋" w:hAnsi="仿宋" w:eastAsia="仿宋" w:cs="仿宋"/>
          <w:color w:val="auto"/>
          <w:spacing w:val="10"/>
          <w:kern w:val="0"/>
          <w:sz w:val="32"/>
          <w:szCs w:val="32"/>
          <w:lang w:val="en-US" w:eastAsia="zh-CN"/>
        </w:rPr>
        <w:t>2022年的</w:t>
      </w:r>
      <w:r>
        <w:rPr>
          <w:rFonts w:hint="eastAsia" w:ascii="仿宋" w:hAnsi="仿宋" w:eastAsia="仿宋" w:cs="仿宋"/>
          <w:color w:val="auto"/>
          <w:spacing w:val="10"/>
          <w:kern w:val="0"/>
          <w:sz w:val="32"/>
          <w:szCs w:val="32"/>
          <w:lang w:val="zh-CN" w:eastAsia="zh-CN"/>
        </w:rPr>
        <w:t>80吨，每三个月轮换一次，由洪江区粮食购销有限责任公司静态储备，每月对应急成品粮进行质量、数量检查，确保我区应急成品粮供应安全。</w:t>
      </w:r>
      <w:r>
        <w:rPr>
          <w:rFonts w:hint="eastAsia" w:ascii="仿宋" w:hAnsi="仿宋" w:eastAsia="仿宋" w:cs="仿宋"/>
          <w:b/>
          <w:bCs/>
          <w:color w:val="auto"/>
          <w:spacing w:val="10"/>
          <w:kern w:val="0"/>
          <w:sz w:val="32"/>
          <w:szCs w:val="32"/>
          <w:lang w:val="en-US" w:eastAsia="zh-CN"/>
        </w:rPr>
        <w:t>二是</w:t>
      </w:r>
      <w:r>
        <w:rPr>
          <w:rFonts w:hint="eastAsia" w:ascii="仿宋" w:hAnsi="仿宋" w:eastAsia="仿宋" w:cs="仿宋"/>
          <w:b/>
          <w:bCs/>
          <w:color w:val="auto"/>
          <w:spacing w:val="10"/>
          <w:sz w:val="32"/>
          <w:szCs w:val="32"/>
          <w:lang w:val="en-US" w:eastAsia="zh-CN"/>
        </w:rPr>
        <w:t>价格管理工作不断提升。</w:t>
      </w:r>
      <w:r>
        <w:rPr>
          <w:rFonts w:hint="eastAsia" w:ascii="仿宋" w:hAnsi="仿宋" w:eastAsia="仿宋" w:cs="仿宋"/>
          <w:color w:val="auto"/>
          <w:spacing w:val="10"/>
          <w:sz w:val="32"/>
          <w:szCs w:val="32"/>
        </w:rPr>
        <w:t>坚持</w:t>
      </w:r>
      <w:r>
        <w:rPr>
          <w:rFonts w:hint="eastAsia" w:ascii="仿宋" w:hAnsi="仿宋" w:eastAsia="仿宋" w:cs="仿宋"/>
          <w:color w:val="auto"/>
          <w:spacing w:val="10"/>
          <w:sz w:val="32"/>
          <w:szCs w:val="32"/>
          <w:lang w:eastAsia="zh-CN"/>
        </w:rPr>
        <w:t>每天到</w:t>
      </w:r>
      <w:r>
        <w:rPr>
          <w:rFonts w:hint="eastAsia" w:ascii="仿宋" w:hAnsi="仿宋" w:eastAsia="仿宋" w:cs="仿宋"/>
          <w:color w:val="auto"/>
          <w:spacing w:val="10"/>
          <w:sz w:val="32"/>
          <w:szCs w:val="32"/>
        </w:rPr>
        <w:t>市场及超市采价执行一日一报，一周一报，一月一分析。今年春节低温雨雪天气和怀化市疫情期间，我区市场价格稳定，未发生市场价格异常波动情况。根据怀化市发改委《关于开展全市涉企收费专项整治行动实施方案的通知》(怀发改价费[2022]12号)文件精神，</w:t>
      </w:r>
      <w:r>
        <w:rPr>
          <w:rFonts w:hint="eastAsia" w:ascii="仿宋" w:hAnsi="仿宋" w:eastAsia="仿宋" w:cs="仿宋"/>
          <w:color w:val="auto"/>
          <w:spacing w:val="10"/>
          <w:sz w:val="32"/>
          <w:szCs w:val="32"/>
          <w:lang w:eastAsia="zh-CN"/>
        </w:rPr>
        <w:t>各单位</w:t>
      </w:r>
      <w:r>
        <w:rPr>
          <w:rFonts w:hint="eastAsia" w:ascii="仿宋" w:hAnsi="仿宋" w:eastAsia="仿宋" w:cs="仿宋"/>
          <w:color w:val="auto"/>
          <w:spacing w:val="10"/>
          <w:sz w:val="32"/>
          <w:szCs w:val="32"/>
        </w:rPr>
        <w:t>实行物价管理法人代表负责制，收费过程中责任明确，能够严格执行政策收费管理的规定，强化价格调控管理，建立和完善收费管理内部约束机制，落实国家、省、市取消的收费项目或降低收费标准的政策，收费过程中无乱收费现象，该取消的项目坚决取消，该减免的坚决减免，优惠政策落实到位。</w:t>
      </w:r>
      <w:r>
        <w:rPr>
          <w:rFonts w:hint="eastAsia" w:ascii="仿宋" w:hAnsi="仿宋" w:eastAsia="仿宋" w:cs="仿宋"/>
          <w:color w:val="auto"/>
          <w:spacing w:val="10"/>
          <w:sz w:val="32"/>
          <w:szCs w:val="32"/>
          <w:lang w:eastAsia="zh-CN"/>
        </w:rPr>
        <w:t>努力</w:t>
      </w:r>
      <w:r>
        <w:rPr>
          <w:rFonts w:hint="eastAsia" w:ascii="仿宋" w:hAnsi="仿宋" w:eastAsia="仿宋" w:cs="仿宋"/>
          <w:color w:val="auto"/>
          <w:spacing w:val="10"/>
          <w:sz w:val="32"/>
          <w:szCs w:val="32"/>
        </w:rPr>
        <w:t>做好涉案物价格认定，已完成刑事案件涉案价格认定</w:t>
      </w:r>
      <w:r>
        <w:rPr>
          <w:rFonts w:hint="eastAsia" w:ascii="仿宋" w:hAnsi="仿宋" w:eastAsia="仿宋" w:cs="仿宋"/>
          <w:color w:val="auto"/>
          <w:spacing w:val="10"/>
          <w:sz w:val="32"/>
          <w:szCs w:val="32"/>
          <w:lang w:val="en-US" w:eastAsia="zh-CN"/>
        </w:rPr>
        <w:t>21</w:t>
      </w:r>
      <w:r>
        <w:rPr>
          <w:rFonts w:hint="eastAsia" w:ascii="仿宋" w:hAnsi="仿宋" w:eastAsia="仿宋" w:cs="仿宋"/>
          <w:color w:val="auto"/>
          <w:spacing w:val="10"/>
          <w:sz w:val="32"/>
          <w:szCs w:val="32"/>
        </w:rPr>
        <w:t>起，涉案金额</w:t>
      </w:r>
      <w:r>
        <w:rPr>
          <w:rFonts w:hint="eastAsia" w:ascii="仿宋" w:hAnsi="仿宋" w:eastAsia="仿宋" w:cs="仿宋"/>
          <w:color w:val="auto"/>
          <w:spacing w:val="10"/>
          <w:sz w:val="32"/>
          <w:szCs w:val="32"/>
          <w:lang w:val="en-US" w:eastAsia="zh-CN"/>
        </w:rPr>
        <w:t>13</w:t>
      </w:r>
      <w:r>
        <w:rPr>
          <w:rFonts w:hint="eastAsia" w:ascii="仿宋" w:hAnsi="仿宋" w:eastAsia="仿宋" w:cs="仿宋"/>
          <w:color w:val="auto"/>
          <w:spacing w:val="10"/>
          <w:sz w:val="32"/>
          <w:szCs w:val="32"/>
        </w:rPr>
        <w:t>万元，无案件复议。</w:t>
      </w:r>
      <w:r>
        <w:rPr>
          <w:rFonts w:hint="eastAsia" w:ascii="仿宋" w:hAnsi="仿宋" w:eastAsia="仿宋" w:cs="仿宋"/>
          <w:b/>
          <w:bCs/>
          <w:color w:val="auto"/>
          <w:spacing w:val="10"/>
          <w:sz w:val="32"/>
          <w:szCs w:val="32"/>
          <w:lang w:val="en-US" w:eastAsia="zh-CN"/>
        </w:rPr>
        <w:t>三是移民后扶工作有序开。</w:t>
      </w:r>
      <w:r>
        <w:rPr>
          <w:rFonts w:hint="eastAsia" w:ascii="仿宋" w:hAnsi="仿宋" w:eastAsia="仿宋" w:cs="仿宋"/>
          <w:b w:val="0"/>
          <w:bCs w:val="0"/>
          <w:color w:val="auto"/>
          <w:spacing w:val="10"/>
          <w:sz w:val="32"/>
          <w:szCs w:val="32"/>
          <w:lang w:eastAsia="zh-CN"/>
        </w:rPr>
        <w:t>积极向上争取移民后扶资金，</w:t>
      </w:r>
      <w:r>
        <w:rPr>
          <w:rFonts w:hint="eastAsia" w:ascii="仿宋" w:hAnsi="仿宋" w:eastAsia="仿宋" w:cs="仿宋"/>
          <w:b w:val="0"/>
          <w:bCs w:val="0"/>
          <w:color w:val="auto"/>
          <w:spacing w:val="10"/>
          <w:sz w:val="32"/>
          <w:szCs w:val="32"/>
        </w:rPr>
        <w:t>全年争取水库移民项目资金813.42万元，在2021年539.42万元的</w:t>
      </w:r>
      <w:r>
        <w:rPr>
          <w:rFonts w:hint="eastAsia" w:ascii="仿宋" w:hAnsi="仿宋" w:eastAsia="仿宋" w:cs="仿宋"/>
          <w:color w:val="auto"/>
          <w:spacing w:val="10"/>
          <w:sz w:val="32"/>
          <w:szCs w:val="32"/>
        </w:rPr>
        <w:t>基础上同比增长50%。</w:t>
      </w:r>
      <w:r>
        <w:rPr>
          <w:rFonts w:hint="eastAsia" w:ascii="仿宋" w:hAnsi="仿宋" w:eastAsia="仿宋" w:cs="仿宋"/>
          <w:b w:val="0"/>
          <w:bCs w:val="0"/>
          <w:color w:val="auto"/>
          <w:spacing w:val="10"/>
          <w:sz w:val="32"/>
          <w:szCs w:val="32"/>
          <w:lang w:eastAsia="zh-CN"/>
        </w:rPr>
        <w:t>扎实开展移民信访工作，</w:t>
      </w:r>
      <w:r>
        <w:rPr>
          <w:rFonts w:hint="eastAsia" w:ascii="仿宋" w:hAnsi="仿宋" w:eastAsia="仿宋" w:cs="仿宋"/>
          <w:b w:val="0"/>
          <w:bCs w:val="0"/>
          <w:color w:val="auto"/>
          <w:spacing w:val="10"/>
          <w:sz w:val="32"/>
          <w:szCs w:val="32"/>
        </w:rPr>
        <w:t>通过加强领导、强化责任、完善制度、落实措施，全力维护库区的和谐稳定。由于库区维稳工作落实到位，2022年我区未发生一起移民到省、市越级上访的事件，库区的和谐稳定得到了有效的维护。</w:t>
      </w:r>
      <w:r>
        <w:rPr>
          <w:rFonts w:hint="eastAsia" w:ascii="仿宋" w:hAnsi="仿宋" w:eastAsia="仿宋" w:cs="仿宋"/>
          <w:color w:val="auto"/>
          <w:spacing w:val="10"/>
          <w:sz w:val="32"/>
          <w:szCs w:val="32"/>
          <w:lang w:eastAsia="zh-CN"/>
        </w:rPr>
        <w:t>有序推进重点移民村建设，</w:t>
      </w:r>
      <w:r>
        <w:rPr>
          <w:rFonts w:hint="eastAsia" w:ascii="仿宋" w:hAnsi="仿宋" w:eastAsia="仿宋" w:cs="仿宋"/>
          <w:color w:val="auto"/>
          <w:spacing w:val="10"/>
          <w:sz w:val="32"/>
          <w:szCs w:val="32"/>
        </w:rPr>
        <w:t>2022年向上争取专项建设项目资金210万重点建设横岩村，横岩村建设正在按照相关要求有序推进</w:t>
      </w:r>
      <w:r>
        <w:rPr>
          <w:rFonts w:hint="eastAsia" w:ascii="仿宋" w:hAnsi="仿宋" w:eastAsia="仿宋" w:cs="仿宋"/>
          <w:color w:val="auto"/>
          <w:spacing w:val="10"/>
          <w:sz w:val="32"/>
          <w:szCs w:val="32"/>
          <w:lang w:eastAsia="zh-CN"/>
        </w:rPr>
        <w:t>。截至</w:t>
      </w:r>
      <w:r>
        <w:rPr>
          <w:rFonts w:hint="eastAsia" w:ascii="仿宋" w:hAnsi="仿宋" w:eastAsia="仿宋" w:cs="仿宋"/>
          <w:color w:val="auto"/>
          <w:spacing w:val="10"/>
          <w:sz w:val="32"/>
          <w:szCs w:val="32"/>
          <w:lang w:val="en-US" w:eastAsia="zh-CN"/>
        </w:rPr>
        <w:t>12月</w:t>
      </w:r>
      <w:r>
        <w:rPr>
          <w:rFonts w:hint="eastAsia" w:ascii="仿宋" w:hAnsi="仿宋" w:eastAsia="仿宋" w:cs="仿宋"/>
          <w:color w:val="auto"/>
          <w:spacing w:val="10"/>
          <w:sz w:val="32"/>
          <w:szCs w:val="32"/>
        </w:rPr>
        <w:t>已完成项目</w:t>
      </w:r>
      <w:r>
        <w:rPr>
          <w:rFonts w:hint="eastAsia" w:ascii="仿宋" w:hAnsi="仿宋" w:eastAsia="仿宋" w:cs="仿宋"/>
          <w:color w:val="auto"/>
          <w:spacing w:val="10"/>
          <w:sz w:val="32"/>
          <w:szCs w:val="32"/>
          <w:lang w:eastAsia="zh-CN"/>
        </w:rPr>
        <w:t>工程量</w:t>
      </w:r>
      <w:r>
        <w:rPr>
          <w:rFonts w:hint="eastAsia" w:ascii="仿宋" w:hAnsi="仿宋" w:eastAsia="仿宋" w:cs="仿宋"/>
          <w:color w:val="auto"/>
          <w:spacing w:val="10"/>
          <w:sz w:val="32"/>
          <w:szCs w:val="32"/>
          <w:lang w:val="en-US" w:eastAsia="zh-CN"/>
        </w:rPr>
        <w:t>90%</w:t>
      </w:r>
      <w:r>
        <w:rPr>
          <w:rFonts w:hint="eastAsia" w:ascii="仿宋" w:hAnsi="仿宋" w:eastAsia="仿宋" w:cs="仿宋"/>
          <w:color w:val="auto"/>
          <w:spacing w:val="10"/>
          <w:sz w:val="32"/>
          <w:szCs w:val="32"/>
        </w:rPr>
        <w:t>。</w:t>
      </w:r>
    </w:p>
    <w:p>
      <w:pPr>
        <w:pStyle w:val="4"/>
        <w:keepNext w:val="0"/>
        <w:keepLines w:val="0"/>
        <w:pageBreakBefore w:val="0"/>
        <w:widowControl w:val="0"/>
        <w:kinsoku/>
        <w:overflowPunct/>
        <w:topLinePunct w:val="0"/>
        <w:autoSpaceDN/>
        <w:bidi w:val="0"/>
        <w:adjustRightInd/>
        <w:snapToGrid/>
        <w:spacing w:line="580" w:lineRule="exact"/>
        <w:ind w:firstLine="680" w:firstLineChars="200"/>
        <w:jc w:val="both"/>
        <w:rPr>
          <w:rFonts w:hint="eastAsia" w:ascii="黑体" w:hAnsi="黑体" w:eastAsia="黑体" w:cs="黑体"/>
          <w:color w:val="auto"/>
          <w:spacing w:val="10"/>
          <w:kern w:val="2"/>
          <w:sz w:val="32"/>
          <w:szCs w:val="32"/>
          <w:lang w:val="en-US" w:eastAsia="zh-CN" w:bidi="ar-SA"/>
        </w:rPr>
      </w:pPr>
      <w:r>
        <w:rPr>
          <w:rFonts w:hint="eastAsia" w:ascii="黑体" w:hAnsi="黑体" w:eastAsia="黑体" w:cs="黑体"/>
          <w:color w:val="auto"/>
          <w:spacing w:val="10"/>
          <w:kern w:val="2"/>
          <w:sz w:val="32"/>
          <w:szCs w:val="32"/>
          <w:lang w:val="en-US" w:eastAsia="zh-CN" w:bidi="ar-SA"/>
        </w:rPr>
        <w:t>二、目前存在的问题</w:t>
      </w:r>
    </w:p>
    <w:p>
      <w:pPr>
        <w:pStyle w:val="4"/>
        <w:keepNext w:val="0"/>
        <w:keepLines w:val="0"/>
        <w:pageBreakBefore w:val="0"/>
        <w:widowControl w:val="0"/>
        <w:kinsoku/>
        <w:overflowPunct/>
        <w:topLinePunct w:val="0"/>
        <w:autoSpaceDN/>
        <w:bidi w:val="0"/>
        <w:adjustRightInd/>
        <w:snapToGrid/>
        <w:spacing w:line="580" w:lineRule="exact"/>
        <w:ind w:firstLine="643" w:firstLineChars="200"/>
        <w:jc w:val="both"/>
        <w:rPr>
          <w:rFonts w:hint="eastAsia" w:ascii="仿宋" w:hAnsi="仿宋" w:eastAsia="仿宋" w:cs="仿宋"/>
          <w:color w:val="auto"/>
          <w:spacing w:val="10"/>
          <w:kern w:val="2"/>
          <w:sz w:val="32"/>
          <w:szCs w:val="32"/>
          <w:lang w:val="en-US" w:eastAsia="zh-CN" w:bidi="ar-SA"/>
        </w:rPr>
      </w:pPr>
      <w:r>
        <w:rPr>
          <w:rFonts w:hint="eastAsia" w:ascii="仿宋_GB2312" w:eastAsia="仿宋_GB2312" w:hAnsiTheme="minorHAnsi" w:cstheme="minorBidi"/>
          <w:b/>
          <w:bCs/>
          <w:color w:val="auto"/>
          <w:kern w:val="2"/>
          <w:sz w:val="32"/>
          <w:szCs w:val="32"/>
          <w:lang w:val="en-US" w:eastAsia="zh-CN" w:bidi="ar-SA"/>
        </w:rPr>
        <w:t>1.</w:t>
      </w:r>
      <w:r>
        <w:rPr>
          <w:rFonts w:hint="eastAsia" w:ascii="楷体_GB2312" w:hAnsi="楷体_GB2312" w:eastAsia="楷体_GB2312" w:cs="楷体_GB2312"/>
          <w:b/>
          <w:bCs/>
          <w:color w:val="auto"/>
          <w:sz w:val="32"/>
          <w:szCs w:val="32"/>
        </w:rPr>
        <w:t>向上争取资金难度加大。</w:t>
      </w:r>
      <w:r>
        <w:rPr>
          <w:rFonts w:hint="eastAsia" w:ascii="仿宋" w:hAnsi="仿宋" w:eastAsia="仿宋" w:cs="仿宋"/>
          <w:color w:val="auto"/>
          <w:spacing w:val="10"/>
          <w:kern w:val="2"/>
          <w:sz w:val="32"/>
          <w:szCs w:val="32"/>
          <w:lang w:val="en-US" w:eastAsia="zh-CN" w:bidi="ar-SA"/>
        </w:rPr>
        <w:t>今年省发改委针对中央预算内投资及专项债项目的突出问题，出台了政府投资“五举措”和资金分配“十原则”，所有项目申报条件必须达到</w:t>
      </w:r>
      <w:r>
        <w:rPr>
          <w:rFonts w:hint="eastAsia" w:eastAsia="仿宋_GB2312"/>
          <w:color w:val="auto"/>
          <w:sz w:val="32"/>
          <w:szCs w:val="32"/>
        </w:rPr>
        <w:t>“</w:t>
      </w:r>
      <w:r>
        <w:rPr>
          <w:rFonts w:hint="eastAsia" w:eastAsia="仿宋_GB2312"/>
          <w:b/>
          <w:color w:val="auto"/>
          <w:sz w:val="32"/>
          <w:szCs w:val="32"/>
        </w:rPr>
        <w:t>一件三证</w:t>
      </w:r>
      <w:r>
        <w:rPr>
          <w:rFonts w:hint="eastAsia" w:eastAsia="仿宋_GB2312"/>
          <w:color w:val="auto"/>
          <w:sz w:val="32"/>
          <w:szCs w:val="32"/>
        </w:rPr>
        <w:t>”，条件苛刻，检查严格。而我区因财力有限，</w:t>
      </w:r>
      <w:r>
        <w:rPr>
          <w:rFonts w:hint="eastAsia" w:eastAsia="仿宋_GB2312"/>
          <w:b/>
          <w:color w:val="auto"/>
          <w:sz w:val="32"/>
          <w:szCs w:val="32"/>
        </w:rPr>
        <w:t>项目均难以达到先期招标开工的条件</w:t>
      </w:r>
      <w:r>
        <w:rPr>
          <w:rFonts w:hint="eastAsia" w:eastAsia="仿宋_GB2312"/>
          <w:color w:val="auto"/>
          <w:sz w:val="32"/>
          <w:szCs w:val="32"/>
        </w:rPr>
        <w:t>，</w:t>
      </w:r>
      <w:r>
        <w:rPr>
          <w:rFonts w:hint="eastAsia" w:ascii="仿宋" w:hAnsi="仿宋" w:eastAsia="仿宋" w:cs="仿宋"/>
          <w:color w:val="auto"/>
          <w:spacing w:val="10"/>
          <w:kern w:val="2"/>
          <w:sz w:val="32"/>
          <w:szCs w:val="32"/>
          <w:lang w:val="en-US" w:eastAsia="zh-CN" w:bidi="ar-SA"/>
        </w:rPr>
        <w:t>许多项目单位积极性不高、主动性不够。而我们发改部门虽多方协调，但效果不佳，导致争取中央预算内资金、专项债情况有所下滑。</w:t>
      </w:r>
    </w:p>
    <w:p>
      <w:pPr>
        <w:pStyle w:val="4"/>
        <w:keepNext w:val="0"/>
        <w:keepLines w:val="0"/>
        <w:pageBreakBefore w:val="0"/>
        <w:widowControl w:val="0"/>
        <w:kinsoku/>
        <w:overflowPunct/>
        <w:topLinePunct w:val="0"/>
        <w:autoSpaceDN/>
        <w:bidi w:val="0"/>
        <w:adjustRightInd/>
        <w:snapToGrid/>
        <w:spacing w:line="580" w:lineRule="exact"/>
        <w:ind w:firstLine="643" w:firstLineChars="200"/>
        <w:jc w:val="both"/>
        <w:rPr>
          <w:rFonts w:hint="eastAsia" w:ascii="仿宋" w:hAnsi="仿宋" w:eastAsia="仿宋" w:cs="仿宋"/>
          <w:color w:val="auto"/>
          <w:spacing w:val="10"/>
          <w:kern w:val="2"/>
          <w:sz w:val="32"/>
          <w:szCs w:val="32"/>
          <w:lang w:val="en-US" w:eastAsia="zh-CN" w:bidi="ar-SA"/>
        </w:rPr>
      </w:pPr>
      <w:r>
        <w:rPr>
          <w:rFonts w:hint="eastAsia" w:ascii="仿宋_GB2312" w:eastAsia="仿宋_GB2312" w:hAnsiTheme="minorHAnsi" w:cstheme="minorBidi"/>
          <w:b/>
          <w:bCs/>
          <w:color w:val="auto"/>
          <w:kern w:val="2"/>
          <w:sz w:val="32"/>
          <w:szCs w:val="32"/>
          <w:lang w:val="en-US" w:eastAsia="zh-CN" w:bidi="ar-SA"/>
        </w:rPr>
        <w:t>2.</w:t>
      </w:r>
      <w:r>
        <w:rPr>
          <w:rFonts w:hint="eastAsia" w:ascii="楷体_GB2312" w:hAnsi="楷体_GB2312" w:eastAsia="楷体_GB2312" w:cs="楷体_GB2312"/>
          <w:b/>
          <w:bCs/>
          <w:color w:val="auto"/>
          <w:sz w:val="32"/>
          <w:szCs w:val="32"/>
        </w:rPr>
        <w:t>“资金等项目”情况比较严重。</w:t>
      </w:r>
      <w:r>
        <w:rPr>
          <w:rFonts w:hint="eastAsia" w:ascii="仿宋" w:hAnsi="仿宋" w:eastAsia="仿宋" w:cs="仿宋"/>
          <w:color w:val="auto"/>
          <w:spacing w:val="10"/>
          <w:kern w:val="2"/>
          <w:sz w:val="32"/>
          <w:szCs w:val="32"/>
          <w:lang w:val="en-US" w:eastAsia="zh-CN" w:bidi="ar-SA"/>
        </w:rPr>
        <w:t>因区内财政困难，部分项目前期工作不扎实，导致上面下达资金之后，不能如期招标，资金趴账严重。而国家、省发改文件要求对已经申报资金成功的项目不能按时开工、按时支付的，既要问责，还影响后期项目的申报。</w:t>
      </w:r>
    </w:p>
    <w:p>
      <w:pPr>
        <w:pStyle w:val="4"/>
        <w:keepNext w:val="0"/>
        <w:keepLines w:val="0"/>
        <w:pageBreakBefore w:val="0"/>
        <w:widowControl w:val="0"/>
        <w:kinsoku/>
        <w:overflowPunct/>
        <w:topLinePunct w:val="0"/>
        <w:autoSpaceDN/>
        <w:bidi w:val="0"/>
        <w:adjustRightInd/>
        <w:snapToGrid/>
        <w:spacing w:line="580" w:lineRule="exact"/>
        <w:ind w:firstLine="643" w:firstLineChars="200"/>
        <w:jc w:val="both"/>
        <w:rPr>
          <w:rFonts w:hint="default" w:ascii="仿宋" w:hAnsi="仿宋" w:eastAsia="仿宋" w:cs="仿宋"/>
          <w:color w:val="auto"/>
          <w:spacing w:val="10"/>
          <w:kern w:val="2"/>
          <w:sz w:val="32"/>
          <w:szCs w:val="32"/>
          <w:lang w:val="en-US" w:eastAsia="zh-CN" w:bidi="ar-SA"/>
        </w:rPr>
      </w:pPr>
      <w:r>
        <w:rPr>
          <w:rFonts w:hint="eastAsia" w:ascii="楷体_GB2312" w:hAnsi="楷体_GB2312" w:eastAsia="楷体_GB2312" w:cs="楷体_GB2312"/>
          <w:b/>
          <w:bCs/>
          <w:color w:val="auto"/>
          <w:sz w:val="32"/>
          <w:szCs w:val="32"/>
          <w:lang w:val="en-US" w:eastAsia="zh-CN"/>
        </w:rPr>
        <w:t>3.</w:t>
      </w:r>
      <w:r>
        <w:rPr>
          <w:rFonts w:hint="eastAsia" w:ascii="楷体_GB2312" w:hAnsi="楷体_GB2312" w:eastAsia="楷体_GB2312" w:cs="楷体_GB2312"/>
          <w:b/>
          <w:bCs/>
          <w:color w:val="auto"/>
          <w:sz w:val="32"/>
          <w:szCs w:val="32"/>
        </w:rPr>
        <w:t>固定资产投资动能严重不足。</w:t>
      </w:r>
      <w:r>
        <w:rPr>
          <w:rFonts w:hint="eastAsia" w:ascii="仿宋" w:hAnsi="仿宋" w:eastAsia="仿宋" w:cs="仿宋"/>
          <w:color w:val="auto"/>
          <w:spacing w:val="10"/>
          <w:kern w:val="2"/>
          <w:sz w:val="32"/>
          <w:szCs w:val="32"/>
          <w:lang w:val="en-US" w:eastAsia="zh-CN" w:bidi="ar-SA"/>
        </w:rPr>
        <w:t>今年以来统计项目入库审核日益严格，入库真实性审核要求提高，老旧小区改造项目入库要求提供资金证明</w:t>
      </w:r>
      <w:r>
        <w:rPr>
          <w:rFonts w:hint="default" w:ascii="仿宋" w:hAnsi="仿宋" w:eastAsia="仿宋" w:cs="仿宋"/>
          <w:color w:val="auto"/>
          <w:spacing w:val="10"/>
          <w:kern w:val="2"/>
          <w:sz w:val="32"/>
          <w:szCs w:val="32"/>
          <w:lang w:val="en-US" w:eastAsia="zh-CN" w:bidi="ar-SA"/>
        </w:rPr>
        <w:t>，</w:t>
      </w:r>
      <w:r>
        <w:rPr>
          <w:rFonts w:hint="eastAsia" w:ascii="仿宋" w:hAnsi="仿宋" w:eastAsia="仿宋" w:cs="仿宋"/>
          <w:color w:val="auto"/>
          <w:spacing w:val="10"/>
          <w:kern w:val="2"/>
          <w:sz w:val="32"/>
          <w:szCs w:val="32"/>
          <w:lang w:val="en-US" w:eastAsia="zh-CN" w:bidi="ar-SA"/>
        </w:rPr>
        <w:t>政府类投资项目要求提供招投标链接，入库进一步难度加大。部分项目入库资料质量不高，多次修改资料上报才成功入库，一次性通过率很低，入库项目偏少，成功率较低，投资后劲严重不足。</w:t>
      </w:r>
    </w:p>
    <w:p>
      <w:pPr>
        <w:pStyle w:val="4"/>
        <w:keepNext w:val="0"/>
        <w:keepLines w:val="0"/>
        <w:pageBreakBefore w:val="0"/>
        <w:widowControl w:val="0"/>
        <w:kinsoku/>
        <w:overflowPunct/>
        <w:topLinePunct w:val="0"/>
        <w:autoSpaceDN/>
        <w:bidi w:val="0"/>
        <w:adjustRightInd/>
        <w:snapToGrid/>
        <w:spacing w:line="580" w:lineRule="exact"/>
        <w:ind w:firstLine="680" w:firstLineChars="200"/>
        <w:jc w:val="both"/>
        <w:rPr>
          <w:rFonts w:hint="eastAsia" w:ascii="黑体" w:hAnsi="黑体" w:eastAsia="黑体" w:cs="黑体"/>
          <w:color w:val="auto"/>
          <w:spacing w:val="10"/>
          <w:kern w:val="2"/>
          <w:sz w:val="32"/>
          <w:szCs w:val="32"/>
          <w:lang w:val="en-US" w:eastAsia="zh-CN" w:bidi="ar-SA"/>
        </w:rPr>
      </w:pPr>
      <w:r>
        <w:rPr>
          <w:rFonts w:hint="eastAsia" w:ascii="黑体" w:hAnsi="黑体" w:eastAsia="黑体" w:cs="黑体"/>
          <w:color w:val="auto"/>
          <w:spacing w:val="10"/>
          <w:kern w:val="2"/>
          <w:sz w:val="32"/>
          <w:szCs w:val="32"/>
          <w:lang w:val="en-US" w:eastAsia="zh-CN" w:bidi="ar-SA"/>
        </w:rPr>
        <w:t>三、下一步工作计划</w:t>
      </w:r>
    </w:p>
    <w:p>
      <w:pPr>
        <w:pStyle w:val="12"/>
        <w:keepNext w:val="0"/>
        <w:keepLines w:val="0"/>
        <w:pageBreakBefore w:val="0"/>
        <w:widowControl w:val="0"/>
        <w:numPr>
          <w:ilvl w:val="0"/>
          <w:numId w:val="0"/>
        </w:numPr>
        <w:kinsoku/>
        <w:overflowPunct/>
        <w:topLinePunct w:val="0"/>
        <w:autoSpaceDN/>
        <w:bidi w:val="0"/>
        <w:adjustRightInd/>
        <w:snapToGrid/>
        <w:spacing w:after="0" w:line="580" w:lineRule="exact"/>
        <w:ind w:firstLine="643" w:firstLineChars="200"/>
        <w:rPr>
          <w:rFonts w:hint="eastAsia" w:ascii="仿宋" w:hAnsi="仿宋" w:eastAsia="仿宋" w:cs="仿宋"/>
          <w:color w:val="auto"/>
          <w:spacing w:val="10"/>
          <w:kern w:val="2"/>
          <w:sz w:val="32"/>
          <w:szCs w:val="32"/>
          <w:lang w:val="en-US" w:eastAsia="zh-CN" w:bidi="ar-SA"/>
        </w:rPr>
      </w:pPr>
      <w:r>
        <w:rPr>
          <w:rFonts w:hint="eastAsia" w:ascii="楷体" w:hAnsi="楷体" w:eastAsia="楷体" w:cs="楷体"/>
          <w:b/>
          <w:bCs/>
          <w:color w:val="auto"/>
          <w:kern w:val="2"/>
          <w:sz w:val="32"/>
          <w:szCs w:val="32"/>
          <w:lang w:val="en-US" w:eastAsia="zh-CN" w:bidi="ar-SA"/>
        </w:rPr>
        <w:t>1.</w:t>
      </w:r>
      <w:r>
        <w:rPr>
          <w:rFonts w:hint="eastAsia" w:ascii="楷体" w:hAnsi="楷体" w:eastAsia="楷体" w:cs="楷体"/>
          <w:b/>
          <w:bCs/>
          <w:color w:val="auto"/>
          <w:sz w:val="32"/>
          <w:szCs w:val="32"/>
          <w:lang w:val="en-US" w:eastAsia="zh-CN"/>
        </w:rPr>
        <w:t>早谋划、早部署，强化2023年重点项目投资目标任务的责任意识。</w:t>
      </w:r>
      <w:r>
        <w:rPr>
          <w:rFonts w:hint="eastAsia" w:ascii="仿宋" w:hAnsi="仿宋" w:eastAsia="仿宋" w:cs="仿宋"/>
          <w:color w:val="auto"/>
          <w:spacing w:val="10"/>
          <w:kern w:val="2"/>
          <w:sz w:val="32"/>
          <w:szCs w:val="32"/>
          <w:lang w:val="en-US" w:eastAsia="zh-CN" w:bidi="ar-SA"/>
        </w:rPr>
        <w:t>超期谋划、部署，科学制定2023年重点建设项目和固定资产投资目标,增速分别不低于12%和11%，确保2023年度任务最终落实完成。</w:t>
      </w:r>
    </w:p>
    <w:p>
      <w:pPr>
        <w:pStyle w:val="12"/>
        <w:keepNext w:val="0"/>
        <w:keepLines w:val="0"/>
        <w:pageBreakBefore w:val="0"/>
        <w:widowControl w:val="0"/>
        <w:numPr>
          <w:ilvl w:val="0"/>
          <w:numId w:val="0"/>
        </w:numPr>
        <w:kinsoku/>
        <w:overflowPunct/>
        <w:topLinePunct w:val="0"/>
        <w:autoSpaceDN/>
        <w:bidi w:val="0"/>
        <w:adjustRightInd/>
        <w:snapToGrid/>
        <w:spacing w:after="0" w:line="580" w:lineRule="exact"/>
        <w:ind w:firstLine="643" w:firstLineChars="200"/>
        <w:rPr>
          <w:rFonts w:hint="eastAsia" w:ascii="仿宋" w:hAnsi="仿宋" w:eastAsia="仿宋" w:cs="仿宋"/>
          <w:color w:val="auto"/>
          <w:spacing w:val="10"/>
          <w:kern w:val="2"/>
          <w:sz w:val="32"/>
          <w:szCs w:val="32"/>
          <w:lang w:val="en-US" w:eastAsia="zh-CN" w:bidi="ar-SA"/>
        </w:rPr>
      </w:pPr>
      <w:r>
        <w:rPr>
          <w:rFonts w:hint="eastAsia" w:ascii="楷体" w:hAnsi="楷体" w:eastAsia="楷体" w:cs="楷体"/>
          <w:b/>
          <w:bCs/>
          <w:color w:val="auto"/>
          <w:sz w:val="32"/>
          <w:szCs w:val="32"/>
          <w:lang w:val="en-US" w:eastAsia="zh-CN"/>
        </w:rPr>
        <w:t>2.持续强化项目谋划、储备工作。</w:t>
      </w:r>
      <w:r>
        <w:rPr>
          <w:rFonts w:hint="eastAsia" w:ascii="仿宋" w:hAnsi="仿宋" w:eastAsia="仿宋" w:cs="仿宋"/>
          <w:color w:val="auto"/>
          <w:spacing w:val="10"/>
          <w:kern w:val="2"/>
          <w:sz w:val="32"/>
          <w:szCs w:val="32"/>
          <w:lang w:val="en-US" w:eastAsia="zh-CN" w:bidi="ar-SA"/>
        </w:rPr>
        <w:t>一是精心筛选提升项目质量。对照国家大政方针和上级文件要求，帮助和配合部门分析政策形势，搞好项目前期论证；二是协调各职能部门开通“绿色”通道，在办理申报项目的规划选址、用地预审、环评审批等有关手续时，简化程序，提高效率；三是切实加强向上汇报衔接的力度，积极抢抓机遇，充分利用各种有利条件和机会积极跑市进省，衔接、汇报项目工作开展情况，及时做好项目申报工作。</w:t>
      </w:r>
    </w:p>
    <w:p>
      <w:pPr>
        <w:pStyle w:val="12"/>
        <w:keepNext w:val="0"/>
        <w:keepLines w:val="0"/>
        <w:pageBreakBefore w:val="0"/>
        <w:widowControl w:val="0"/>
        <w:numPr>
          <w:ilvl w:val="0"/>
          <w:numId w:val="0"/>
        </w:numPr>
        <w:kinsoku/>
        <w:overflowPunct/>
        <w:topLinePunct w:val="0"/>
        <w:autoSpaceDN/>
        <w:bidi w:val="0"/>
        <w:adjustRightInd/>
        <w:snapToGrid/>
        <w:spacing w:after="0" w:line="580" w:lineRule="exact"/>
        <w:ind w:firstLine="643" w:firstLineChars="200"/>
        <w:rPr>
          <w:rFonts w:hint="default" w:ascii="仿宋" w:hAnsi="仿宋" w:eastAsia="仿宋" w:cs="仿宋"/>
          <w:color w:val="auto"/>
          <w:spacing w:val="10"/>
          <w:kern w:val="2"/>
          <w:sz w:val="32"/>
          <w:szCs w:val="32"/>
          <w:lang w:val="en-US" w:eastAsia="zh-CN" w:bidi="ar-SA"/>
        </w:rPr>
      </w:pPr>
      <w:r>
        <w:rPr>
          <w:rFonts w:hint="eastAsia" w:ascii="楷体" w:hAnsi="楷体" w:eastAsia="楷体" w:cs="楷体"/>
          <w:b/>
          <w:bCs/>
          <w:color w:val="auto"/>
          <w:sz w:val="32"/>
          <w:szCs w:val="32"/>
          <w:lang w:val="en-US" w:eastAsia="zh-CN"/>
        </w:rPr>
        <w:t>3.继续加强重点项目调度、考核工作。</w:t>
      </w:r>
      <w:r>
        <w:rPr>
          <w:rFonts w:hint="eastAsia" w:ascii="仿宋" w:hAnsi="仿宋" w:eastAsia="仿宋" w:cs="仿宋"/>
          <w:color w:val="auto"/>
          <w:spacing w:val="10"/>
          <w:kern w:val="2"/>
          <w:sz w:val="32"/>
          <w:szCs w:val="32"/>
          <w:lang w:val="en-US" w:eastAsia="zh-CN" w:bidi="ar-SA"/>
        </w:rPr>
        <w:t>一是进一步强化重大项目建设工作领导责任制，每个重点项目由1名区级领导挂帅推进项目建设，各部门亲自抓具体项目，层次落实项目建设责任；二是各职能部门加大服务工作力度，强化项目建设要素保障，保项目顺利实施；三是实行一月一调度，一季一通报、年底综合考评相结合的方式进行日常管理，由区工委督查室、区管委督查室、重点建设项目事务中心担任日常调度及考核工作。</w:t>
      </w:r>
    </w:p>
    <w:p>
      <w:pPr>
        <w:pStyle w:val="4"/>
        <w:keepNext w:val="0"/>
        <w:keepLines w:val="0"/>
        <w:pageBreakBefore w:val="0"/>
        <w:widowControl w:val="0"/>
        <w:kinsoku/>
        <w:overflowPunct/>
        <w:topLinePunct w:val="0"/>
        <w:autoSpaceDN/>
        <w:bidi w:val="0"/>
        <w:adjustRightInd/>
        <w:snapToGrid/>
        <w:spacing w:line="580" w:lineRule="exact"/>
        <w:ind w:firstLine="643" w:firstLineChars="200"/>
        <w:jc w:val="both"/>
        <w:rPr>
          <w:rFonts w:hint="default" w:ascii="仿宋" w:hAnsi="仿宋" w:eastAsia="仿宋" w:cs="仿宋"/>
          <w:color w:val="auto"/>
          <w:spacing w:val="10"/>
          <w:kern w:val="2"/>
          <w:sz w:val="32"/>
          <w:szCs w:val="32"/>
          <w:lang w:val="en-US" w:eastAsia="zh-CN" w:bidi="ar-SA"/>
        </w:rPr>
      </w:pPr>
      <w:r>
        <w:rPr>
          <w:rFonts w:hint="eastAsia" w:ascii="楷体" w:hAnsi="楷体" w:eastAsia="楷体" w:cs="楷体"/>
          <w:b/>
          <w:bCs/>
          <w:color w:val="auto"/>
          <w:kern w:val="2"/>
          <w:sz w:val="32"/>
          <w:szCs w:val="32"/>
          <w:lang w:val="en-US" w:eastAsia="zh-CN" w:bidi="ar-SA"/>
        </w:rPr>
        <w:t>4.加强中央预算内投资、专项债项目监管工作。</w:t>
      </w:r>
      <w:r>
        <w:rPr>
          <w:rFonts w:hint="eastAsia" w:ascii="仿宋" w:hAnsi="仿宋" w:eastAsia="仿宋" w:cs="仿宋"/>
          <w:color w:val="auto"/>
          <w:spacing w:val="10"/>
          <w:kern w:val="2"/>
          <w:sz w:val="32"/>
          <w:szCs w:val="32"/>
          <w:lang w:val="en-US" w:eastAsia="zh-CN" w:bidi="ar-SA"/>
        </w:rPr>
        <w:t>进一步加强“两个责任”的落实。强化项目中后期跟踪管理，督促项目单位倒排工期，加快推进项目建设。查找项目建设过程中的困难和问题，形成以问题为导向的督查机制，抓好施工安全、工程质量等施工现场管理。落实专项资金使用管理办法，进一步确保专项资金使用规范、安全、有效。</w:t>
      </w:r>
    </w:p>
    <w:p>
      <w:pPr>
        <w:pStyle w:val="4"/>
        <w:keepNext w:val="0"/>
        <w:keepLines w:val="0"/>
        <w:pageBreakBefore w:val="0"/>
        <w:widowControl w:val="0"/>
        <w:kinsoku/>
        <w:overflowPunct/>
        <w:topLinePunct w:val="0"/>
        <w:autoSpaceDN/>
        <w:bidi w:val="0"/>
        <w:adjustRightInd/>
        <w:snapToGrid/>
        <w:spacing w:line="580" w:lineRule="exact"/>
        <w:ind w:firstLine="640" w:firstLineChars="200"/>
        <w:jc w:val="both"/>
        <w:rPr>
          <w:rFonts w:hint="default" w:eastAsia="仿宋_GB2312"/>
          <w:color w:val="auto"/>
          <w:sz w:val="32"/>
          <w:szCs w:val="32"/>
          <w:lang w:val="en-US" w:eastAsia="zh-CN"/>
        </w:rPr>
      </w:pPr>
    </w:p>
    <w:p>
      <w:pPr>
        <w:pStyle w:val="4"/>
        <w:keepNext w:val="0"/>
        <w:keepLines w:val="0"/>
        <w:pageBreakBefore w:val="0"/>
        <w:widowControl w:val="0"/>
        <w:kinsoku/>
        <w:overflowPunct/>
        <w:topLinePunct w:val="0"/>
        <w:autoSpaceDN/>
        <w:bidi w:val="0"/>
        <w:adjustRightInd/>
        <w:snapToGrid/>
        <w:spacing w:line="580" w:lineRule="exact"/>
        <w:ind w:firstLine="680" w:firstLineChars="200"/>
        <w:jc w:val="right"/>
        <w:rPr>
          <w:rFonts w:hint="eastAsia" w:ascii="仿宋" w:hAnsi="仿宋" w:eastAsia="仿宋" w:cs="仿宋"/>
          <w:color w:val="auto"/>
          <w:spacing w:val="10"/>
          <w:sz w:val="32"/>
          <w:szCs w:val="32"/>
          <w:lang w:eastAsia="zh-CN"/>
        </w:rPr>
      </w:pPr>
    </w:p>
    <w:p>
      <w:pPr>
        <w:pStyle w:val="4"/>
        <w:keepNext w:val="0"/>
        <w:keepLines w:val="0"/>
        <w:pageBreakBefore w:val="0"/>
        <w:widowControl w:val="0"/>
        <w:kinsoku/>
        <w:overflowPunct/>
        <w:topLinePunct w:val="0"/>
        <w:autoSpaceDN/>
        <w:bidi w:val="0"/>
        <w:adjustRightInd/>
        <w:snapToGrid/>
        <w:spacing w:line="580" w:lineRule="exact"/>
        <w:ind w:firstLine="4080" w:firstLineChars="1200"/>
        <w:jc w:val="both"/>
        <w:rPr>
          <w:rFonts w:hint="eastAsia" w:ascii="仿宋" w:hAnsi="仿宋" w:eastAsia="仿宋" w:cs="仿宋"/>
          <w:color w:val="auto"/>
          <w:spacing w:val="10"/>
          <w:sz w:val="32"/>
          <w:szCs w:val="32"/>
          <w:lang w:eastAsia="zh-CN"/>
        </w:rPr>
      </w:pPr>
      <w:r>
        <w:rPr>
          <w:rFonts w:hint="eastAsia" w:ascii="仿宋" w:hAnsi="仿宋" w:eastAsia="仿宋" w:cs="仿宋"/>
          <w:color w:val="auto"/>
          <w:spacing w:val="10"/>
          <w:sz w:val="32"/>
          <w:szCs w:val="32"/>
          <w:lang w:eastAsia="zh-CN"/>
        </w:rPr>
        <w:t>怀化市洪江区发展和改革局</w:t>
      </w:r>
    </w:p>
    <w:p>
      <w:pPr>
        <w:pStyle w:val="4"/>
        <w:keepNext w:val="0"/>
        <w:keepLines w:val="0"/>
        <w:pageBreakBefore w:val="0"/>
        <w:widowControl w:val="0"/>
        <w:kinsoku/>
        <w:wordWrap w:val="0"/>
        <w:overflowPunct/>
        <w:topLinePunct w:val="0"/>
        <w:autoSpaceDN/>
        <w:bidi w:val="0"/>
        <w:adjustRightInd/>
        <w:snapToGrid/>
        <w:spacing w:line="580" w:lineRule="exact"/>
        <w:ind w:firstLine="4760" w:firstLineChars="1400"/>
        <w:jc w:val="both"/>
        <w:rPr>
          <w:rFonts w:hint="default" w:ascii="仿宋" w:hAnsi="仿宋" w:eastAsia="仿宋" w:cs="仿宋"/>
          <w:color w:val="auto"/>
          <w:spacing w:val="10"/>
          <w:sz w:val="32"/>
          <w:szCs w:val="32"/>
          <w:lang w:val="en-US" w:eastAsia="zh-CN"/>
        </w:rPr>
      </w:pPr>
      <w:r>
        <w:rPr>
          <w:rFonts w:hint="eastAsia" w:ascii="仿宋" w:hAnsi="仿宋" w:eastAsia="仿宋" w:cs="仿宋"/>
          <w:color w:val="auto"/>
          <w:spacing w:val="10"/>
          <w:sz w:val="32"/>
          <w:szCs w:val="32"/>
          <w:lang w:val="en-US" w:eastAsia="zh-CN"/>
        </w:rPr>
        <w:t xml:space="preserve">2022年12月12日 </w:t>
      </w:r>
    </w:p>
    <w:sectPr>
      <w:headerReference r:id="rId3" w:type="default"/>
      <w:footerReference r:id="rId4" w:type="default"/>
      <w:pgSz w:w="11906" w:h="16838"/>
      <w:pgMar w:top="1984" w:right="1474" w:bottom="198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iMjA0NDhkOTQ3NDU0NzJmM2NlZWUzNzM0YTg4YTkifQ=="/>
  </w:docVars>
  <w:rsids>
    <w:rsidRoot w:val="11E500AB"/>
    <w:rsid w:val="0214769D"/>
    <w:rsid w:val="0928369E"/>
    <w:rsid w:val="11E500AB"/>
    <w:rsid w:val="15EC23EC"/>
    <w:rsid w:val="17F3578E"/>
    <w:rsid w:val="274727EA"/>
    <w:rsid w:val="2F2E534B"/>
    <w:rsid w:val="30225DF8"/>
    <w:rsid w:val="3A0C3D84"/>
    <w:rsid w:val="3ADD454C"/>
    <w:rsid w:val="3DC53153"/>
    <w:rsid w:val="421C2E14"/>
    <w:rsid w:val="455F0559"/>
    <w:rsid w:val="48FD44EF"/>
    <w:rsid w:val="4A790F83"/>
    <w:rsid w:val="4C0C24EC"/>
    <w:rsid w:val="4CD216C8"/>
    <w:rsid w:val="55451AA4"/>
    <w:rsid w:val="57D317A6"/>
    <w:rsid w:val="6AD262F7"/>
    <w:rsid w:val="6B543355"/>
    <w:rsid w:val="700725A1"/>
    <w:rsid w:val="736B7B57"/>
    <w:rsid w:val="7A3D0155"/>
    <w:rsid w:val="7E77735F"/>
    <w:rsid w:val="7FFB2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unhideWhenUsed/>
    <w:qFormat/>
    <w:uiPriority w:val="99"/>
    <w:pPr>
      <w:spacing w:before="100" w:beforeAutospacing="1"/>
      <w:ind w:left="200" w:firstLine="200" w:firstLineChars="200"/>
    </w:pPr>
  </w:style>
  <w:style w:type="paragraph" w:styleId="3">
    <w:name w:val="Body Text Indent"/>
    <w:basedOn w:val="1"/>
    <w:semiHidden/>
    <w:unhideWhenUsed/>
    <w:qFormat/>
    <w:uiPriority w:val="99"/>
    <w:pPr>
      <w:spacing w:after="120"/>
      <w:ind w:left="420" w:leftChars="200"/>
    </w:pPr>
  </w:style>
  <w:style w:type="paragraph" w:styleId="4">
    <w:name w:val="Body Text"/>
    <w:basedOn w:val="1"/>
    <w:qFormat/>
    <w:uiPriority w:val="99"/>
    <w:pPr>
      <w:spacing w:line="640" w:lineRule="exact"/>
      <w:jc w:val="center"/>
    </w:pPr>
    <w:rPr>
      <w:sz w:val="44"/>
      <w:szCs w:val="44"/>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sz w:val="24"/>
    </w:rPr>
  </w:style>
  <w:style w:type="paragraph" w:customStyle="1" w:styleId="10">
    <w:name w:val="Body text|1"/>
    <w:basedOn w:val="1"/>
    <w:qFormat/>
    <w:uiPriority w:val="0"/>
    <w:pPr>
      <w:spacing w:line="405" w:lineRule="auto"/>
      <w:ind w:firstLine="400"/>
    </w:pPr>
    <w:rPr>
      <w:rFonts w:ascii="宋体" w:hAnsi="宋体" w:eastAsia="宋体" w:cs="宋体"/>
      <w:sz w:val="30"/>
      <w:szCs w:val="30"/>
    </w:rPr>
  </w:style>
  <w:style w:type="paragraph" w:customStyle="1" w:styleId="11">
    <w:name w:val="UserStyle_0"/>
    <w:basedOn w:val="1"/>
    <w:qFormat/>
    <w:uiPriority w:val="99"/>
    <w:pPr>
      <w:widowControl/>
      <w:tabs>
        <w:tab w:val="left" w:pos="4665"/>
        <w:tab w:val="left" w:pos="8970"/>
      </w:tabs>
      <w:ind w:firstLine="400"/>
      <w:textAlignment w:val="baseline"/>
    </w:pPr>
    <w:rPr>
      <w:rFonts w:ascii="Times New Roman" w:hAnsi="Times New Roman"/>
      <w:kern w:val="0"/>
      <w:sz w:val="20"/>
      <w:szCs w:val="20"/>
    </w:rPr>
  </w:style>
  <w:style w:type="paragraph" w:customStyle="1" w:styleId="12">
    <w:name w:val="BodyText"/>
    <w:basedOn w:val="1"/>
    <w:qFormat/>
    <w:uiPriority w:val="0"/>
    <w:pPr>
      <w:spacing w:after="120"/>
      <w:textAlignment w:val="baseline"/>
    </w:pPr>
    <w:rPr>
      <w:rFonts w:ascii="Times New Roman" w:hAnsi="Times New Roman"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3526</Words>
  <Characters>3769</Characters>
  <Lines>0</Lines>
  <Paragraphs>0</Paragraphs>
  <TotalTime>9</TotalTime>
  <ScaleCrop>false</ScaleCrop>
  <LinksUpToDate>false</LinksUpToDate>
  <CharactersWithSpaces>3771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2020-11-26T12:47:00Z</dcterms:created>
  <dc:creator>Administrator</dc:creator>
  <cp:lastModifiedBy>守望</cp:lastModifiedBy>
  <dcterms:modified xsi:type="dcterms:W3CDTF">2023-04-10T02:47:27Z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E1DB28E942004B9AA0E9DEFD0887580B_13</vt:lpwstr>
  </property>
</Properties>
</file>