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jc w:val="center"/>
        <w:outlineLvl w:val="0"/>
        <w:rPr>
          <w:rFonts w:hint="eastAsia" w:ascii="黑体" w:hAnsi="黑体" w:eastAsia="黑体"/>
          <w:snapToGrid w:val="0"/>
          <w:sz w:val="30"/>
          <w:szCs w:val="30"/>
        </w:rPr>
      </w:pPr>
      <w:r>
        <w:rPr>
          <w:rFonts w:hint="eastAsia" w:ascii="黑体" w:hAnsi="黑体" w:eastAsia="黑体"/>
          <w:snapToGrid w:val="0"/>
          <w:sz w:val="30"/>
          <w:szCs w:val="30"/>
        </w:rPr>
        <w:t>一、建设项目基本情况</w:t>
      </w:r>
    </w:p>
    <w:tbl>
      <w:tblPr>
        <w:tblStyle w:val="22"/>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463"/>
        <w:gridCol w:w="1919"/>
        <w:gridCol w:w="2430"/>
        <w:gridCol w:w="325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463" w:type="dxa"/>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建设项目名称</w:t>
            </w:r>
          </w:p>
        </w:tc>
        <w:tc>
          <w:tcPr>
            <w:tcW w:w="7608" w:type="dxa"/>
            <w:gridSpan w:val="3"/>
            <w:noWrap w:val="0"/>
            <w:vAlign w:val="center"/>
          </w:tcPr>
          <w:p>
            <w:pPr>
              <w:adjustRightInd w:val="0"/>
              <w:snapToGrid w:val="0"/>
              <w:jc w:val="center"/>
              <w:rPr>
                <w:rFonts w:hint="default" w:ascii="Times New Roman" w:hAnsi="Times New Roman" w:eastAsia="宋体" w:cs="Times New Roman"/>
                <w:color w:val="auto"/>
                <w:sz w:val="24"/>
                <w:szCs w:val="24"/>
                <w:u w:val="none"/>
                <w:lang w:val="en-US" w:eastAsia="zh-CN"/>
              </w:rPr>
            </w:pPr>
            <w:r>
              <w:rPr>
                <w:rFonts w:hint="default" w:ascii="Times New Roman" w:hAnsi="Times New Roman" w:cs="Times New Roman"/>
                <w:color w:val="auto"/>
                <w:sz w:val="24"/>
                <w:szCs w:val="24"/>
                <w:u w:val="none"/>
                <w:lang w:val="en-US" w:eastAsia="zh-CN"/>
              </w:rPr>
              <w:t>湖南恒光科技股份有限公司供水系统升级改造项目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63" w:type="dxa"/>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项目代码</w:t>
            </w:r>
          </w:p>
        </w:tc>
        <w:tc>
          <w:tcPr>
            <w:tcW w:w="7608" w:type="dxa"/>
            <w:gridSpan w:val="3"/>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highlight w:val="none"/>
                <w:lang w:val="en-US" w:eastAsia="zh-CN"/>
              </w:rPr>
              <w:t>2205-431271-04-02-649611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63" w:type="dxa"/>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建设单位联系人</w:t>
            </w:r>
          </w:p>
        </w:tc>
        <w:tc>
          <w:tcPr>
            <w:tcW w:w="1919"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cs="Times New Roman"/>
                <w:color w:val="auto"/>
                <w:sz w:val="24"/>
                <w:szCs w:val="24"/>
                <w:lang w:val="en-US" w:eastAsia="zh-CN"/>
              </w:rPr>
              <w:t>曹立祥</w:t>
            </w:r>
          </w:p>
        </w:tc>
        <w:tc>
          <w:tcPr>
            <w:tcW w:w="2430" w:type="dxa"/>
            <w:noWrap w:val="0"/>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联系方式</w:t>
            </w:r>
          </w:p>
        </w:tc>
        <w:tc>
          <w:tcPr>
            <w:tcW w:w="3259"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13787586368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63" w:type="dxa"/>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建设地点</w:t>
            </w:r>
          </w:p>
        </w:tc>
        <w:tc>
          <w:tcPr>
            <w:tcW w:w="7608" w:type="dxa"/>
            <w:gridSpan w:val="3"/>
            <w:noWrap w:val="0"/>
            <w:vAlign w:val="center"/>
          </w:tcPr>
          <w:p>
            <w:pPr>
              <w:bidi w:val="0"/>
              <w:jc w:val="center"/>
              <w:rPr>
                <w:rFonts w:hint="default" w:ascii="Times New Roman" w:hAnsi="Times New Roman" w:cs="Times New Roman"/>
                <w:lang w:val="en-US"/>
              </w:rPr>
            </w:pPr>
            <w:r>
              <w:rPr>
                <w:rFonts w:hint="default" w:ascii="Times New Roman" w:hAnsi="Times New Roman" w:cs="Times New Roman"/>
                <w:color w:val="auto"/>
                <w:sz w:val="24"/>
                <w:szCs w:val="24"/>
                <w:lang w:val="en-US" w:eastAsia="zh-CN"/>
              </w:rPr>
              <w:t>湖南省怀化市洪江区岩门01号（湖南恒光科技股份有限公司厂内）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63" w:type="dxa"/>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地理坐标</w:t>
            </w:r>
          </w:p>
        </w:tc>
        <w:tc>
          <w:tcPr>
            <w:tcW w:w="7608" w:type="dxa"/>
            <w:gridSpan w:val="3"/>
            <w:noWrap w:val="0"/>
            <w:vAlign w:val="center"/>
          </w:tcPr>
          <w:p>
            <w:pPr>
              <w:jc w:val="center"/>
              <w:rPr>
                <w:rFonts w:hint="default" w:ascii="Times New Roman" w:hAnsi="Times New Roman" w:cs="Times New Roman"/>
                <w:sz w:val="24"/>
                <w:szCs w:val="24"/>
              </w:rPr>
            </w:pPr>
            <w:r>
              <w:rPr>
                <w:rFonts w:hint="default" w:ascii="Times New Roman" w:hAnsi="Times New Roman" w:cs="Times New Roman"/>
                <w:color w:val="auto"/>
                <w:sz w:val="24"/>
                <w:szCs w:val="24"/>
              </w:rPr>
              <w:t>东经11</w:t>
            </w:r>
            <w:r>
              <w:rPr>
                <w:rFonts w:hint="eastAsia" w:cs="Times New Roman"/>
                <w:color w:val="auto"/>
                <w:sz w:val="24"/>
                <w:szCs w:val="24"/>
                <w:lang w:val="en-US" w:eastAsia="zh-CN"/>
              </w:rPr>
              <w:t>0</w:t>
            </w:r>
            <w:r>
              <w:rPr>
                <w:rFonts w:hint="default" w:ascii="Times New Roman" w:hAnsi="Times New Roman" w:cs="Times New Roman"/>
                <w:color w:val="auto"/>
                <w:sz w:val="24"/>
                <w:szCs w:val="24"/>
              </w:rPr>
              <w:t>°</w:t>
            </w:r>
            <w:r>
              <w:rPr>
                <w:rFonts w:hint="eastAsia" w:cs="Times New Roman"/>
                <w:color w:val="auto"/>
                <w:sz w:val="24"/>
                <w:szCs w:val="24"/>
                <w:lang w:val="en-US" w:eastAsia="zh-CN"/>
              </w:rPr>
              <w:t>0</w:t>
            </w:r>
            <w:r>
              <w:rPr>
                <w:rFonts w:hint="default" w:ascii="Times New Roman" w:hAnsi="Times New Roman" w:cs="Times New Roman"/>
                <w:color w:val="auto"/>
                <w:sz w:val="24"/>
                <w:szCs w:val="24"/>
              </w:rPr>
              <w:t>'</w:t>
            </w:r>
            <w:r>
              <w:rPr>
                <w:rFonts w:hint="eastAsia" w:cs="Times New Roman"/>
                <w:color w:val="auto"/>
                <w:sz w:val="24"/>
                <w:szCs w:val="24"/>
                <w:lang w:val="en-US" w:eastAsia="zh-CN"/>
              </w:rPr>
              <w:t>51.445</w:t>
            </w:r>
            <w:r>
              <w:rPr>
                <w:rFonts w:hint="default" w:ascii="Times New Roman" w:hAnsi="Times New Roman" w:cs="Times New Roman"/>
                <w:color w:val="auto"/>
                <w:sz w:val="24"/>
                <w:szCs w:val="24"/>
              </w:rPr>
              <w:t>"、北纬</w:t>
            </w:r>
            <w:r>
              <w:rPr>
                <w:rFonts w:hint="default" w:ascii="Times New Roman" w:hAnsi="Times New Roman" w:cs="Times New Roman"/>
                <w:color w:val="auto"/>
                <w:sz w:val="24"/>
                <w:szCs w:val="24"/>
                <w:lang w:val="en-US" w:eastAsia="zh-CN"/>
              </w:rPr>
              <w:t>2</w:t>
            </w:r>
            <w:r>
              <w:rPr>
                <w:rFonts w:hint="eastAsia" w:cs="Times New Roman"/>
                <w:color w:val="auto"/>
                <w:sz w:val="24"/>
                <w:szCs w:val="24"/>
                <w:lang w:val="en-US" w:eastAsia="zh-CN"/>
              </w:rPr>
              <w:t>7</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9</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14.163</w:t>
            </w:r>
            <w:r>
              <w:rPr>
                <w:rFonts w:hint="default" w:ascii="Times New Roman" w:hAnsi="Times New Roman"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1" w:hRule="atLeast"/>
          <w:jc w:val="center"/>
        </w:trPr>
        <w:tc>
          <w:tcPr>
            <w:tcW w:w="1463" w:type="dxa"/>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国民经济</w:t>
            </w:r>
          </w:p>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行业类别</w:t>
            </w:r>
          </w:p>
        </w:tc>
        <w:tc>
          <w:tcPr>
            <w:tcW w:w="1919" w:type="dxa"/>
            <w:noWrap w:val="0"/>
            <w:vAlign w:val="center"/>
          </w:tcPr>
          <w:p>
            <w:pPr>
              <w:bidi w:val="0"/>
              <w:rPr>
                <w:rFonts w:hint="default" w:ascii="Times New Roman" w:hAnsi="Times New Roman" w:cs="Times New Roman"/>
                <w:lang w:val="en-US"/>
              </w:rPr>
            </w:pPr>
            <w:r>
              <w:rPr>
                <w:rFonts w:hint="default" w:ascii="Times New Roman" w:hAnsi="Times New Roman" w:cs="Times New Roman"/>
                <w:lang w:val="en-US" w:eastAsia="zh-CN"/>
              </w:rPr>
              <w:t>D</w:t>
            </w:r>
            <w:r>
              <w:rPr>
                <w:rFonts w:hint="default" w:ascii="Times New Roman" w:hAnsi="Times New Roman" w:eastAsia="宋体" w:cs="Times New Roman"/>
                <w:sz w:val="24"/>
                <w:szCs w:val="24"/>
              </w:rPr>
              <w:t>4610自来水生产和供应</w:t>
            </w:r>
          </w:p>
        </w:tc>
        <w:tc>
          <w:tcPr>
            <w:tcW w:w="2430" w:type="dxa"/>
            <w:noWrap w:val="0"/>
            <w:vAlign w:val="center"/>
          </w:tcPr>
          <w:p>
            <w:pPr>
              <w:adjustRightInd w:val="0"/>
              <w:snapToGrid w:val="0"/>
              <w:jc w:val="center"/>
              <w:rPr>
                <w:rFonts w:hint="default" w:ascii="Times New Roman" w:hAnsi="Times New Roman" w:cs="Times New Roman"/>
                <w:color w:val="auto"/>
                <w:sz w:val="24"/>
                <w:szCs w:val="24"/>
                <w:u w:val="none"/>
              </w:rPr>
            </w:pPr>
            <w:bookmarkStart w:id="0" w:name="_Hlk49843745"/>
            <w:r>
              <w:rPr>
                <w:rFonts w:hint="default" w:ascii="Times New Roman" w:hAnsi="Times New Roman" w:cs="Times New Roman"/>
                <w:color w:val="auto"/>
                <w:sz w:val="24"/>
                <w:szCs w:val="24"/>
                <w:u w:val="none"/>
              </w:rPr>
              <w:t>建设项目</w:t>
            </w:r>
          </w:p>
          <w:p>
            <w:pPr>
              <w:adjustRightInd w:val="0"/>
              <w:snapToGrid w:val="0"/>
              <w:jc w:val="center"/>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行业类别</w:t>
            </w:r>
            <w:bookmarkEnd w:id="0"/>
          </w:p>
        </w:tc>
        <w:tc>
          <w:tcPr>
            <w:tcW w:w="3259" w:type="dxa"/>
            <w:noWrap w:val="0"/>
            <w:vAlign w:val="center"/>
          </w:tcPr>
          <w:p>
            <w:pPr>
              <w:pStyle w:val="21"/>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“四十三、水的生产和供应业”中的“94自来水生产和供应”</w:t>
            </w:r>
            <w:r>
              <w:rPr>
                <w:rFonts w:hint="default" w:ascii="Times New Roman" w:hAnsi="Times New Roman" w:eastAsia="宋体" w:cs="Times New Roman"/>
                <w:lang w:val="en-US" w:eastAsia="zh-CN"/>
              </w:rPr>
              <w:t>中的“全部”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463" w:type="dxa"/>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建设性质</w:t>
            </w:r>
          </w:p>
        </w:tc>
        <w:tc>
          <w:tcPr>
            <w:tcW w:w="1919" w:type="dxa"/>
            <w:noWrap w:val="0"/>
            <w:vAlign w:val="center"/>
          </w:tcPr>
          <w:p>
            <w:pPr>
              <w:jc w:val="left"/>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sym w:font="Wingdings 2" w:char="00A3"/>
            </w:r>
            <w:r>
              <w:rPr>
                <w:rFonts w:hint="default" w:ascii="Times New Roman" w:hAnsi="Times New Roman" w:cs="Times New Roman"/>
                <w:color w:val="auto"/>
                <w:sz w:val="24"/>
                <w:szCs w:val="24"/>
                <w:highlight w:val="none"/>
                <w:u w:val="none"/>
              </w:rPr>
              <w:t>新建（迁建）</w:t>
            </w:r>
          </w:p>
          <w:p>
            <w:pPr>
              <w:jc w:val="left"/>
              <w:rPr>
                <w:rFonts w:hint="default" w:ascii="Times New Roman" w:hAnsi="Times New Roman" w:cs="Times New Roman"/>
                <w:sz w:val="24"/>
                <w:szCs w:val="24"/>
              </w:rPr>
            </w:pPr>
            <w:r>
              <w:rPr>
                <w:rFonts w:hint="default" w:ascii="Times New Roman" w:hAnsi="Times New Roman" w:cs="Times New Roman"/>
                <w:sz w:val="24"/>
                <w:szCs w:val="24"/>
              </w:rPr>
              <w:sym w:font="Wingdings 2" w:char="0052"/>
            </w:r>
            <w:r>
              <w:rPr>
                <w:rFonts w:hint="default" w:ascii="Times New Roman" w:hAnsi="Times New Roman" w:cs="Times New Roman"/>
                <w:sz w:val="24"/>
                <w:szCs w:val="24"/>
              </w:rPr>
              <w:t>改建</w:t>
            </w:r>
          </w:p>
          <w:p>
            <w:pPr>
              <w:jc w:val="left"/>
              <w:rPr>
                <w:rFonts w:hint="default" w:ascii="Times New Roman" w:hAnsi="Times New Roman" w:cs="Times New Roman"/>
                <w:sz w:val="24"/>
                <w:szCs w:val="24"/>
              </w:rPr>
            </w:pPr>
            <w:r>
              <w:rPr>
                <w:rFonts w:hint="default" w:ascii="Times New Roman" w:hAnsi="Times New Roman" w:cs="Times New Roman"/>
                <w:sz w:val="24"/>
                <w:szCs w:val="24"/>
              </w:rPr>
              <w:sym w:font="Wingdings 2" w:char="0052"/>
            </w:r>
            <w:r>
              <w:rPr>
                <w:rFonts w:hint="default" w:ascii="Times New Roman" w:hAnsi="Times New Roman" w:cs="Times New Roman"/>
                <w:sz w:val="24"/>
                <w:szCs w:val="24"/>
              </w:rPr>
              <w:t>扩建</w:t>
            </w:r>
          </w:p>
          <w:p>
            <w:pPr>
              <w:jc w:val="left"/>
              <w:rPr>
                <w:rFonts w:hint="default" w:ascii="Times New Roman" w:hAnsi="Times New Roman" w:cs="Times New Roman"/>
                <w:sz w:val="24"/>
                <w:szCs w:val="24"/>
              </w:rPr>
            </w:pPr>
            <w:r>
              <w:rPr>
                <w:rFonts w:hint="default" w:ascii="Times New Roman" w:hAnsi="Times New Roman" w:cs="Times New Roman"/>
                <w:sz w:val="24"/>
                <w:szCs w:val="24"/>
              </w:rPr>
              <w:sym w:font="Wingdings 2" w:char="00A3"/>
            </w:r>
            <w:r>
              <w:rPr>
                <w:rFonts w:hint="default" w:ascii="Times New Roman" w:hAnsi="Times New Roman" w:cs="Times New Roman"/>
                <w:sz w:val="24"/>
                <w:szCs w:val="24"/>
              </w:rPr>
              <w:t>技术改造</w:t>
            </w:r>
          </w:p>
        </w:tc>
        <w:tc>
          <w:tcPr>
            <w:tcW w:w="2430" w:type="dxa"/>
            <w:noWrap w:val="0"/>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建设项目</w:t>
            </w:r>
          </w:p>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申报情形</w:t>
            </w:r>
          </w:p>
        </w:tc>
        <w:tc>
          <w:tcPr>
            <w:tcW w:w="3259" w:type="dxa"/>
            <w:noWrap w:val="0"/>
            <w:vAlign w:val="center"/>
          </w:tcPr>
          <w:p>
            <w:pPr>
              <w:jc w:val="left"/>
              <w:rPr>
                <w:rFonts w:hint="default" w:ascii="Times New Roman" w:hAnsi="Times New Roman" w:cs="Times New Roman"/>
                <w:sz w:val="24"/>
                <w:szCs w:val="24"/>
              </w:rPr>
            </w:pPr>
            <w:r>
              <w:rPr>
                <w:rFonts w:hint="default" w:ascii="Times New Roman" w:hAnsi="Times New Roman" w:cs="Times New Roman"/>
                <w:sz w:val="24"/>
                <w:szCs w:val="24"/>
              </w:rPr>
              <w:sym w:font="Wingdings 2" w:char="0052"/>
            </w:r>
            <w:r>
              <w:rPr>
                <w:rFonts w:hint="default" w:ascii="Times New Roman" w:hAnsi="Times New Roman" w:cs="Times New Roman"/>
                <w:sz w:val="24"/>
                <w:szCs w:val="24"/>
              </w:rPr>
              <w:t xml:space="preserve">首次申报项目             </w:t>
            </w:r>
          </w:p>
          <w:p>
            <w:pPr>
              <w:jc w:val="left"/>
              <w:rPr>
                <w:rFonts w:hint="default" w:ascii="Times New Roman" w:hAnsi="Times New Roman" w:cs="Times New Roman"/>
                <w:sz w:val="24"/>
                <w:szCs w:val="24"/>
              </w:rPr>
            </w:pPr>
            <w:r>
              <w:rPr>
                <w:rFonts w:hint="default" w:ascii="Times New Roman" w:hAnsi="Times New Roman" w:cs="Times New Roman"/>
                <w:sz w:val="24"/>
                <w:szCs w:val="24"/>
              </w:rPr>
              <w:sym w:font="Wingdings 2" w:char="00A3"/>
            </w:r>
            <w:r>
              <w:rPr>
                <w:rFonts w:hint="default" w:ascii="Times New Roman" w:hAnsi="Times New Roman" w:cs="Times New Roman"/>
                <w:sz w:val="24"/>
                <w:szCs w:val="24"/>
              </w:rPr>
              <w:t>不予批准后再次申报项目</w:t>
            </w:r>
          </w:p>
          <w:p>
            <w:pPr>
              <w:jc w:val="left"/>
              <w:rPr>
                <w:rFonts w:hint="default" w:ascii="Times New Roman" w:hAnsi="Times New Roman" w:cs="Times New Roman"/>
                <w:sz w:val="24"/>
                <w:szCs w:val="24"/>
              </w:rPr>
            </w:pPr>
            <w:r>
              <w:rPr>
                <w:rFonts w:hint="default" w:ascii="Times New Roman" w:hAnsi="Times New Roman" w:cs="Times New Roman"/>
                <w:sz w:val="24"/>
                <w:szCs w:val="24"/>
              </w:rPr>
              <w:sym w:font="Wingdings 2" w:char="00A3"/>
            </w:r>
            <w:r>
              <w:rPr>
                <w:rFonts w:hint="default" w:ascii="Times New Roman" w:hAnsi="Times New Roman" w:cs="Times New Roman"/>
                <w:sz w:val="24"/>
                <w:szCs w:val="24"/>
              </w:rPr>
              <w:t xml:space="preserve">超五年重新审核项目     </w:t>
            </w:r>
          </w:p>
          <w:p>
            <w:pPr>
              <w:jc w:val="left"/>
              <w:rPr>
                <w:rFonts w:hint="default" w:ascii="Times New Roman" w:hAnsi="Times New Roman" w:cs="Times New Roman"/>
                <w:sz w:val="24"/>
                <w:szCs w:val="24"/>
              </w:rPr>
            </w:pPr>
            <w:r>
              <w:rPr>
                <w:rFonts w:hint="default" w:ascii="Times New Roman" w:hAnsi="Times New Roman" w:cs="Times New Roman"/>
                <w:sz w:val="24"/>
                <w:szCs w:val="24"/>
              </w:rPr>
              <w:sym w:font="Wingdings 2" w:char="00A3"/>
            </w:r>
            <w:r>
              <w:rPr>
                <w:rFonts w:hint="default" w:ascii="Times New Roman" w:hAnsi="Times New Roman" w:cs="Times New Roman"/>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463" w:type="dxa"/>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项目审批（核准/备案）部门（选填）</w:t>
            </w:r>
          </w:p>
        </w:tc>
        <w:tc>
          <w:tcPr>
            <w:tcW w:w="1919"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怀化市</w:t>
            </w:r>
            <w:r>
              <w:rPr>
                <w:rFonts w:hint="default" w:ascii="Times New Roman" w:hAnsi="Times New Roman" w:cs="Times New Roman"/>
                <w:sz w:val="24"/>
                <w:szCs w:val="24"/>
                <w:lang w:val="en-US" w:eastAsia="zh-CN"/>
              </w:rPr>
              <w:t>洪江区科技和工业信息化局</w:t>
            </w:r>
          </w:p>
        </w:tc>
        <w:tc>
          <w:tcPr>
            <w:tcW w:w="2430" w:type="dxa"/>
            <w:noWrap w:val="0"/>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项目审批（核准/</w:t>
            </w:r>
          </w:p>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备案）文号（选填）</w:t>
            </w:r>
          </w:p>
        </w:tc>
        <w:tc>
          <w:tcPr>
            <w:tcW w:w="3259"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洪区科工信投资备</w:t>
            </w:r>
            <w:r>
              <w:rPr>
                <w:rFonts w:hint="default"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2022]5号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63" w:type="dxa"/>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总投资（万元）</w:t>
            </w:r>
          </w:p>
        </w:tc>
        <w:tc>
          <w:tcPr>
            <w:tcW w:w="1919" w:type="dxa"/>
            <w:noWrap w:val="0"/>
            <w:vAlign w:val="center"/>
          </w:tcPr>
          <w:p>
            <w:pPr>
              <w:adjustRightInd w:val="0"/>
              <w:snapToGrid w:val="0"/>
              <w:jc w:val="center"/>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cs="Times New Roman"/>
                <w:color w:val="auto"/>
                <w:sz w:val="24"/>
                <w:szCs w:val="24"/>
                <w:highlight w:val="none"/>
                <w:u w:val="none"/>
                <w:lang w:val="en-US" w:eastAsia="zh-CN"/>
              </w:rPr>
              <w:t>650</w:t>
            </w:r>
          </w:p>
        </w:tc>
        <w:tc>
          <w:tcPr>
            <w:tcW w:w="2430"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环保投资（万元）</w:t>
            </w:r>
          </w:p>
        </w:tc>
        <w:tc>
          <w:tcPr>
            <w:tcW w:w="3259" w:type="dxa"/>
            <w:noWrap w:val="0"/>
            <w:vAlign w:val="center"/>
          </w:tcPr>
          <w:p>
            <w:pPr>
              <w:adjustRightInd w:val="0"/>
              <w:snapToGrid w:val="0"/>
              <w:jc w:val="center"/>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63" w:type="dxa"/>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环保投资占比（%）</w:t>
            </w:r>
          </w:p>
        </w:tc>
        <w:tc>
          <w:tcPr>
            <w:tcW w:w="1919" w:type="dxa"/>
            <w:noWrap w:val="0"/>
            <w:vAlign w:val="center"/>
          </w:tcPr>
          <w:p>
            <w:pPr>
              <w:adjustRightInd w:val="0"/>
              <w:snapToGrid w:val="0"/>
              <w:jc w:val="center"/>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3.4</w:t>
            </w:r>
          </w:p>
        </w:tc>
        <w:tc>
          <w:tcPr>
            <w:tcW w:w="2430"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u w:val="none"/>
                <w:lang w:eastAsia="zh-CN"/>
              </w:rPr>
            </w:pPr>
            <w:r>
              <w:rPr>
                <w:rFonts w:hint="default" w:ascii="Times New Roman" w:hAnsi="Times New Roman" w:cs="Times New Roman"/>
                <w:color w:val="auto"/>
                <w:sz w:val="24"/>
                <w:szCs w:val="24"/>
                <w:highlight w:val="none"/>
                <w:u w:val="none"/>
              </w:rPr>
              <w:t>施工工期</w:t>
            </w:r>
            <w:r>
              <w:rPr>
                <w:rFonts w:hint="default" w:ascii="Times New Roman" w:hAnsi="Times New Roman"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lang w:val="en-US" w:eastAsia="zh-CN"/>
              </w:rPr>
              <w:t>月</w:t>
            </w:r>
            <w:r>
              <w:rPr>
                <w:rFonts w:hint="default" w:ascii="Times New Roman" w:hAnsi="Times New Roman" w:cs="Times New Roman"/>
                <w:color w:val="auto"/>
                <w:sz w:val="24"/>
                <w:szCs w:val="24"/>
                <w:highlight w:val="none"/>
                <w:u w:val="none"/>
                <w:lang w:eastAsia="zh-CN"/>
              </w:rPr>
              <w:t>）</w:t>
            </w:r>
          </w:p>
        </w:tc>
        <w:tc>
          <w:tcPr>
            <w:tcW w:w="3259" w:type="dxa"/>
            <w:noWrap w:val="0"/>
            <w:vAlign w:val="center"/>
          </w:tcPr>
          <w:p>
            <w:pPr>
              <w:pStyle w:val="38"/>
              <w:jc w:val="center"/>
              <w:rPr>
                <w:rFonts w:hint="default" w:ascii="Times New Roman" w:hAnsi="Times New Roman" w:cs="Times New Roman"/>
                <w:color w:val="auto"/>
                <w:sz w:val="24"/>
                <w:szCs w:val="24"/>
                <w:highlight w:val="none"/>
                <w:u w:val="none"/>
                <w:lang w:val="en-US" w:eastAsia="zh-CN"/>
              </w:rPr>
            </w:pPr>
            <w:r>
              <w:rPr>
                <w:rFonts w:hint="eastAsia" w:ascii="Times New Roman" w:hAnsi="Times New Roman" w:cs="Times New Roman"/>
                <w:color w:val="auto"/>
                <w:sz w:val="24"/>
                <w:szCs w:val="24"/>
                <w:highlight w:val="none"/>
                <w:u w:val="none"/>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63" w:type="dxa"/>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是否开工建设</w:t>
            </w:r>
          </w:p>
        </w:tc>
        <w:tc>
          <w:tcPr>
            <w:tcW w:w="1919" w:type="dxa"/>
            <w:noWrap w:val="0"/>
            <w:vAlign w:val="center"/>
          </w:tcPr>
          <w:p>
            <w:pPr>
              <w:adjustRightInd w:val="0"/>
              <w:snapToGrid w:val="0"/>
              <w:rPr>
                <w:rFonts w:hint="default" w:ascii="Times New Roman" w:hAnsi="Times New Roman" w:cs="Times New Roman"/>
                <w:sz w:val="24"/>
                <w:szCs w:val="24"/>
              </w:rPr>
            </w:pPr>
            <w:r>
              <w:rPr>
                <w:rFonts w:hint="default" w:ascii="Times New Roman" w:hAnsi="Times New Roman" w:cs="Times New Roman"/>
                <w:sz w:val="24"/>
                <w:szCs w:val="24"/>
              </w:rPr>
              <w:sym w:font="Wingdings 2" w:char="0052"/>
            </w:r>
            <w:r>
              <w:rPr>
                <w:rFonts w:hint="default" w:ascii="Times New Roman" w:hAnsi="Times New Roman" w:cs="Times New Roman"/>
                <w:sz w:val="24"/>
                <w:szCs w:val="24"/>
              </w:rPr>
              <w:t>否</w:t>
            </w:r>
          </w:p>
          <w:p>
            <w:pPr>
              <w:adjustRightInd w:val="0"/>
              <w:snapToGrid w:val="0"/>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sym w:font="Wingdings 2" w:char="00A3"/>
            </w:r>
            <w:r>
              <w:rPr>
                <w:rFonts w:hint="default" w:ascii="Times New Roman" w:hAnsi="Times New Roman" w:cs="Times New Roman"/>
                <w:sz w:val="24"/>
                <w:szCs w:val="24"/>
              </w:rPr>
              <w:t>是</w:t>
            </w:r>
          </w:p>
        </w:tc>
        <w:tc>
          <w:tcPr>
            <w:tcW w:w="2430" w:type="dxa"/>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pacing w:val="-6"/>
                <w:sz w:val="24"/>
                <w:szCs w:val="24"/>
              </w:rPr>
              <w:t>用地面积（m</w:t>
            </w:r>
            <w:r>
              <w:rPr>
                <w:rFonts w:hint="default" w:ascii="Times New Roman" w:hAnsi="Times New Roman" w:cs="Times New Roman"/>
                <w:spacing w:val="-6"/>
                <w:sz w:val="24"/>
                <w:szCs w:val="24"/>
                <w:vertAlign w:val="superscript"/>
              </w:rPr>
              <w:t>2</w:t>
            </w:r>
            <w:r>
              <w:rPr>
                <w:rFonts w:hint="default" w:ascii="Times New Roman" w:hAnsi="Times New Roman" w:cs="Times New Roman"/>
                <w:spacing w:val="-6"/>
                <w:sz w:val="24"/>
                <w:szCs w:val="24"/>
              </w:rPr>
              <w:t>）</w:t>
            </w:r>
          </w:p>
        </w:tc>
        <w:tc>
          <w:tcPr>
            <w:tcW w:w="3259"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5800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463" w:type="dxa"/>
            <w:noWrap w:val="0"/>
            <w:vAlign w:val="center"/>
          </w:tcPr>
          <w:p>
            <w:pPr>
              <w:autoSpaceDE w:val="0"/>
              <w:autoSpaceDN w:val="0"/>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专项评价设置情况</w:t>
            </w:r>
          </w:p>
        </w:tc>
        <w:tc>
          <w:tcPr>
            <w:tcW w:w="7608" w:type="dxa"/>
            <w:gridSpan w:val="3"/>
            <w:noWrap w:val="0"/>
            <w:vAlign w:val="center"/>
          </w:tcPr>
          <w:p>
            <w:pPr>
              <w:autoSpaceDE w:val="0"/>
              <w:autoSpaceDN w:val="0"/>
              <w:adjustRightInd w:val="0"/>
              <w:snapToGrid w:val="0"/>
              <w:jc w:val="center"/>
              <w:rPr>
                <w:rFonts w:hint="default" w:ascii="Times New Roman" w:hAnsi="Times New Roman" w:eastAsia="宋体" w:cs="Times New Roman"/>
                <w:kern w:val="0"/>
                <w:sz w:val="24"/>
                <w:szCs w:val="24"/>
                <w:lang w:eastAsia="zh-CN"/>
              </w:rPr>
            </w:pPr>
            <w:r>
              <w:rPr>
                <w:rFonts w:hint="default" w:ascii="Times New Roman" w:hAnsi="Times New Roman" w:cs="Times New Roman"/>
                <w:kern w:val="0"/>
                <w:sz w:val="24"/>
                <w:szCs w:val="24"/>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463" w:type="dxa"/>
            <w:noWrap w:val="0"/>
            <w:vAlign w:val="center"/>
          </w:tcPr>
          <w:p>
            <w:pPr>
              <w:autoSpaceDE w:val="0"/>
              <w:autoSpaceDN w:val="0"/>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sz w:val="24"/>
                <w:szCs w:val="24"/>
              </w:rPr>
              <w:t>规划情况</w:t>
            </w:r>
          </w:p>
        </w:tc>
        <w:tc>
          <w:tcPr>
            <w:tcW w:w="7608"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hint="eastAsia" w:ascii="宋体" w:hAnsi="宋体" w:eastAsia="宋体" w:cs="宋体"/>
                <w:bCs/>
                <w:color w:val="FF0000"/>
                <w:sz w:val="24"/>
                <w:szCs w:val="24"/>
                <w:u w:val="single" w:color="auto"/>
              </w:rPr>
            </w:pPr>
            <w:r>
              <w:rPr>
                <w:rFonts w:hint="eastAsia" w:ascii="宋体" w:hAnsi="宋体" w:eastAsia="宋体" w:cs="宋体"/>
                <w:bCs/>
                <w:color w:val="FF0000"/>
                <w:sz w:val="24"/>
                <w:szCs w:val="24"/>
                <w:u w:val="single" w:color="auto"/>
              </w:rPr>
              <w:t>（1）所属园区规划名称：《怀化市洪江区工业园总体规划》（2008-2030）</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hint="eastAsia" w:ascii="Times New Roman" w:hAnsi="Times New Roman" w:eastAsia="宋体" w:cs="Times New Roman"/>
                <w:color w:val="auto"/>
                <w:kern w:val="0"/>
                <w:sz w:val="24"/>
                <w:szCs w:val="24"/>
                <w:u w:val="none"/>
                <w:lang w:val="en-US" w:eastAsia="zh-CN"/>
              </w:rPr>
            </w:pPr>
            <w:r>
              <w:rPr>
                <w:rFonts w:hint="eastAsia" w:ascii="宋体" w:hAnsi="宋体" w:eastAsia="宋体" w:cs="宋体"/>
                <w:bCs/>
                <w:color w:val="FF0000"/>
                <w:sz w:val="24"/>
                <w:szCs w:val="24"/>
                <w:u w:val="single" w:color="auto"/>
              </w:rPr>
              <w:t>（2）审批机关：湖南省发展和改革委员会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463" w:type="dxa"/>
            <w:noWrap w:val="0"/>
            <w:vAlign w:val="center"/>
          </w:tcPr>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sz w:val="24"/>
                <w:szCs w:val="24"/>
              </w:rPr>
              <w:t>规划环境影响评价情况</w:t>
            </w:r>
          </w:p>
        </w:tc>
        <w:tc>
          <w:tcPr>
            <w:tcW w:w="7608"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hint="default" w:ascii="Times New Roman" w:hAnsi="Times New Roman" w:eastAsia="宋体" w:cs="Times New Roman"/>
                <w:szCs w:val="22"/>
                <w:u w:val="none" w:color="auto"/>
              </w:rPr>
            </w:pPr>
            <w:r>
              <w:rPr>
                <w:rFonts w:hint="default" w:ascii="Times New Roman" w:hAnsi="Times New Roman" w:eastAsia="宋体" w:cs="Times New Roman"/>
                <w:szCs w:val="22"/>
                <w:u w:val="none" w:color="auto"/>
              </w:rPr>
              <w:t>文件名称：《怀化市洪江区工业园环境影响报告书》</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hint="default" w:ascii="Times New Roman" w:hAnsi="Times New Roman" w:eastAsia="宋体" w:cs="Times New Roman"/>
                <w:szCs w:val="22"/>
                <w:u w:val="none" w:color="auto"/>
              </w:rPr>
            </w:pPr>
            <w:r>
              <w:rPr>
                <w:rFonts w:hint="default" w:ascii="Times New Roman" w:hAnsi="Times New Roman" w:eastAsia="宋体" w:cs="Times New Roman"/>
                <w:szCs w:val="22"/>
                <w:u w:val="none" w:color="auto"/>
              </w:rPr>
              <w:t>召集审查机关：湖南省生态环境厅（原湖南省环境保护厅）</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kern w:val="0"/>
                <w:sz w:val="24"/>
                <w:szCs w:val="24"/>
                <w:u w:val="none"/>
                <w:lang w:val="en-US" w:eastAsia="zh-CN"/>
              </w:rPr>
            </w:pPr>
            <w:r>
              <w:rPr>
                <w:rFonts w:hint="default" w:ascii="Times New Roman" w:hAnsi="Times New Roman" w:eastAsia="宋体" w:cs="Times New Roman"/>
                <w:szCs w:val="22"/>
                <w:u w:val="none" w:color="auto"/>
              </w:rPr>
              <w:t>审查文件名称及文号：《怀化市洪江区工业园环境影响报告书的批复》（湘环评[2011]257号）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463" w:type="dxa"/>
            <w:noWrap w:val="0"/>
            <w:vAlign w:val="center"/>
          </w:tcPr>
          <w:p>
            <w:pPr>
              <w:autoSpaceDE w:val="0"/>
              <w:autoSpaceDN w:val="0"/>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规划及规划环境</w:t>
            </w:r>
          </w:p>
          <w:p>
            <w:pPr>
              <w:autoSpaceDE w:val="0"/>
              <w:autoSpaceDN w:val="0"/>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影响评价符合性分析</w:t>
            </w:r>
          </w:p>
        </w:tc>
        <w:tc>
          <w:tcPr>
            <w:tcW w:w="7608" w:type="dxa"/>
            <w:gridSpan w:val="3"/>
            <w:noWrap w:val="0"/>
            <w:vAlign w:val="center"/>
          </w:tcPr>
          <w:p>
            <w:pPr>
              <w:pStyle w:val="7"/>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eastAsia"/>
                <w:lang w:val="en-US" w:eastAsia="zh-CN"/>
              </w:rPr>
            </w:pPr>
            <w:r>
              <w:rPr>
                <w:rFonts w:hint="eastAsia"/>
                <w:lang w:val="en-US" w:eastAsia="zh-CN"/>
              </w:rPr>
              <w:t>1、与洪江高新区产业定位及用地规划符合性分析</w:t>
            </w:r>
          </w:p>
          <w:p>
            <w:pPr>
              <w:pStyle w:val="7"/>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b w:val="0"/>
                <w:bCs/>
                <w:lang w:val="en-US" w:eastAsia="zh-CN"/>
              </w:rPr>
            </w:pPr>
            <w:r>
              <w:rPr>
                <w:rFonts w:hint="eastAsia"/>
                <w:b w:val="0"/>
                <w:bCs/>
                <w:lang w:val="en-US" w:eastAsia="zh-CN"/>
              </w:rPr>
              <w:t>洪江高新区以“基础化工、精细化工、新材料及旅游产品制造”为主导产业，采用“一带一环三轴七组团”的形式进行空间布局。为满足园区产业和空间发展需要，统一规划化工园区，2019年4月，湖南省发改委以《湖南省发展和改革委员会关于同意洪江高新技术产业开发区（洪江区）调区扩区前期工作的函》（湘发改函[2019]194号）同意洪江高新区（洪江区）根据产业发展现状和需求，开展扩区前期工作。调扩区后园区规划定位以精细化工、化工新材料及基础化工产业集群为主导，以现代物流业、生产性服务产业为补充的省级循环产业园区。其中沿江1km 范围内规划为综合产业园面积为124.23公顷：以智能制造、电子信息为主；化工片区（沿江 1km 以外）面积为123.42公顷以精细化工、化工新材料、生物医药及基础化工产业为主。本项目位于沅江东侧约20m处，属于化工片区，本项目为化工企业配套的供水工程，符合洪江高新区的产业定位；根据洪江高新区产业布局规划，本项目位于化工片区，化工片区（沿江1km以外）面积为123.42公顷以精细化工、化工新材料、生物医药及基础化工产业为主。</w:t>
            </w:r>
          </w:p>
          <w:p>
            <w:pPr>
              <w:pStyle w:val="7"/>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b w:val="0"/>
                <w:bCs/>
                <w:lang w:val="en-US" w:eastAsia="zh-CN"/>
              </w:rPr>
            </w:pPr>
            <w:r>
              <w:rPr>
                <w:rFonts w:hint="eastAsia"/>
                <w:b w:val="0"/>
                <w:bCs/>
                <w:lang w:val="en-US" w:eastAsia="zh-CN"/>
              </w:rPr>
              <w:t>本项目为企业化工项目配套供水项目，符合洪江高新区化工片区的规划定位；项目位于洪江高新区，位于园区土地利用规划范围内；项目用地为三类工业用地，符合洪江高新区总体规划，项目选址符合用地规划要求。</w:t>
            </w:r>
          </w:p>
          <w:p>
            <w:pPr>
              <w:pStyle w:val="7"/>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default"/>
              </w:rPr>
            </w:pPr>
            <w:r>
              <w:rPr>
                <w:rFonts w:hint="eastAsia"/>
                <w:lang w:val="en-US" w:eastAsia="zh-CN"/>
              </w:rPr>
              <w:t>2、</w:t>
            </w:r>
            <w:r>
              <w:rPr>
                <w:rFonts w:hint="default"/>
              </w:rPr>
              <w:t>与洪江高新区环评批复结论的符合性分析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rPr>
            </w:pPr>
            <w:r>
              <w:rPr>
                <w:rFonts w:hint="default"/>
              </w:rPr>
              <w:t>（1）园区准入符合性分析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rPr>
            </w:pPr>
            <w:r>
              <w:rPr>
                <w:rFonts w:hint="default"/>
              </w:rPr>
              <w:t>根据《湖南省环境保护厅文件关于怀化市洪江区工业园环境影响报告书的批复》（湘环评[2011]257号），园区严格执行行业、企业准入制度，入园项目选址必须符合园区总体发展规划及工业园主导产业定位及功能布局要求，鼓励依托现有的基础化工工业基础发展科技含量高、经济效益好的下游精细化工产业及相关新材料产业，不得引进国家明令淘汰和禁止发展的能耗物耗高、环境污染严重、不符合产业政策的建设项目；禁止建设重污染冶炼行业、制革工业、电镀工业及水耗大、排水量大、排放一类污染物或持久性、难降解污染物的化工企业、高架源气型污染严重企业及工艺废气中含难处理、有毒有害物质的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rPr>
            </w:pPr>
            <w:r>
              <w:rPr>
                <w:rFonts w:hint="default"/>
              </w:rPr>
              <w:t>本项目为</w:t>
            </w:r>
            <w:r>
              <w:rPr>
                <w:rFonts w:hint="default"/>
                <w:lang w:val="en-US" w:eastAsia="zh-CN"/>
              </w:rPr>
              <w:t>供水系统升级改造项目</w:t>
            </w:r>
            <w:r>
              <w:rPr>
                <w:rFonts w:hint="default"/>
              </w:rPr>
              <w:t>，不属于淘汰和禁止发展的能耗物耗高、不符合产业政策的建设项目；项目也不属于重污染冶炼行业、制革工业、电镀工业等禁止建设类项目。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rPr>
            </w:pPr>
            <w:r>
              <w:rPr>
                <w:rFonts w:hint="default"/>
              </w:rPr>
              <w:t>总体而言，项目与园区准入条件相符。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rPr>
            </w:pPr>
            <w:r>
              <w:rPr>
                <w:rFonts w:hint="default"/>
              </w:rPr>
              <w:t>（2）与园区</w:t>
            </w:r>
            <w:r>
              <w:rPr>
                <w:rFonts w:hint="eastAsia"/>
                <w:lang w:val="en-US" w:eastAsia="zh-CN"/>
              </w:rPr>
              <w:t>水</w:t>
            </w:r>
            <w:r>
              <w:rPr>
                <w:rFonts w:hint="default"/>
              </w:rPr>
              <w:t>污染控制措施符合性分析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u w:val="single"/>
              </w:rPr>
            </w:pPr>
            <w:r>
              <w:rPr>
                <w:rFonts w:hint="default"/>
                <w:u w:val="single"/>
              </w:rPr>
              <w:t>根据《湖南省环境保护厅文件关于怀化市洪江区工业园环境影响报告书的批复》（湘环评[2011]257号），污水处理厂建成运营后</w:t>
            </w:r>
            <w:r>
              <w:rPr>
                <w:rFonts w:hint="eastAsia"/>
                <w:u w:val="single"/>
                <w:lang w:eastAsia="zh-CN"/>
              </w:rPr>
              <w:t>，</w:t>
            </w:r>
            <w:r>
              <w:rPr>
                <w:rFonts w:hint="default"/>
                <w:u w:val="single"/>
              </w:rPr>
              <w:t>园区各企业单位废水必须进行处理满足污水处理厂进水水质要求后</w:t>
            </w:r>
            <w:r>
              <w:rPr>
                <w:rFonts w:hint="eastAsia"/>
                <w:u w:val="single"/>
                <w:lang w:eastAsia="zh-CN"/>
              </w:rPr>
              <w:t>，</w:t>
            </w:r>
            <w:r>
              <w:rPr>
                <w:rFonts w:hint="default"/>
                <w:u w:val="single"/>
              </w:rPr>
              <w:t>通过污水管网集中送至园区污水处理厂深度处理达到《城镇污水处理厂污染物排放标准》(GB18918-2002)中的</w:t>
            </w:r>
            <w:r>
              <w:rPr>
                <w:rFonts w:hint="default"/>
                <w:color w:val="FF0000"/>
                <w:u w:val="single"/>
              </w:rPr>
              <w:t>一级</w:t>
            </w:r>
            <w:r>
              <w:rPr>
                <w:rFonts w:hint="eastAsia"/>
                <w:color w:val="FF0000"/>
                <w:u w:val="single"/>
                <w:lang w:val="en-US" w:eastAsia="zh-CN"/>
              </w:rPr>
              <w:t>A</w:t>
            </w:r>
            <w:r>
              <w:rPr>
                <w:rFonts w:hint="default"/>
                <w:color w:val="FF0000"/>
                <w:u w:val="single"/>
              </w:rPr>
              <w:t>标准</w:t>
            </w:r>
            <w:r>
              <w:rPr>
                <w:rFonts w:hint="default"/>
                <w:u w:val="single"/>
              </w:rPr>
              <w:t>后排入沅水</w:t>
            </w:r>
            <w:r>
              <w:rPr>
                <w:rFonts w:hint="eastAsia"/>
                <w:u w:val="single"/>
                <w:lang w:eastAsia="zh-CN"/>
              </w:rPr>
              <w:t>，</w:t>
            </w:r>
            <w:r>
              <w:rPr>
                <w:rFonts w:hint="default"/>
                <w:u w:val="single"/>
              </w:rPr>
              <w:t>一类污染物在企业车间排放口达标。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rPr>
            </w:pPr>
            <w:r>
              <w:rPr>
                <w:rFonts w:hint="default"/>
              </w:rPr>
              <w:t>本项目</w:t>
            </w:r>
            <w:r>
              <w:rPr>
                <w:rFonts w:hint="eastAsia"/>
                <w:lang w:val="en-US" w:eastAsia="zh-CN"/>
              </w:rPr>
              <w:t>外排的生产废水能满足</w:t>
            </w:r>
            <w:r>
              <w:rPr>
                <w:rFonts w:hint="default"/>
              </w:rPr>
              <w:t>污水处理厂进水水质，通过污水管网集中送至园区污水处理厂深度处理</w:t>
            </w:r>
            <w:r>
              <w:rPr>
                <w:rFonts w:hint="eastAsia"/>
                <w:lang w:eastAsia="zh-CN"/>
              </w:rPr>
              <w:t>。</w:t>
            </w:r>
            <w:r>
              <w:rPr>
                <w:rFonts w:hint="default"/>
              </w:rPr>
              <w:t>符合洪江高新区</w:t>
            </w:r>
            <w:r>
              <w:rPr>
                <w:rFonts w:hint="eastAsia"/>
                <w:lang w:val="en-US" w:eastAsia="zh-CN"/>
              </w:rPr>
              <w:t>水</w:t>
            </w:r>
            <w:r>
              <w:rPr>
                <w:rFonts w:hint="default"/>
              </w:rPr>
              <w:t>污染防控措施。总体而言，项目与《湖南省环境保护厅文件关于怀化市洪江区工业园环境影响报告书的批复》（湘环评[2011]257号）结论相符。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rPr>
            </w:pPr>
            <w:r>
              <w:rPr>
                <w:rFonts w:hint="default"/>
              </w:rPr>
              <w:t>（</w:t>
            </w:r>
            <w:r>
              <w:rPr>
                <w:rFonts w:hint="eastAsia"/>
                <w:lang w:val="en-US" w:eastAsia="zh-CN"/>
              </w:rPr>
              <w:t>3</w:t>
            </w:r>
            <w:r>
              <w:rPr>
                <w:rFonts w:hint="default"/>
              </w:rPr>
              <w:t>）与园区大气污染控制措施符合性分析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rPr>
            </w:pPr>
            <w:r>
              <w:rPr>
                <w:rFonts w:hint="default"/>
              </w:rPr>
              <w:t>根据《湖南省环境保护厅文件关于怀化市洪江区工业园环境影响报告书的批复》（湘环评[2011]257号），园区应积极推行清洁能源，限制除特殊工艺要求外的燃煤设施建设；加强对园区已建燃煤锅炉等的监管，管委会应协调做好低硫煤的统一调配和供应，控制燃煤含硫量在1.5%以下，减少燃煤二氧化硫排放量。</w:t>
            </w:r>
          </w:p>
          <w:p>
            <w:pPr>
              <w:pStyle w:val="21"/>
              <w:keepNext w:val="0"/>
              <w:keepLines w:val="0"/>
              <w:pageBreakBefore w:val="0"/>
              <w:widowControl w:val="0"/>
              <w:kinsoku/>
              <w:wordWrap/>
              <w:overflowPunct/>
              <w:topLinePunct w:val="0"/>
              <w:autoSpaceDE/>
              <w:autoSpaceDN/>
              <w:bidi w:val="0"/>
              <w:adjustRightInd/>
              <w:snapToGrid/>
              <w:spacing w:after="0" w:line="360" w:lineRule="auto"/>
              <w:ind w:left="0" w:leftChars="0" w:firstLine="420"/>
              <w:textAlignment w:val="auto"/>
              <w:rPr>
                <w:rFonts w:hint="default"/>
                <w:lang w:val="en-US" w:eastAsia="zh-CN"/>
              </w:rPr>
            </w:pPr>
            <w:r>
              <w:rPr>
                <w:rFonts w:hint="default"/>
              </w:rPr>
              <w:t>本项目</w:t>
            </w:r>
            <w:r>
              <w:rPr>
                <w:rFonts w:hint="default"/>
                <w:lang w:val="en-US" w:eastAsia="zh-CN"/>
              </w:rPr>
              <w:t>使用的能源为电能</w:t>
            </w:r>
            <w:r>
              <w:rPr>
                <w:rFonts w:hint="default"/>
              </w:rPr>
              <w:t>，符合洪江高新区大气污染防控措施。总体而言，项目与《湖南省环境保护厅文件关于怀化市洪江区工业园环境影响报告书的批复》（湘环评[2011]257号）结论相符。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463" w:type="dxa"/>
            <w:noWrap w:val="0"/>
            <w:vAlign w:val="center"/>
          </w:tcPr>
          <w:p>
            <w:pPr>
              <w:autoSpaceDE w:val="0"/>
              <w:autoSpaceDN w:val="0"/>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 w:val="24"/>
                <w:szCs w:val="24"/>
              </w:rPr>
              <w:t>其他符合性分析</w:t>
            </w:r>
          </w:p>
        </w:tc>
        <w:tc>
          <w:tcPr>
            <w:tcW w:w="7608" w:type="dxa"/>
            <w:gridSpan w:val="3"/>
            <w:noWrap w:val="0"/>
            <w:vAlign w:val="center"/>
          </w:tcPr>
          <w:p>
            <w:pPr>
              <w:pStyle w:val="36"/>
              <w:bidi w:val="0"/>
              <w:rPr>
                <w:rFonts w:hint="default"/>
                <w:b/>
                <w:bCs/>
              </w:rPr>
            </w:pPr>
            <w:r>
              <w:rPr>
                <w:rFonts w:hint="default"/>
                <w:b/>
                <w:bCs/>
              </w:rPr>
              <w:t>1、产业政策符合性分析</w:t>
            </w:r>
          </w:p>
          <w:p>
            <w:pPr>
              <w:pStyle w:val="36"/>
              <w:bidi w:val="0"/>
              <w:rPr>
                <w:rFonts w:hint="default"/>
                <w:lang w:val="en-US" w:eastAsia="zh-CN"/>
              </w:rPr>
            </w:pPr>
            <w:r>
              <w:rPr>
                <w:rFonts w:hint="default"/>
              </w:rPr>
              <w:t>本项目主要产品为</w:t>
            </w:r>
            <w:r>
              <w:rPr>
                <w:rFonts w:hint="eastAsia"/>
                <w:lang w:val="en-US" w:eastAsia="zh-CN"/>
              </w:rPr>
              <w:t>初步净化水、</w:t>
            </w:r>
            <w:r>
              <w:rPr>
                <w:rFonts w:hint="default"/>
                <w:lang w:val="en-US" w:eastAsia="zh-CN"/>
              </w:rPr>
              <w:t>软水和纯水</w:t>
            </w:r>
            <w:r>
              <w:rPr>
                <w:rFonts w:hint="default"/>
              </w:rPr>
              <w:t>，主要生产设备如表2-</w:t>
            </w:r>
            <w:r>
              <w:rPr>
                <w:rFonts w:hint="eastAsia"/>
                <w:lang w:val="en-US" w:eastAsia="zh-CN"/>
              </w:rPr>
              <w:t>4到2-7</w:t>
            </w:r>
            <w:r>
              <w:rPr>
                <w:rFonts w:hint="default"/>
              </w:rPr>
              <w:t>所示。由《产业结构调整指导目录（201</w:t>
            </w:r>
            <w:r>
              <w:rPr>
                <w:rFonts w:hint="default"/>
                <w:lang w:val="en-US" w:eastAsia="zh-CN"/>
              </w:rPr>
              <w:t>9</w:t>
            </w:r>
            <w:r>
              <w:rPr>
                <w:rFonts w:hint="default"/>
              </w:rPr>
              <w:t>年本）》和《部分工业行业淘汰落后生产工艺装备和产品指导目录（2010年本）》可知，本项目不属于国家限制及淘汰类中提及的内容。因此项目建设符合国家现行产业政策。</w:t>
            </w:r>
          </w:p>
          <w:p>
            <w:pPr>
              <w:pStyle w:val="36"/>
              <w:bidi w:val="0"/>
              <w:rPr>
                <w:rFonts w:hint="default"/>
                <w:b/>
                <w:bCs/>
              </w:rPr>
            </w:pPr>
            <w:r>
              <w:rPr>
                <w:rFonts w:hint="default"/>
                <w:b/>
                <w:bCs/>
                <w:lang w:val="en-US" w:eastAsia="zh-CN"/>
              </w:rPr>
              <w:t>2</w:t>
            </w:r>
            <w:r>
              <w:rPr>
                <w:rFonts w:hint="default"/>
                <w:b/>
                <w:bCs/>
              </w:rPr>
              <w:t>、选址合理性分析</w:t>
            </w:r>
          </w:p>
          <w:p>
            <w:pPr>
              <w:pStyle w:val="36"/>
              <w:bidi w:val="0"/>
              <w:rPr>
                <w:rFonts w:hint="default"/>
              </w:rPr>
            </w:pPr>
            <w:r>
              <w:rPr>
                <w:rFonts w:hint="default"/>
              </w:rPr>
              <w:t>（1）项目选址于</w:t>
            </w:r>
            <w:r>
              <w:rPr>
                <w:rFonts w:hint="default"/>
                <w:lang w:val="en-US" w:eastAsia="zh-CN"/>
              </w:rPr>
              <w:t>湖南省怀化市洪江区岩门01号（湖南恒光科技股份有限公司厂内）</w:t>
            </w:r>
            <w:r>
              <w:rPr>
                <w:rFonts w:hint="default"/>
              </w:rPr>
              <w:t>，项目用地</w:t>
            </w:r>
            <w:r>
              <w:rPr>
                <w:rFonts w:hint="eastAsia"/>
                <w:lang w:val="en-US" w:eastAsia="zh-CN"/>
              </w:rPr>
              <w:t>位于</w:t>
            </w:r>
            <w:r>
              <w:rPr>
                <w:rFonts w:hint="default"/>
              </w:rPr>
              <w:t>企业现有厂区范围内属于工业用地，未占用基本农业用地和林地，符合国家现行的土地使用政策。</w:t>
            </w:r>
          </w:p>
          <w:p>
            <w:pPr>
              <w:pStyle w:val="36"/>
              <w:bidi w:val="0"/>
              <w:rPr>
                <w:rFonts w:hint="default"/>
              </w:rPr>
            </w:pPr>
            <w:r>
              <w:rPr>
                <w:rFonts w:hint="default"/>
              </w:rPr>
              <w:t>（2）本项目在总图布置、设计上充分利用现有场地和现有办公生活、交通、供电、供水等设施。根据生产规模，生产采用整套生产设备，总体上建设条件较好。</w:t>
            </w:r>
          </w:p>
          <w:p>
            <w:pPr>
              <w:pStyle w:val="36"/>
              <w:bidi w:val="0"/>
              <w:rPr>
                <w:rFonts w:hint="default"/>
              </w:rPr>
            </w:pPr>
            <w:r>
              <w:rPr>
                <w:rFonts w:hint="default"/>
              </w:rPr>
              <w:t>项目选址地区交通运输条件良好，公路运输条件优良；因此，区域交通便捷，满足项目运输要求。</w:t>
            </w:r>
          </w:p>
          <w:p>
            <w:pPr>
              <w:pStyle w:val="36"/>
              <w:bidi w:val="0"/>
              <w:rPr>
                <w:rFonts w:hint="default"/>
              </w:rPr>
            </w:pPr>
            <w:r>
              <w:rPr>
                <w:rFonts w:hint="eastAsia"/>
                <w:lang w:val="en-US" w:eastAsia="zh-CN"/>
              </w:rPr>
              <w:t>项目不新增生活用水，生产用水为沅江水</w:t>
            </w:r>
            <w:r>
              <w:rPr>
                <w:rFonts w:hint="default"/>
              </w:rPr>
              <w:t>，</w:t>
            </w:r>
            <w:r>
              <w:rPr>
                <w:rFonts w:hint="eastAsia"/>
                <w:lang w:val="en-US" w:eastAsia="zh-CN"/>
              </w:rPr>
              <w:t>取水证取水量能满足本项目用水量，取水证见附件四。</w:t>
            </w:r>
          </w:p>
          <w:p>
            <w:pPr>
              <w:pStyle w:val="36"/>
              <w:bidi w:val="0"/>
              <w:rPr>
                <w:rFonts w:hint="default"/>
              </w:rPr>
            </w:pPr>
            <w:r>
              <w:rPr>
                <w:rFonts w:hint="default"/>
              </w:rPr>
              <w:t>生活、生产电源</w:t>
            </w:r>
            <w:r>
              <w:rPr>
                <w:rFonts w:hint="eastAsia"/>
                <w:lang w:val="en-US" w:eastAsia="zh-CN"/>
              </w:rPr>
              <w:t>由</w:t>
            </w:r>
            <w:r>
              <w:rPr>
                <w:rFonts w:hint="default"/>
              </w:rPr>
              <w:t>工业园变压站</w:t>
            </w:r>
            <w:r>
              <w:rPr>
                <w:rFonts w:hint="eastAsia"/>
                <w:lang w:val="en-US" w:eastAsia="zh-CN"/>
              </w:rPr>
              <w:t>供应</w:t>
            </w:r>
            <w:r>
              <w:rPr>
                <w:rFonts w:hint="default"/>
              </w:rPr>
              <w:t>，</w:t>
            </w:r>
            <w:r>
              <w:rPr>
                <w:rFonts w:hint="eastAsia"/>
                <w:lang w:val="en-US" w:eastAsia="zh-CN"/>
              </w:rPr>
              <w:t>能</w:t>
            </w:r>
            <w:r>
              <w:rPr>
                <w:rFonts w:hint="default"/>
              </w:rPr>
              <w:t>满足生产、生活用电需要，总体上电源可靠。</w:t>
            </w:r>
          </w:p>
          <w:p>
            <w:pPr>
              <w:pStyle w:val="36"/>
              <w:bidi w:val="0"/>
              <w:rPr>
                <w:rFonts w:hint="default"/>
              </w:rPr>
            </w:pPr>
            <w:r>
              <w:rPr>
                <w:rFonts w:hint="default"/>
              </w:rPr>
              <w:t>（3）项目区域属环境空气质量功能区的二类区，声环境质量功能区的3类区，周边地表水为</w:t>
            </w:r>
            <w:r>
              <w:rPr>
                <w:rFonts w:hint="default"/>
                <w:lang w:val="en-US" w:eastAsia="zh-CN"/>
              </w:rPr>
              <w:t>Ⅲ</w:t>
            </w:r>
            <w:r>
              <w:rPr>
                <w:rFonts w:hint="default"/>
              </w:rPr>
              <w:t>类水域，区域无需特殊保护的文物、古迹、自然保护区等。项目所产生的污染物经过治理后均可实现达标排放。经过预测，项目投产后对大气、地表水、声环境等均不会产生较大影响，不会改变环境功能现状。</w:t>
            </w:r>
          </w:p>
          <w:p>
            <w:pPr>
              <w:pStyle w:val="36"/>
              <w:bidi w:val="0"/>
              <w:rPr>
                <w:rFonts w:hint="eastAsia"/>
                <w:b/>
                <w:bCs/>
                <w:lang w:val="en-US" w:eastAsia="zh-CN"/>
              </w:rPr>
            </w:pPr>
            <w:r>
              <w:rPr>
                <w:rFonts w:hint="default"/>
                <w:b/>
                <w:bCs/>
                <w:lang w:val="en-US" w:eastAsia="zh-CN"/>
              </w:rPr>
              <w:t>3</w:t>
            </w:r>
            <w:r>
              <w:rPr>
                <w:rFonts w:hint="default"/>
                <w:b/>
                <w:bCs/>
              </w:rPr>
              <w:t>、</w:t>
            </w:r>
            <w:r>
              <w:rPr>
                <w:rFonts w:hint="eastAsia"/>
                <w:b/>
                <w:bCs/>
                <w:lang w:val="en-US" w:eastAsia="zh-CN"/>
              </w:rPr>
              <w:t>相符性分析</w:t>
            </w:r>
          </w:p>
          <w:p>
            <w:pPr>
              <w:pStyle w:val="36"/>
              <w:bidi w:val="0"/>
              <w:rPr>
                <w:rFonts w:hint="default"/>
              </w:rPr>
            </w:pPr>
            <w:r>
              <w:rPr>
                <w:rFonts w:hint="eastAsia"/>
                <w:lang w:val="en-US" w:eastAsia="zh-CN"/>
              </w:rPr>
              <w:t>3.1</w:t>
            </w:r>
            <w:r>
              <w:rPr>
                <w:rFonts w:hint="default"/>
              </w:rPr>
              <w:t>与《关于以改善环境质量为核心加强环境影响评价管理的通知》（环环评[2016]150号）相符性分析</w:t>
            </w:r>
          </w:p>
          <w:p>
            <w:pPr>
              <w:pStyle w:val="36"/>
              <w:bidi w:val="0"/>
              <w:rPr>
                <w:rFonts w:hint="default"/>
              </w:rPr>
            </w:pPr>
            <w:r>
              <w:rPr>
                <w:rFonts w:hint="default"/>
              </w:rPr>
              <w:t>本项目位于</w:t>
            </w:r>
            <w:r>
              <w:rPr>
                <w:rFonts w:hint="default"/>
                <w:lang w:val="en-US" w:eastAsia="zh-CN"/>
              </w:rPr>
              <w:t>湖南省怀化市洪江区岩门01</w:t>
            </w:r>
            <w:r>
              <w:rPr>
                <w:rFonts w:hint="default"/>
                <w:color w:val="auto"/>
                <w:lang w:val="en-US" w:eastAsia="zh-CN"/>
              </w:rPr>
              <w:t>号（</w:t>
            </w:r>
            <w:r>
              <w:rPr>
                <w:rFonts w:hint="default"/>
                <w:lang w:val="en-US" w:eastAsia="zh-CN"/>
              </w:rPr>
              <w:t>湖南恒光科技股份有限公司厂内）</w:t>
            </w:r>
            <w:r>
              <w:rPr>
                <w:rFonts w:hint="default"/>
              </w:rPr>
              <w:t>，根据调查，</w:t>
            </w:r>
            <w:r>
              <w:rPr>
                <w:rFonts w:hint="eastAsia"/>
                <w:lang w:val="en-US" w:eastAsia="zh-CN"/>
              </w:rPr>
              <w:t>恒光科技股份有限公司厂区所在地</w:t>
            </w:r>
            <w:r>
              <w:rPr>
                <w:rFonts w:hint="default"/>
              </w:rPr>
              <w:t>不涉及生态保护红线，本项目不在洪江区生态保护红线内</w:t>
            </w:r>
            <w:r>
              <w:rPr>
                <w:rFonts w:hint="eastAsia"/>
                <w:lang w:eastAsia="zh-CN"/>
              </w:rPr>
              <w:t>，</w:t>
            </w:r>
            <w:r>
              <w:rPr>
                <w:rFonts w:hint="eastAsia"/>
                <w:lang w:val="en-US" w:eastAsia="zh-CN"/>
              </w:rPr>
              <w:t>详见附图三</w:t>
            </w:r>
            <w:r>
              <w:rPr>
                <w:rFonts w:hint="default"/>
              </w:rPr>
              <w:t>。</w:t>
            </w:r>
          </w:p>
          <w:p>
            <w:pPr>
              <w:pStyle w:val="36"/>
              <w:bidi w:val="0"/>
              <w:rPr>
                <w:rFonts w:hint="default"/>
              </w:rPr>
            </w:pPr>
            <w:r>
              <w:rPr>
                <w:rFonts w:hint="default"/>
              </w:rPr>
              <w:t>由第3章环境质量状况可知，本项目所在区域大气、地表水质量现状均满足相关环境质量标准，项目拟建地环境质量状况良好，本项目建成后的污染物排放浓度符合各类排放标准，没有超标因子，对周边环境影响较小，故符合《关于以改善环境质量为核心加强环境影响评价管理的通知》（环环评[2016]150号）中的环境质量底线要求。</w:t>
            </w:r>
          </w:p>
          <w:p>
            <w:pPr>
              <w:pStyle w:val="36"/>
              <w:bidi w:val="0"/>
              <w:rPr>
                <w:rFonts w:hint="default"/>
              </w:rPr>
            </w:pPr>
            <w:r>
              <w:rPr>
                <w:rFonts w:hint="default"/>
              </w:rPr>
              <w:t>本项目营运过程中主要消耗电资源、水资源，主要消耗能源过程为</w:t>
            </w:r>
            <w:r>
              <w:rPr>
                <w:rFonts w:hint="eastAsia"/>
                <w:lang w:val="en-US" w:eastAsia="zh-CN"/>
              </w:rPr>
              <w:t>软水和纯水净水过程</w:t>
            </w:r>
            <w:r>
              <w:rPr>
                <w:rFonts w:hint="default"/>
              </w:rPr>
              <w:t>中消耗的能源，能源消耗量较小，本项目的建设不会突破资源利用上线要求</w:t>
            </w:r>
            <w:r>
              <w:rPr>
                <w:rFonts w:hint="eastAsia"/>
                <w:lang w:eastAsia="zh-CN"/>
              </w:rPr>
              <w:t>，</w:t>
            </w:r>
            <w:r>
              <w:rPr>
                <w:rFonts w:hint="default"/>
              </w:rPr>
              <w:t>符合《关于以改善环境质量为核心加强环境影响评价管理的通知》（环环评[2016]150号）中的资源利用上线要求。</w:t>
            </w:r>
          </w:p>
          <w:p>
            <w:pPr>
              <w:pStyle w:val="36"/>
              <w:bidi w:val="0"/>
              <w:rPr>
                <w:rFonts w:hint="default"/>
                <w:lang w:val="zh-CN"/>
              </w:rPr>
            </w:pPr>
            <w:r>
              <w:rPr>
                <w:rFonts w:hint="eastAsia"/>
                <w:lang w:val="en-US" w:eastAsia="zh-CN"/>
              </w:rPr>
              <w:t>3.2</w:t>
            </w:r>
            <w:r>
              <w:rPr>
                <w:rFonts w:hint="default"/>
                <w:lang w:val="zh-CN"/>
              </w:rPr>
              <w:t>本项目</w:t>
            </w:r>
            <w:r>
              <w:rPr>
                <w:rFonts w:hint="default"/>
                <w:lang w:val="en-US" w:eastAsia="zh-CN"/>
              </w:rPr>
              <w:t>与</w:t>
            </w:r>
            <w:r>
              <w:rPr>
                <w:rFonts w:hint="default"/>
                <w:lang w:val="zh-CN"/>
              </w:rPr>
              <w:t>《长江经济带发展负面清单实施细则(试行</w:t>
            </w:r>
            <w:r>
              <w:rPr>
                <w:rFonts w:hint="default"/>
                <w:lang w:val="en-US" w:eastAsia="zh-CN"/>
              </w:rPr>
              <w:t>,2022年版</w:t>
            </w:r>
            <w:r>
              <w:rPr>
                <w:rFonts w:hint="default"/>
                <w:lang w:val="zh-CN"/>
              </w:rPr>
              <w:t>)》相符性分析如下：</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85"/>
              <w:gridCol w:w="2574"/>
              <w:gridCol w:w="8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7"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lang w:eastAsia="zh-CN"/>
                    </w:rPr>
                  </w:pPr>
                  <w:r>
                    <w:rPr>
                      <w:rFonts w:hint="default"/>
                      <w:sz w:val="21"/>
                      <w:szCs w:val="21"/>
                      <w:lang w:eastAsia="zh-CN"/>
                    </w:rPr>
                    <w:t>要求</w:t>
                  </w:r>
                </w:p>
              </w:tc>
              <w:tc>
                <w:tcPr>
                  <w:tcW w:w="2987"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lang w:eastAsia="zh-CN"/>
                    </w:rPr>
                  </w:pPr>
                  <w:r>
                    <w:rPr>
                      <w:rFonts w:hint="default"/>
                      <w:sz w:val="21"/>
                      <w:szCs w:val="21"/>
                      <w:lang w:eastAsia="zh-CN"/>
                    </w:rPr>
                    <w:t>本项目情况</w:t>
                  </w:r>
                </w:p>
              </w:tc>
              <w:tc>
                <w:tcPr>
                  <w:tcW w:w="905"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lang w:eastAsia="zh-CN"/>
                    </w:rPr>
                  </w:pPr>
                  <w:r>
                    <w:rPr>
                      <w:rFonts w:hint="default"/>
                      <w:sz w:val="21"/>
                      <w:szCs w:val="21"/>
                      <w:lang w:eastAsia="zh-CN"/>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7"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lang w:eastAsia="zh-CN"/>
                    </w:rPr>
                  </w:pPr>
                  <w:r>
                    <w:rPr>
                      <w:rFonts w:hint="default"/>
                      <w:sz w:val="21"/>
                      <w:szCs w:val="21"/>
                      <w:lang w:eastAsia="zh-CN"/>
                    </w:rPr>
                    <w:t>禁止建设不符合全国和省级港口布局规划以及港口总体规划的码头项目，禁止建设不符合《长江干线过江通道布局规划》的过长江通道项目</w:t>
                  </w:r>
                </w:p>
              </w:tc>
              <w:tc>
                <w:tcPr>
                  <w:tcW w:w="2987"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jc w:val="both"/>
                    <w:textAlignment w:val="auto"/>
                    <w:rPr>
                      <w:rFonts w:hint="default"/>
                      <w:sz w:val="21"/>
                      <w:szCs w:val="21"/>
                      <w:lang w:eastAsia="zh-CN"/>
                    </w:rPr>
                  </w:pPr>
                  <w:r>
                    <w:rPr>
                      <w:rFonts w:hint="default"/>
                      <w:sz w:val="21"/>
                      <w:szCs w:val="21"/>
                      <w:lang w:eastAsia="zh-CN"/>
                    </w:rPr>
                    <w:t>本项目不属于码头建设项目</w:t>
                  </w:r>
                </w:p>
              </w:tc>
              <w:tc>
                <w:tcPr>
                  <w:tcW w:w="905"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lang w:eastAsia="zh-CN"/>
                    </w:rPr>
                  </w:pPr>
                  <w:r>
                    <w:rPr>
                      <w:rFonts w:hint="default"/>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7"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lang w:eastAsia="zh-CN"/>
                    </w:rPr>
                  </w:pPr>
                  <w:r>
                    <w:rPr>
                      <w:rFonts w:hint="default"/>
                      <w:sz w:val="21"/>
                      <w:szCs w:val="21"/>
                      <w:lang w:eastAsia="zh-CN"/>
                    </w:rPr>
                    <w:t>禁止在自然保护区核心区、缓冲区的岸线和河段范围内投资建设旅游和生产经营项目。禁止在风景名胜区核心景区的岸线和河段范围内投资建设与风景名胜区保护无关的项目</w:t>
                  </w:r>
                </w:p>
              </w:tc>
              <w:tc>
                <w:tcPr>
                  <w:tcW w:w="2987"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lang w:eastAsia="zh-CN"/>
                    </w:rPr>
                  </w:pPr>
                  <w:r>
                    <w:rPr>
                      <w:rFonts w:hint="default"/>
                      <w:sz w:val="21"/>
                      <w:szCs w:val="21"/>
                      <w:lang w:eastAsia="zh-CN"/>
                    </w:rPr>
                    <w:t>本项目位于</w:t>
                  </w:r>
                  <w:r>
                    <w:rPr>
                      <w:rFonts w:hint="default"/>
                      <w:sz w:val="21"/>
                      <w:szCs w:val="21"/>
                      <w:lang w:val="en-US" w:eastAsia="zh-CN"/>
                    </w:rPr>
                    <w:t>湖南省怀化市洪江区岩门01号</w:t>
                  </w:r>
                  <w:r>
                    <w:rPr>
                      <w:rFonts w:hint="default"/>
                      <w:sz w:val="21"/>
                      <w:szCs w:val="21"/>
                      <w:lang w:eastAsia="zh-CN"/>
                    </w:rPr>
                    <w:t>，不位于自然保护区及风景名胜区内</w:t>
                  </w:r>
                </w:p>
              </w:tc>
              <w:tc>
                <w:tcPr>
                  <w:tcW w:w="905"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lang w:eastAsia="zh-CN"/>
                    </w:rPr>
                  </w:pPr>
                  <w:r>
                    <w:rPr>
                      <w:rFonts w:hint="default"/>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7"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lang w:eastAsia="zh-CN"/>
                    </w:rPr>
                  </w:pPr>
                  <w:r>
                    <w:rPr>
                      <w:rFonts w:hint="default"/>
                      <w:sz w:val="21"/>
                      <w:szCs w:val="21"/>
                      <w:lang w:eastAsia="zh-CN"/>
                    </w:rPr>
                    <w:t>禁止在饮用水水源一级保护区内新建、改建、扩建与供水设施和保护水源无关的建设项目，以及网箱养殖、旅游等可能污染饮用水水体的投资建设项目；禁止在饮用水水源二级保护区的岸线和河段范围内新建、改建、扩建排放污染物的投资建设项目</w:t>
                  </w:r>
                </w:p>
              </w:tc>
              <w:tc>
                <w:tcPr>
                  <w:tcW w:w="2987"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lang w:val="en-US" w:eastAsia="zh-CN"/>
                    </w:rPr>
                  </w:pPr>
                  <w:r>
                    <w:rPr>
                      <w:rFonts w:hint="default"/>
                      <w:sz w:val="21"/>
                      <w:szCs w:val="21"/>
                      <w:lang w:eastAsia="zh-CN"/>
                    </w:rPr>
                    <w:t>本项目位于</w:t>
                  </w:r>
                  <w:r>
                    <w:rPr>
                      <w:rFonts w:hint="default"/>
                      <w:sz w:val="21"/>
                      <w:szCs w:val="21"/>
                      <w:lang w:val="en-US" w:eastAsia="zh-CN"/>
                    </w:rPr>
                    <w:t>湖南省怀化市洪江区岩门01号</w:t>
                  </w:r>
                  <w:r>
                    <w:rPr>
                      <w:rFonts w:hint="default"/>
                      <w:sz w:val="21"/>
                      <w:szCs w:val="21"/>
                      <w:lang w:eastAsia="zh-CN"/>
                    </w:rPr>
                    <w:t>，</w:t>
                  </w:r>
                  <w:r>
                    <w:rPr>
                      <w:rFonts w:hint="eastAsia"/>
                      <w:sz w:val="21"/>
                      <w:szCs w:val="21"/>
                      <w:lang w:val="en-US" w:eastAsia="zh-CN"/>
                    </w:rPr>
                    <w:t>取水口位于洪江区岩门河段，属</w:t>
                  </w:r>
                  <w:r>
                    <w:rPr>
                      <w:rFonts w:hint="default"/>
                      <w:sz w:val="21"/>
                      <w:szCs w:val="21"/>
                      <w:lang w:eastAsia="zh-CN"/>
                    </w:rPr>
                    <w:t>于</w:t>
                  </w:r>
                  <w:r>
                    <w:rPr>
                      <w:rFonts w:hint="eastAsia"/>
                      <w:sz w:val="21"/>
                      <w:szCs w:val="21"/>
                      <w:lang w:val="en-US" w:eastAsia="zh-CN"/>
                    </w:rPr>
                    <w:t>渔业用水区，不属于饮用水水</w:t>
                  </w:r>
                  <w:r>
                    <w:rPr>
                      <w:rFonts w:hint="default"/>
                      <w:sz w:val="21"/>
                      <w:szCs w:val="21"/>
                      <w:lang w:eastAsia="zh-CN"/>
                    </w:rPr>
                    <w:t>源保护区内</w:t>
                  </w:r>
                  <w:r>
                    <w:rPr>
                      <w:rFonts w:hint="eastAsia"/>
                      <w:sz w:val="21"/>
                      <w:szCs w:val="21"/>
                      <w:lang w:eastAsia="zh-CN"/>
                    </w:rPr>
                    <w:t>，</w:t>
                  </w:r>
                  <w:r>
                    <w:rPr>
                      <w:rFonts w:hint="eastAsia"/>
                      <w:sz w:val="21"/>
                      <w:szCs w:val="21"/>
                      <w:lang w:val="en-US" w:eastAsia="zh-CN"/>
                    </w:rPr>
                    <w:t>本项目为供水设施建设项目，生产废水排入</w:t>
                  </w:r>
                  <w:r>
                    <w:rPr>
                      <w:rFonts w:hint="eastAsia"/>
                      <w:sz w:val="21"/>
                      <w:szCs w:val="21"/>
                    </w:rPr>
                    <w:t>洪江高新区污水处理厂</w:t>
                  </w:r>
                  <w:r>
                    <w:rPr>
                      <w:rFonts w:hint="eastAsia"/>
                      <w:sz w:val="21"/>
                      <w:szCs w:val="21"/>
                      <w:lang w:val="en-US" w:eastAsia="zh-CN"/>
                    </w:rPr>
                    <w:t>处理</w:t>
                  </w:r>
                </w:p>
              </w:tc>
              <w:tc>
                <w:tcPr>
                  <w:tcW w:w="905"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lang w:eastAsia="zh-CN"/>
                    </w:rPr>
                  </w:pPr>
                  <w:r>
                    <w:rPr>
                      <w:rFonts w:hint="default"/>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7"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lang w:eastAsia="zh-CN"/>
                    </w:rPr>
                  </w:pPr>
                  <w:r>
                    <w:rPr>
                      <w:rFonts w:hint="default"/>
                      <w:sz w:val="21"/>
                      <w:szCs w:val="21"/>
                      <w:lang w:eastAsia="zh-CN"/>
                    </w:rPr>
                    <w:t>禁止在水产种质资源保护区的岸线和河段范围内新建排污口，一级围湖造田、围海造地或围填海等投资建设项目。禁止在国家湿地公园的岸线和河段范围内挖砂、采矿以及任何不符合主体功能定位的投资建设项目</w:t>
                  </w:r>
                </w:p>
              </w:tc>
              <w:tc>
                <w:tcPr>
                  <w:tcW w:w="2987"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lang w:eastAsia="zh-CN"/>
                    </w:rPr>
                  </w:pPr>
                  <w:r>
                    <w:rPr>
                      <w:rFonts w:hint="default"/>
                      <w:sz w:val="21"/>
                      <w:szCs w:val="21"/>
                      <w:lang w:eastAsia="zh-CN"/>
                    </w:rPr>
                    <w:t>本项目位于</w:t>
                  </w:r>
                  <w:r>
                    <w:rPr>
                      <w:rFonts w:hint="default"/>
                      <w:sz w:val="21"/>
                      <w:szCs w:val="21"/>
                      <w:lang w:val="en-US" w:eastAsia="zh-CN"/>
                    </w:rPr>
                    <w:t>湖南省怀化市洪江区岩门01号</w:t>
                  </w:r>
                  <w:r>
                    <w:rPr>
                      <w:rFonts w:hint="default"/>
                      <w:sz w:val="21"/>
                      <w:szCs w:val="21"/>
                      <w:lang w:eastAsia="zh-CN"/>
                    </w:rPr>
                    <w:t>，</w:t>
                  </w:r>
                  <w:r>
                    <w:rPr>
                      <w:rFonts w:hint="default"/>
                      <w:sz w:val="21"/>
                      <w:szCs w:val="21"/>
                      <w:lang w:val="en-US" w:eastAsia="zh-CN"/>
                    </w:rPr>
                    <w:t>无</w:t>
                  </w:r>
                  <w:r>
                    <w:rPr>
                      <w:rFonts w:hint="default"/>
                      <w:sz w:val="21"/>
                      <w:szCs w:val="21"/>
                      <w:lang w:eastAsia="zh-CN"/>
                    </w:rPr>
                    <w:t>新建排污口，不涉及国家湿地公园</w:t>
                  </w:r>
                </w:p>
              </w:tc>
              <w:tc>
                <w:tcPr>
                  <w:tcW w:w="905"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lang w:eastAsia="zh-CN"/>
                    </w:rPr>
                  </w:pPr>
                  <w:r>
                    <w:rPr>
                      <w:rFonts w:hint="default"/>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7"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lang w:eastAsia="zh-CN"/>
                    </w:rPr>
                  </w:pPr>
                  <w:r>
                    <w:rPr>
                      <w:rFonts w:hint="default"/>
                      <w:sz w:val="21"/>
                      <w:szCs w:val="21"/>
                      <w:lang w:eastAsia="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987"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lang w:val="en-US" w:eastAsia="zh-CN"/>
                    </w:rPr>
                  </w:pPr>
                  <w:r>
                    <w:rPr>
                      <w:rFonts w:hint="default"/>
                      <w:sz w:val="21"/>
                      <w:szCs w:val="21"/>
                      <w:lang w:eastAsia="zh-CN"/>
                    </w:rPr>
                    <w:t>本项目位于</w:t>
                  </w:r>
                  <w:r>
                    <w:rPr>
                      <w:rFonts w:hint="default"/>
                      <w:sz w:val="21"/>
                      <w:szCs w:val="21"/>
                      <w:lang w:val="en-US" w:eastAsia="zh-CN"/>
                    </w:rPr>
                    <w:t>湖南省怀化市洪江区岩门01号</w:t>
                  </w:r>
                  <w:r>
                    <w:rPr>
                      <w:rFonts w:hint="default"/>
                      <w:sz w:val="21"/>
                      <w:szCs w:val="21"/>
                      <w:lang w:eastAsia="zh-CN"/>
                    </w:rPr>
                    <w:t>，</w:t>
                  </w:r>
                  <w:r>
                    <w:rPr>
                      <w:rFonts w:hint="default"/>
                      <w:sz w:val="21"/>
                      <w:szCs w:val="21"/>
                      <w:lang w:val="en-US" w:eastAsia="zh-CN"/>
                    </w:rPr>
                    <w:t>项目类型为供水项目。</w:t>
                  </w:r>
                </w:p>
              </w:tc>
              <w:tc>
                <w:tcPr>
                  <w:tcW w:w="905"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lang w:eastAsia="zh-CN"/>
                    </w:rPr>
                  </w:pPr>
                  <w:r>
                    <w:rPr>
                      <w:rFonts w:hint="default"/>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7"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lang w:eastAsia="zh-CN"/>
                    </w:rPr>
                  </w:pPr>
                  <w:r>
                    <w:rPr>
                      <w:rFonts w:hint="default"/>
                      <w:sz w:val="21"/>
                      <w:szCs w:val="21"/>
                      <w:lang w:eastAsia="zh-CN"/>
                    </w:rPr>
                    <w:t>禁止未经许可在长江干支流及湖泊新设、改设或扩大排污口</w:t>
                  </w:r>
                </w:p>
              </w:tc>
              <w:tc>
                <w:tcPr>
                  <w:tcW w:w="2987"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eastAsia="宋体"/>
                      <w:sz w:val="21"/>
                      <w:szCs w:val="21"/>
                      <w:lang w:val="en-US" w:eastAsia="zh-CN"/>
                    </w:rPr>
                  </w:pPr>
                  <w:r>
                    <w:rPr>
                      <w:rFonts w:hint="default"/>
                      <w:sz w:val="21"/>
                      <w:szCs w:val="21"/>
                      <w:lang w:eastAsia="zh-CN"/>
                    </w:rPr>
                    <w:t>本项目位于湖南省怀化市洪江区岩门01号，项目生产废水排入洪江高新区污水处理厂处理达标后排入沅江，本项目不新设、改设或扩大排污口</w:t>
                  </w:r>
                </w:p>
              </w:tc>
              <w:tc>
                <w:tcPr>
                  <w:tcW w:w="905"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lang w:eastAsia="zh-CN"/>
                    </w:rPr>
                  </w:pPr>
                  <w:r>
                    <w:rPr>
                      <w:rFonts w:hint="default"/>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7"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lang w:val="en-US" w:eastAsia="zh-CN"/>
                    </w:rPr>
                  </w:pPr>
                  <w:r>
                    <w:rPr>
                      <w:rFonts w:hint="default"/>
                      <w:sz w:val="21"/>
                      <w:szCs w:val="21"/>
                      <w:lang w:eastAsia="zh-CN"/>
                    </w:rPr>
                    <w:t>禁止在“一江一口两湖七河”和</w:t>
                  </w:r>
                  <w:r>
                    <w:rPr>
                      <w:rFonts w:hint="default"/>
                      <w:sz w:val="21"/>
                      <w:szCs w:val="21"/>
                      <w:lang w:val="en-US" w:eastAsia="zh-CN"/>
                    </w:rPr>
                    <w:t>332个水生生物保护区开展生产性捕捞</w:t>
                  </w:r>
                </w:p>
              </w:tc>
              <w:tc>
                <w:tcPr>
                  <w:tcW w:w="2987"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lang w:eastAsia="zh-CN"/>
                    </w:rPr>
                  </w:pPr>
                  <w:r>
                    <w:rPr>
                      <w:rFonts w:hint="default"/>
                      <w:sz w:val="21"/>
                      <w:szCs w:val="21"/>
                      <w:lang w:eastAsia="zh-CN"/>
                    </w:rPr>
                    <w:t>本项目不涉及捕捞</w:t>
                  </w:r>
                </w:p>
              </w:tc>
              <w:tc>
                <w:tcPr>
                  <w:tcW w:w="905"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lang w:eastAsia="zh-CN"/>
                    </w:rPr>
                  </w:pPr>
                  <w:r>
                    <w:rPr>
                      <w:rFonts w:hint="default"/>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7"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lang w:val="en-US" w:eastAsia="zh-CN"/>
                    </w:rPr>
                  </w:pPr>
                  <w:r>
                    <w:rPr>
                      <w:rFonts w:hint="default"/>
                      <w:sz w:val="21"/>
                      <w:szCs w:val="21"/>
                      <w:lang w:eastAsia="zh-CN"/>
                    </w:rPr>
                    <w:t>禁止在长江干支流、重要湖泊岸线</w:t>
                  </w:r>
                  <w:r>
                    <w:rPr>
                      <w:rFonts w:hint="default"/>
                      <w:sz w:val="21"/>
                      <w:szCs w:val="21"/>
                      <w:lang w:val="en-US" w:eastAsia="zh-CN"/>
                    </w:rPr>
                    <w:t>1公里范围内新建、扩建化工园区和化工项目。禁止在长江干流岸线3公里范围内和重要支流岸线1公里范围内新建、改建、扩建尾矿库、冶炼渣库和磷石膏库，以提升安全、生态环境保护水平为目的的改建除外</w:t>
                  </w:r>
                </w:p>
              </w:tc>
              <w:tc>
                <w:tcPr>
                  <w:tcW w:w="2987"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lang w:eastAsia="zh-CN"/>
                    </w:rPr>
                  </w:pPr>
                  <w:r>
                    <w:rPr>
                      <w:rFonts w:hint="default"/>
                      <w:sz w:val="21"/>
                      <w:szCs w:val="21"/>
                      <w:lang w:eastAsia="zh-CN"/>
                    </w:rPr>
                    <w:t>本项目位于湖南省怀化市洪江区岩门01号，本项目为供水设施建设项目</w:t>
                  </w:r>
                  <w:r>
                    <w:rPr>
                      <w:rFonts w:hint="eastAsia"/>
                      <w:sz w:val="21"/>
                      <w:szCs w:val="21"/>
                      <w:lang w:eastAsia="zh-CN"/>
                    </w:rPr>
                    <w:t>，</w:t>
                  </w:r>
                  <w:r>
                    <w:rPr>
                      <w:rFonts w:hint="default"/>
                      <w:sz w:val="21"/>
                      <w:szCs w:val="21"/>
                      <w:lang w:eastAsia="zh-CN"/>
                    </w:rPr>
                    <w:t>不属于</w:t>
                  </w:r>
                  <w:r>
                    <w:rPr>
                      <w:rFonts w:hint="default"/>
                      <w:sz w:val="21"/>
                      <w:szCs w:val="21"/>
                      <w:lang w:val="en-US" w:eastAsia="zh-CN"/>
                    </w:rPr>
                    <w:t>钢铁、石化、化工、焦化、建材、有色等高污染项目</w:t>
                  </w:r>
                </w:p>
              </w:tc>
              <w:tc>
                <w:tcPr>
                  <w:tcW w:w="905"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lang w:eastAsia="zh-CN"/>
                    </w:rPr>
                  </w:pPr>
                  <w:r>
                    <w:rPr>
                      <w:rFonts w:hint="default"/>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7"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lang w:eastAsia="zh-CN"/>
                    </w:rPr>
                  </w:pPr>
                  <w:r>
                    <w:rPr>
                      <w:rFonts w:hint="default"/>
                      <w:sz w:val="21"/>
                      <w:szCs w:val="21"/>
                      <w:lang w:val="en-US" w:eastAsia="zh-CN"/>
                    </w:rPr>
                    <w:t>禁止在合规园区外新建、扩建钢铁、石化、化工、焦化、建材、有色、制浆造纸等高污染项目</w:t>
                  </w:r>
                </w:p>
              </w:tc>
              <w:tc>
                <w:tcPr>
                  <w:tcW w:w="2987"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lang w:eastAsia="zh-CN"/>
                    </w:rPr>
                  </w:pPr>
                  <w:r>
                    <w:rPr>
                      <w:rFonts w:hint="default"/>
                      <w:sz w:val="21"/>
                      <w:szCs w:val="21"/>
                      <w:lang w:eastAsia="zh-CN"/>
                    </w:rPr>
                    <w:t>本项目不属于</w:t>
                  </w:r>
                  <w:r>
                    <w:rPr>
                      <w:rFonts w:hint="default"/>
                      <w:sz w:val="21"/>
                      <w:szCs w:val="21"/>
                      <w:lang w:val="en-US" w:eastAsia="zh-CN"/>
                    </w:rPr>
                    <w:t>钢铁、石化、化工、焦化、建材、有色、制浆造纸等高污染项目</w:t>
                  </w:r>
                </w:p>
              </w:tc>
              <w:tc>
                <w:tcPr>
                  <w:tcW w:w="905"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lang w:eastAsia="zh-CN"/>
                    </w:rPr>
                  </w:pPr>
                  <w:r>
                    <w:rPr>
                      <w:rFonts w:hint="default"/>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7"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lang w:eastAsia="zh-CN"/>
                    </w:rPr>
                  </w:pPr>
                  <w:r>
                    <w:rPr>
                      <w:rFonts w:hint="default" w:ascii="Times New Roman" w:hAnsi="Times New Roman" w:eastAsia="宋体" w:cs="Times New Roman"/>
                      <w:kern w:val="2"/>
                      <w:sz w:val="21"/>
                      <w:szCs w:val="21"/>
                      <w:lang w:val="en-US" w:eastAsia="zh-CN" w:bidi="ar-SA"/>
                    </w:rPr>
                    <w:t>禁止新建、扩建法律法规和相关政策明令禁止的落后产能项目。禁止新建、扩建不符合国家产能置换要求的严重过剩产能行业的项目。禁止新建、扩建不符合要求的高耗能高排放项目。</w:t>
                  </w:r>
                </w:p>
              </w:tc>
              <w:tc>
                <w:tcPr>
                  <w:tcW w:w="2987"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lang w:eastAsia="zh-CN"/>
                    </w:rPr>
                  </w:pPr>
                  <w:r>
                    <w:rPr>
                      <w:rFonts w:hint="default"/>
                      <w:sz w:val="21"/>
                      <w:szCs w:val="21"/>
                      <w:lang w:eastAsia="zh-CN"/>
                    </w:rPr>
                    <w:t>本项目</w:t>
                  </w:r>
                  <w:r>
                    <w:rPr>
                      <w:rFonts w:hint="default"/>
                      <w:sz w:val="21"/>
                      <w:szCs w:val="21"/>
                    </w:rPr>
                    <w:t>为</w:t>
                  </w:r>
                  <w:r>
                    <w:rPr>
                      <w:rFonts w:hint="default"/>
                      <w:sz w:val="21"/>
                      <w:szCs w:val="21"/>
                      <w:lang w:val="en-US" w:eastAsia="zh-CN"/>
                    </w:rPr>
                    <w:t>供水系统升级改造项目</w:t>
                  </w:r>
                  <w:r>
                    <w:rPr>
                      <w:rFonts w:hint="eastAsia"/>
                      <w:sz w:val="21"/>
                      <w:szCs w:val="21"/>
                      <w:lang w:eastAsia="zh-CN"/>
                    </w:rPr>
                    <w:t>，</w:t>
                  </w:r>
                  <w:r>
                    <w:rPr>
                      <w:rFonts w:hint="default"/>
                      <w:sz w:val="21"/>
                      <w:szCs w:val="21"/>
                      <w:lang w:eastAsia="zh-CN"/>
                    </w:rPr>
                    <w:t>不属于国家石化、现代煤化工等项目</w:t>
                  </w:r>
                  <w:r>
                    <w:rPr>
                      <w:rFonts w:hint="eastAsia"/>
                      <w:sz w:val="21"/>
                      <w:szCs w:val="21"/>
                      <w:lang w:eastAsia="zh-CN"/>
                    </w:rPr>
                    <w:t>，</w:t>
                  </w:r>
                  <w:r>
                    <w:rPr>
                      <w:rFonts w:hint="default" w:ascii="Times New Roman" w:hAnsi="Times New Roman" w:eastAsia="宋体" w:cs="Times New Roman"/>
                      <w:color w:val="auto"/>
                      <w:sz w:val="21"/>
                      <w:szCs w:val="21"/>
                      <w:u w:val="none"/>
                    </w:rPr>
                    <w:t>不属于严重过剩产能行业</w:t>
                  </w:r>
                  <w:r>
                    <w:rPr>
                      <w:rFonts w:hint="default" w:ascii="Times New Roman" w:hAnsi="Times New Roman" w:eastAsia="宋体" w:cs="Times New Roman"/>
                      <w:color w:val="auto"/>
                      <w:sz w:val="21"/>
                      <w:szCs w:val="21"/>
                      <w:u w:val="none"/>
                      <w:lang w:eastAsia="zh-CN"/>
                    </w:rPr>
                    <w:t>。</w:t>
                  </w:r>
                </w:p>
              </w:tc>
              <w:tc>
                <w:tcPr>
                  <w:tcW w:w="905"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lang w:eastAsia="zh-CN"/>
                    </w:rPr>
                  </w:pPr>
                  <w:r>
                    <w:rPr>
                      <w:rFonts w:hint="default"/>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4647"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lang w:eastAsia="zh-CN"/>
                    </w:rPr>
                  </w:pPr>
                  <w:r>
                    <w:rPr>
                      <w:rFonts w:hint="default" w:ascii="Times New Roman" w:hAnsi="Times New Roman" w:eastAsia="宋体" w:cs="Times New Roman"/>
                      <w:kern w:val="2"/>
                      <w:sz w:val="21"/>
                      <w:szCs w:val="21"/>
                      <w:lang w:val="en-US" w:eastAsia="zh-CN" w:bidi="ar-SA"/>
                    </w:rPr>
                    <w:t>法律法规及相关政策文件有更加严格规定的从其规定。</w:t>
                  </w:r>
                </w:p>
              </w:tc>
              <w:tc>
                <w:tcPr>
                  <w:tcW w:w="2987"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lang w:eastAsia="zh-CN"/>
                    </w:rPr>
                  </w:pPr>
                  <w:r>
                    <w:rPr>
                      <w:rFonts w:hint="default" w:ascii="Times New Roman" w:hAnsi="Times New Roman" w:eastAsia="宋体" w:cs="Times New Roman"/>
                      <w:color w:val="auto"/>
                      <w:sz w:val="21"/>
                      <w:szCs w:val="21"/>
                      <w:u w:val="none"/>
                    </w:rPr>
                    <w:t>根据《产业结构调整指导目录》，本项目不属于国家限制及淘汰类中提及的内容</w:t>
                  </w:r>
                  <w:r>
                    <w:rPr>
                      <w:rFonts w:hint="default" w:ascii="Times New Roman" w:hAnsi="Times New Roman" w:eastAsia="宋体" w:cs="Times New Roman"/>
                      <w:color w:val="auto"/>
                      <w:sz w:val="21"/>
                      <w:szCs w:val="21"/>
                      <w:u w:val="none"/>
                      <w:lang w:val="en-US" w:eastAsia="zh-CN"/>
                    </w:rPr>
                    <w:t>。</w:t>
                  </w:r>
                </w:p>
              </w:tc>
              <w:tc>
                <w:tcPr>
                  <w:tcW w:w="905"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lang w:eastAsia="zh-CN"/>
                    </w:rPr>
                  </w:pPr>
                  <w:r>
                    <w:rPr>
                      <w:rFonts w:hint="default"/>
                      <w:sz w:val="21"/>
                      <w:szCs w:val="21"/>
                      <w:lang w:eastAsia="zh-CN"/>
                    </w:rPr>
                    <w:t>符合</w:t>
                  </w:r>
                </w:p>
              </w:tc>
            </w:tr>
          </w:tbl>
          <w:p>
            <w:pPr>
              <w:pStyle w:val="33"/>
              <w:rPr>
                <w:rFonts w:hint="default"/>
              </w:rPr>
            </w:pPr>
            <w:r>
              <w:rPr>
                <w:rFonts w:hint="default"/>
              </w:rPr>
              <w:t>表1-</w:t>
            </w:r>
            <w:r>
              <w:rPr>
                <w:rFonts w:hint="eastAsia"/>
                <w:lang w:val="en-US" w:eastAsia="zh-CN"/>
              </w:rPr>
              <w:t>1</w:t>
            </w:r>
            <w:r>
              <w:rPr>
                <w:rFonts w:hint="default"/>
              </w:rPr>
              <w:t xml:space="preserve"> “三线一单”符合性分析</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71"/>
              <w:gridCol w:w="53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2403" w:type="dxa"/>
                  <w:tcBorders>
                    <w:top w:val="single" w:color="auto" w:sz="12" w:space="0"/>
                    <w:left w:val="single" w:color="auto" w:sz="12" w:space="0"/>
                    <w:bottom w:val="single" w:color="auto" w:sz="4" w:space="0"/>
                    <w:right w:val="single" w:color="auto" w:sz="4" w:space="0"/>
                  </w:tcBorders>
                  <w:noWrap w:val="0"/>
                  <w:vAlign w:val="center"/>
                </w:tcPr>
                <w:p>
                  <w:pPr>
                    <w:pStyle w:val="37"/>
                    <w:rPr>
                      <w:rFonts w:hint="default"/>
                    </w:rPr>
                  </w:pPr>
                  <w:r>
                    <w:rPr>
                      <w:rFonts w:hint="default"/>
                    </w:rPr>
                    <w:t>内容</w:t>
                  </w:r>
                </w:p>
              </w:tc>
              <w:tc>
                <w:tcPr>
                  <w:tcW w:w="6668" w:type="dxa"/>
                  <w:tcBorders>
                    <w:top w:val="single" w:color="auto" w:sz="12" w:space="0"/>
                    <w:left w:val="single" w:color="auto" w:sz="4" w:space="0"/>
                    <w:bottom w:val="single" w:color="auto" w:sz="4" w:space="0"/>
                    <w:right w:val="single" w:color="auto" w:sz="12" w:space="0"/>
                  </w:tcBorders>
                  <w:noWrap w:val="0"/>
                  <w:vAlign w:val="center"/>
                </w:tcPr>
                <w:p>
                  <w:pPr>
                    <w:pStyle w:val="37"/>
                    <w:rPr>
                      <w:rFonts w:hint="default"/>
                    </w:rPr>
                  </w:pPr>
                  <w:r>
                    <w:rPr>
                      <w:rFonts w:hint="default"/>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3" w:type="dxa"/>
                  <w:tcBorders>
                    <w:top w:val="single" w:color="auto" w:sz="4" w:space="0"/>
                    <w:left w:val="single" w:color="auto" w:sz="12" w:space="0"/>
                    <w:bottom w:val="single" w:color="auto" w:sz="4" w:space="0"/>
                    <w:right w:val="single" w:color="auto" w:sz="4" w:space="0"/>
                  </w:tcBorders>
                  <w:noWrap w:val="0"/>
                  <w:vAlign w:val="center"/>
                </w:tcPr>
                <w:p>
                  <w:pPr>
                    <w:pStyle w:val="37"/>
                    <w:rPr>
                      <w:rFonts w:hint="default"/>
                    </w:rPr>
                  </w:pPr>
                  <w:r>
                    <w:rPr>
                      <w:rFonts w:hint="default"/>
                    </w:rPr>
                    <w:t>生态保护红线</w:t>
                  </w:r>
                </w:p>
              </w:tc>
              <w:tc>
                <w:tcPr>
                  <w:tcW w:w="6668" w:type="dxa"/>
                  <w:tcBorders>
                    <w:top w:val="single" w:color="auto" w:sz="4" w:space="0"/>
                    <w:left w:val="single" w:color="auto" w:sz="4" w:space="0"/>
                    <w:bottom w:val="single" w:color="auto" w:sz="4" w:space="0"/>
                    <w:right w:val="single" w:color="auto" w:sz="12" w:space="0"/>
                  </w:tcBorders>
                  <w:noWrap w:val="0"/>
                  <w:vAlign w:val="center"/>
                </w:tcPr>
                <w:p>
                  <w:pPr>
                    <w:pStyle w:val="37"/>
                    <w:rPr>
                      <w:rFonts w:hint="default"/>
                    </w:rPr>
                  </w:pPr>
                  <w:r>
                    <w:rPr>
                      <w:rFonts w:hint="default"/>
                    </w:rPr>
                    <w:t>项目位于</w:t>
                  </w:r>
                  <w:r>
                    <w:rPr>
                      <w:rFonts w:hint="default"/>
                      <w:lang w:val="en-US" w:eastAsia="zh-CN"/>
                    </w:rPr>
                    <w:t>湖南省怀化市洪江区岩门01号</w:t>
                  </w:r>
                  <w:r>
                    <w:rPr>
                      <w:rFonts w:hint="default"/>
                    </w:rPr>
                    <w:t>（洪江高新区），根据调查，洪江高新区不涉及生态保护红线，本项目不在洪江区生态保护红线内。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3" w:type="dxa"/>
                  <w:tcBorders>
                    <w:top w:val="single" w:color="auto" w:sz="4" w:space="0"/>
                    <w:left w:val="single" w:color="auto" w:sz="12" w:space="0"/>
                    <w:bottom w:val="single" w:color="auto" w:sz="4" w:space="0"/>
                    <w:right w:val="single" w:color="auto" w:sz="4" w:space="0"/>
                  </w:tcBorders>
                  <w:noWrap w:val="0"/>
                  <w:vAlign w:val="center"/>
                </w:tcPr>
                <w:p>
                  <w:pPr>
                    <w:pStyle w:val="37"/>
                    <w:rPr>
                      <w:rFonts w:hint="default"/>
                    </w:rPr>
                  </w:pPr>
                  <w:r>
                    <w:rPr>
                      <w:rFonts w:hint="default"/>
                    </w:rPr>
                    <w:t>资源利用上线</w:t>
                  </w:r>
                </w:p>
              </w:tc>
              <w:tc>
                <w:tcPr>
                  <w:tcW w:w="6668" w:type="dxa"/>
                  <w:tcBorders>
                    <w:top w:val="single" w:color="auto" w:sz="4" w:space="0"/>
                    <w:left w:val="single" w:color="auto" w:sz="4" w:space="0"/>
                    <w:bottom w:val="single" w:color="auto" w:sz="4" w:space="0"/>
                    <w:right w:val="single" w:color="auto" w:sz="12" w:space="0"/>
                  </w:tcBorders>
                  <w:noWrap w:val="0"/>
                  <w:vAlign w:val="center"/>
                </w:tcPr>
                <w:p>
                  <w:pPr>
                    <w:pStyle w:val="37"/>
                    <w:rPr>
                      <w:rFonts w:hint="default"/>
                    </w:rPr>
                  </w:pPr>
                  <w:r>
                    <w:rPr>
                      <w:rFonts w:hint="default"/>
                    </w:rPr>
                    <w:t>项目营运过程中消耗一定量的资源，</w:t>
                  </w:r>
                  <w:r>
                    <w:rPr>
                      <w:rFonts w:hint="eastAsia"/>
                      <w:lang w:val="en-US" w:eastAsia="zh-CN"/>
                    </w:rPr>
                    <w:t>本项目生产用水量小于取水证取水量。</w:t>
                  </w:r>
                  <w:r>
                    <w:rPr>
                      <w:rFonts w:hint="default"/>
                    </w:rPr>
                    <w:t>项目资源消耗量相对区域资源利用总量较少，符合资源利用上限要求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3" w:type="dxa"/>
                  <w:tcBorders>
                    <w:top w:val="single" w:color="auto" w:sz="4" w:space="0"/>
                    <w:left w:val="single" w:color="auto" w:sz="12" w:space="0"/>
                    <w:bottom w:val="single" w:color="auto" w:sz="4" w:space="0"/>
                    <w:right w:val="single" w:color="auto" w:sz="4" w:space="0"/>
                  </w:tcBorders>
                  <w:noWrap w:val="0"/>
                  <w:vAlign w:val="center"/>
                </w:tcPr>
                <w:p>
                  <w:pPr>
                    <w:pStyle w:val="37"/>
                    <w:rPr>
                      <w:rFonts w:hint="default"/>
                    </w:rPr>
                  </w:pPr>
                  <w:r>
                    <w:rPr>
                      <w:rFonts w:hint="default"/>
                    </w:rPr>
                    <w:t>环境质量底线</w:t>
                  </w:r>
                </w:p>
              </w:tc>
              <w:tc>
                <w:tcPr>
                  <w:tcW w:w="6668" w:type="dxa"/>
                  <w:tcBorders>
                    <w:top w:val="single" w:color="auto" w:sz="4" w:space="0"/>
                    <w:left w:val="single" w:color="auto" w:sz="4" w:space="0"/>
                    <w:bottom w:val="single" w:color="auto" w:sz="4" w:space="0"/>
                    <w:right w:val="single" w:color="auto" w:sz="12" w:space="0"/>
                  </w:tcBorders>
                  <w:noWrap w:val="0"/>
                  <w:vAlign w:val="center"/>
                </w:tcPr>
                <w:p>
                  <w:pPr>
                    <w:pStyle w:val="37"/>
                    <w:rPr>
                      <w:rFonts w:hint="default"/>
                    </w:rPr>
                  </w:pPr>
                  <w:r>
                    <w:rPr>
                      <w:rFonts w:hint="default"/>
                    </w:rPr>
                    <w:t>本项目附近大气环境、地表水环境质量均能满足相应标准要求。</w:t>
                  </w:r>
                  <w:r>
                    <w:rPr>
                      <w:rFonts w:hint="default"/>
                      <w:color w:val="auto"/>
                    </w:rPr>
                    <w:t>项目</w:t>
                  </w:r>
                  <w:r>
                    <w:rPr>
                      <w:rFonts w:hint="eastAsia"/>
                      <w:color w:val="auto"/>
                      <w:lang w:val="en-US" w:eastAsia="zh-CN"/>
                    </w:rPr>
                    <w:t>不产生生产废气，</w:t>
                  </w:r>
                  <w:r>
                    <w:rPr>
                      <w:rFonts w:hint="default"/>
                    </w:rPr>
                    <w:t>符合环境质量底线要求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3" w:type="dxa"/>
                  <w:tcBorders>
                    <w:top w:val="single" w:color="auto" w:sz="4" w:space="0"/>
                    <w:left w:val="single" w:color="auto" w:sz="12" w:space="0"/>
                    <w:bottom w:val="single" w:color="auto" w:sz="12" w:space="0"/>
                    <w:right w:val="single" w:color="auto" w:sz="4" w:space="0"/>
                  </w:tcBorders>
                  <w:noWrap w:val="0"/>
                  <w:vAlign w:val="center"/>
                </w:tcPr>
                <w:p>
                  <w:pPr>
                    <w:pStyle w:val="37"/>
                    <w:rPr>
                      <w:rFonts w:hint="default"/>
                    </w:rPr>
                  </w:pPr>
                  <w:r>
                    <w:rPr>
                      <w:rFonts w:hint="default"/>
                    </w:rPr>
                    <w:t>生态环境准入清单</w:t>
                  </w:r>
                </w:p>
              </w:tc>
              <w:tc>
                <w:tcPr>
                  <w:tcW w:w="6668" w:type="dxa"/>
                  <w:tcBorders>
                    <w:top w:val="single" w:color="auto" w:sz="4" w:space="0"/>
                    <w:left w:val="single" w:color="auto" w:sz="4" w:space="0"/>
                    <w:bottom w:val="single" w:color="auto" w:sz="12" w:space="0"/>
                    <w:right w:val="single" w:color="auto" w:sz="12" w:space="0"/>
                  </w:tcBorders>
                  <w:noWrap w:val="0"/>
                  <w:vAlign w:val="center"/>
                </w:tcPr>
                <w:p>
                  <w:pPr>
                    <w:pStyle w:val="37"/>
                    <w:rPr>
                      <w:rFonts w:hint="default"/>
                    </w:rPr>
                  </w:pPr>
                  <w:r>
                    <w:rPr>
                      <w:rFonts w:hint="default"/>
                    </w:rPr>
                    <w:t>对照《长江经济带发展负面清单实施细则(</w:t>
                  </w:r>
                  <w:r>
                    <w:rPr>
                      <w:rFonts w:hint="default"/>
                      <w:lang w:val="zh-CN"/>
                    </w:rPr>
                    <w:t>试行</w:t>
                  </w:r>
                  <w:r>
                    <w:rPr>
                      <w:rFonts w:hint="default"/>
                      <w:lang w:val="en-US" w:eastAsia="zh-CN"/>
                    </w:rPr>
                    <w:t>,2022年版</w:t>
                  </w:r>
                  <w:r>
                    <w:rPr>
                      <w:rFonts w:hint="default"/>
                    </w:rPr>
                    <w:t>)》，项目符合要求</w:t>
                  </w:r>
                </w:p>
              </w:tc>
            </w:tr>
          </w:tbl>
          <w:p>
            <w:pPr>
              <w:pStyle w:val="36"/>
              <w:pageBreakBefore w:val="0"/>
              <w:widowControl w:val="0"/>
              <w:kinsoku/>
              <w:wordWrap/>
              <w:overflowPunct/>
              <w:topLinePunct w:val="0"/>
              <w:autoSpaceDE/>
              <w:autoSpaceDN/>
              <w:bidi w:val="0"/>
              <w:adjustRightInd/>
              <w:snapToGrid/>
              <w:textAlignment w:val="auto"/>
              <w:rPr>
                <w:rFonts w:hint="default"/>
              </w:rPr>
            </w:pPr>
            <w:r>
              <w:rPr>
                <w:rFonts w:hint="default"/>
              </w:rPr>
              <w:t>综上所述，本项目符合《关于以改善环境质量为核心加强环境影响评价管理的通知》（环环评[2016]150号）中“三线一单”的相关要求。</w:t>
            </w:r>
            <w:bookmarkStart w:id="1" w:name="_Toc63237638"/>
          </w:p>
          <w:p>
            <w:pPr>
              <w:pStyle w:val="7"/>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b w:val="0"/>
                <w:bCs/>
                <w:highlight w:val="none"/>
              </w:rPr>
            </w:pPr>
            <w:r>
              <w:rPr>
                <w:rFonts w:hint="eastAsia"/>
                <w:b w:val="0"/>
                <w:bCs/>
                <w:highlight w:val="none"/>
                <w:lang w:val="en-US" w:eastAsia="zh-CN"/>
              </w:rPr>
              <w:t>3.3</w:t>
            </w:r>
            <w:r>
              <w:rPr>
                <w:rFonts w:ascii="Times New Roman"/>
                <w:b w:val="0"/>
                <w:bCs/>
                <w:highlight w:val="none"/>
              </w:rPr>
              <w:t>与《湖南</w:t>
            </w:r>
            <w:r>
              <w:rPr>
                <w:rFonts w:hint="eastAsia"/>
                <w:b w:val="0"/>
                <w:bCs/>
                <w:highlight w:val="none"/>
              </w:rPr>
              <w:t>省“三线一单”生态环境总体管控要求暨省级以上产业园区生态环境准入清单》的符合性分析</w:t>
            </w:r>
            <w:bookmarkEnd w:id="1"/>
          </w:p>
          <w:p>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ascii="Times New Roman"/>
              </w:rPr>
            </w:pPr>
            <w:r>
              <w:rPr>
                <w:rFonts w:hint="eastAsia" w:ascii="Times New Roman" w:hAnsi="Times New Roman"/>
                <w:color w:val="000000"/>
                <w:highlight w:val="none"/>
              </w:rPr>
              <w:t>本项目位于洪江高新区，</w:t>
            </w:r>
            <w:r>
              <w:rPr>
                <w:rFonts w:ascii="Times New Roman" w:hAnsi="Times New Roman"/>
                <w:color w:val="000000"/>
              </w:rPr>
              <w:t>项目与</w:t>
            </w:r>
            <w:r>
              <w:rPr>
                <w:rFonts w:ascii="Times New Roman"/>
              </w:rPr>
              <w:t>《湖南省</w:t>
            </w:r>
            <w:r>
              <w:rPr>
                <w:rFonts w:ascii="Times New Roman" w:hAnsi="Times New Roman"/>
              </w:rPr>
              <w:t>“</w:t>
            </w:r>
            <w:r>
              <w:rPr>
                <w:rFonts w:ascii="Times New Roman"/>
              </w:rPr>
              <w:t>三线一单</w:t>
            </w:r>
            <w:r>
              <w:rPr>
                <w:rFonts w:ascii="Times New Roman" w:hAnsi="Times New Roman"/>
              </w:rPr>
              <w:t>”</w:t>
            </w:r>
            <w:r>
              <w:rPr>
                <w:rFonts w:ascii="Times New Roman"/>
              </w:rPr>
              <w:t>生态环境总体管控要求暨省级以上产业园区生态环境准入清单》（</w:t>
            </w:r>
            <w:r>
              <w:rPr>
                <w:rFonts w:ascii="Times New Roman" w:hAnsi="Times New Roman"/>
              </w:rPr>
              <w:t>2020</w:t>
            </w:r>
            <w:r>
              <w:rPr>
                <w:rFonts w:ascii="Times New Roman"/>
              </w:rPr>
              <w:t>年</w:t>
            </w:r>
            <w:r>
              <w:rPr>
                <w:rFonts w:hint="eastAsia" w:ascii="Times New Roman" w:hAnsi="Times New Roman"/>
              </w:rPr>
              <w:t>11</w:t>
            </w:r>
            <w:r>
              <w:rPr>
                <w:rFonts w:ascii="Times New Roman"/>
              </w:rPr>
              <w:t>月）</w:t>
            </w:r>
            <w:r>
              <w:rPr>
                <w:rFonts w:hint="eastAsia" w:ascii="Times New Roman"/>
              </w:rPr>
              <w:t>符合性分析详见下表。</w:t>
            </w:r>
          </w:p>
          <w:p>
            <w:pPr>
              <w:ind w:left="1280" w:leftChars="50" w:hanging="1160" w:hangingChars="550"/>
              <w:jc w:val="center"/>
              <w:rPr>
                <w:rFonts w:ascii="Times New Roman" w:hAnsi="Times New Roman"/>
                <w:b/>
                <w:sz w:val="21"/>
                <w:szCs w:val="21"/>
                <w:highlight w:val="none"/>
              </w:rPr>
            </w:pPr>
            <w:r>
              <w:rPr>
                <w:rFonts w:ascii="Times New Roman"/>
                <w:b/>
                <w:sz w:val="21"/>
                <w:szCs w:val="21"/>
                <w:highlight w:val="none"/>
              </w:rPr>
              <w:t>表</w:t>
            </w:r>
            <w:r>
              <w:rPr>
                <w:rFonts w:hint="eastAsia" w:ascii="Times New Roman" w:hAnsi="Times New Roman"/>
                <w:b/>
                <w:sz w:val="21"/>
                <w:szCs w:val="21"/>
                <w:highlight w:val="none"/>
                <w:lang w:val="en-US" w:eastAsia="zh-CN"/>
              </w:rPr>
              <w:t>1</w:t>
            </w:r>
            <w:r>
              <w:rPr>
                <w:rFonts w:ascii="Times New Roman" w:hAnsi="Times New Roman"/>
                <w:b/>
                <w:sz w:val="21"/>
                <w:szCs w:val="21"/>
                <w:highlight w:val="none"/>
              </w:rPr>
              <w:t>-</w:t>
            </w:r>
            <w:r>
              <w:rPr>
                <w:rFonts w:hint="eastAsia"/>
                <w:b/>
                <w:sz w:val="21"/>
                <w:szCs w:val="21"/>
                <w:highlight w:val="none"/>
                <w:lang w:val="en-US" w:eastAsia="zh-CN"/>
              </w:rPr>
              <w:t>2</w:t>
            </w:r>
            <w:r>
              <w:rPr>
                <w:rFonts w:hint="eastAsia" w:ascii="Times New Roman" w:hAnsi="Times New Roman"/>
                <w:b/>
                <w:sz w:val="21"/>
                <w:szCs w:val="21"/>
                <w:highlight w:val="none"/>
              </w:rPr>
              <w:t xml:space="preserve"> </w:t>
            </w:r>
            <w:r>
              <w:rPr>
                <w:rFonts w:ascii="Times New Roman" w:hAnsi="Times New Roman"/>
                <w:b/>
                <w:sz w:val="21"/>
                <w:szCs w:val="21"/>
                <w:highlight w:val="none"/>
              </w:rPr>
              <w:t>《湖南省“三线一单”生态环境总体管控要求暨省级以上</w:t>
            </w:r>
          </w:p>
          <w:p>
            <w:pPr>
              <w:ind w:left="1280" w:leftChars="50" w:hanging="1160" w:hangingChars="550"/>
              <w:jc w:val="center"/>
              <w:rPr>
                <w:rFonts w:ascii="Times New Roman"/>
                <w:b/>
                <w:sz w:val="21"/>
                <w:szCs w:val="21"/>
                <w:highlight w:val="none"/>
              </w:rPr>
            </w:pPr>
            <w:r>
              <w:rPr>
                <w:rFonts w:ascii="Times New Roman" w:hAnsi="Times New Roman"/>
                <w:b/>
                <w:sz w:val="21"/>
                <w:szCs w:val="21"/>
                <w:highlight w:val="none"/>
              </w:rPr>
              <w:t>产业园区生态环境准入清单</w:t>
            </w:r>
            <w:r>
              <w:rPr>
                <w:rFonts w:ascii="Times New Roman"/>
                <w:b/>
                <w:sz w:val="21"/>
                <w:szCs w:val="21"/>
                <w:highlight w:val="none"/>
              </w:rPr>
              <w:t>》符合性分析</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5"/>
              <w:gridCol w:w="3238"/>
              <w:gridCol w:w="3190"/>
              <w:gridCol w:w="4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56" w:type="pct"/>
                  <w:vAlign w:val="center"/>
                </w:tcPr>
                <w:p>
                  <w:pPr>
                    <w:spacing w:line="240" w:lineRule="auto"/>
                    <w:ind w:firstLine="0" w:firstLineChars="0"/>
                    <w:jc w:val="center"/>
                    <w:rPr>
                      <w:rFonts w:ascii="Times New Roman" w:hAnsi="Times New Roman" w:eastAsia="宋体"/>
                      <w:sz w:val="21"/>
                      <w:szCs w:val="21"/>
                      <w:highlight w:val="none"/>
                      <w:lang w:bidi="en-US"/>
                    </w:rPr>
                  </w:pPr>
                  <w:r>
                    <w:rPr>
                      <w:rFonts w:ascii="Times New Roman" w:hAnsi="Times New Roman" w:eastAsia="宋体"/>
                      <w:sz w:val="21"/>
                      <w:szCs w:val="21"/>
                      <w:highlight w:val="none"/>
                      <w:lang w:bidi="en-US"/>
                    </w:rPr>
                    <w:t>管控纬度</w:t>
                  </w:r>
                </w:p>
              </w:tc>
              <w:tc>
                <w:tcPr>
                  <w:tcW w:w="2199" w:type="pct"/>
                  <w:vAlign w:val="center"/>
                </w:tcPr>
                <w:p>
                  <w:pPr>
                    <w:spacing w:line="240" w:lineRule="auto"/>
                    <w:ind w:firstLine="0" w:firstLineChars="0"/>
                    <w:jc w:val="center"/>
                    <w:rPr>
                      <w:rFonts w:ascii="Times New Roman" w:hAnsi="Times New Roman" w:eastAsia="宋体"/>
                      <w:sz w:val="21"/>
                      <w:szCs w:val="21"/>
                      <w:highlight w:val="none"/>
                      <w:lang w:bidi="en-US"/>
                    </w:rPr>
                  </w:pPr>
                  <w:r>
                    <w:rPr>
                      <w:rFonts w:ascii="Times New Roman" w:hAnsi="Times New Roman" w:eastAsia="宋体"/>
                      <w:sz w:val="21"/>
                      <w:szCs w:val="21"/>
                      <w:highlight w:val="none"/>
                      <w:lang w:bidi="en-US"/>
                    </w:rPr>
                    <w:t>管控要求</w:t>
                  </w:r>
                </w:p>
              </w:tc>
              <w:tc>
                <w:tcPr>
                  <w:tcW w:w="2166" w:type="pct"/>
                  <w:vAlign w:val="center"/>
                </w:tcPr>
                <w:p>
                  <w:pPr>
                    <w:spacing w:line="240" w:lineRule="auto"/>
                    <w:ind w:firstLine="0" w:firstLineChars="0"/>
                    <w:jc w:val="center"/>
                    <w:rPr>
                      <w:rFonts w:ascii="Times New Roman" w:hAnsi="Times New Roman" w:eastAsia="宋体"/>
                      <w:sz w:val="21"/>
                      <w:szCs w:val="21"/>
                      <w:highlight w:val="none"/>
                      <w:lang w:bidi="en-US"/>
                    </w:rPr>
                  </w:pPr>
                  <w:r>
                    <w:rPr>
                      <w:rFonts w:ascii="Times New Roman" w:hAnsi="Times New Roman" w:eastAsia="宋体"/>
                      <w:sz w:val="21"/>
                      <w:szCs w:val="21"/>
                      <w:highlight w:val="none"/>
                      <w:lang w:bidi="en-US"/>
                    </w:rPr>
                    <w:t>本项目</w:t>
                  </w:r>
                </w:p>
              </w:tc>
              <w:tc>
                <w:tcPr>
                  <w:tcW w:w="277" w:type="pct"/>
                  <w:vAlign w:val="center"/>
                </w:tcPr>
                <w:p>
                  <w:pPr>
                    <w:spacing w:line="240" w:lineRule="auto"/>
                    <w:ind w:firstLine="0" w:firstLineChars="0"/>
                    <w:jc w:val="center"/>
                    <w:rPr>
                      <w:rFonts w:ascii="Times New Roman" w:hAnsi="Times New Roman" w:eastAsia="宋体"/>
                      <w:sz w:val="21"/>
                      <w:szCs w:val="21"/>
                      <w:highlight w:val="none"/>
                      <w:lang w:bidi="en-US"/>
                    </w:rPr>
                  </w:pPr>
                  <w:r>
                    <w:rPr>
                      <w:rFonts w:ascii="Times New Roman" w:hAnsi="Times New Roman" w:eastAsia="宋体"/>
                      <w:sz w:val="21"/>
                      <w:szCs w:val="21"/>
                      <w:highlight w:val="none"/>
                      <w:lang w:bidi="en-US"/>
                    </w:rPr>
                    <w:t>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56" w:type="pct"/>
                  <w:vAlign w:val="center"/>
                </w:tcPr>
                <w:p>
                  <w:pPr>
                    <w:spacing w:line="240" w:lineRule="auto"/>
                    <w:ind w:firstLine="0" w:firstLineChars="0"/>
                    <w:jc w:val="center"/>
                    <w:rPr>
                      <w:rFonts w:ascii="Times New Roman" w:hAnsi="Times New Roman" w:eastAsia="宋体"/>
                      <w:sz w:val="21"/>
                      <w:szCs w:val="21"/>
                      <w:highlight w:val="none"/>
                      <w:lang w:bidi="en-US"/>
                    </w:rPr>
                  </w:pPr>
                  <w:r>
                    <w:rPr>
                      <w:rFonts w:ascii="Times New Roman" w:hAnsi="Times New Roman" w:eastAsia="宋体"/>
                      <w:sz w:val="21"/>
                      <w:szCs w:val="21"/>
                      <w:highlight w:val="none"/>
                      <w:lang w:bidi="en-US"/>
                    </w:rPr>
                    <w:t>空间布局约束</w:t>
                  </w:r>
                </w:p>
              </w:tc>
              <w:tc>
                <w:tcPr>
                  <w:tcW w:w="2199" w:type="pct"/>
                  <w:vAlign w:val="center"/>
                </w:tcPr>
                <w:p>
                  <w:pPr>
                    <w:spacing w:line="240" w:lineRule="auto"/>
                    <w:ind w:firstLine="0" w:firstLineChars="0"/>
                    <w:jc w:val="center"/>
                    <w:rPr>
                      <w:rFonts w:ascii="Times New Roman" w:hAnsi="Times New Roman" w:eastAsia="宋体"/>
                      <w:sz w:val="21"/>
                      <w:szCs w:val="21"/>
                      <w:highlight w:val="none"/>
                      <w:lang w:bidi="en-US"/>
                    </w:rPr>
                  </w:pPr>
                  <w:r>
                    <w:rPr>
                      <w:rFonts w:ascii="Times New Roman" w:hAnsi="Times New Roman" w:eastAsia="宋体"/>
                      <w:sz w:val="21"/>
                      <w:szCs w:val="21"/>
                      <w:highlight w:val="none"/>
                      <w:lang w:bidi="en-US"/>
                    </w:rPr>
                    <w:t>禁止建设重污染冶炼行业、制革工业、电镀工业及水耗大、排水量大、排放一类污染物或持久性、难降解污染物的化工企业、高架源气型污染严重企业及工艺废气中含难处理、有毒有害物质的项目</w:t>
                  </w:r>
                </w:p>
              </w:tc>
              <w:tc>
                <w:tcPr>
                  <w:tcW w:w="2166" w:type="pct"/>
                  <w:vAlign w:val="center"/>
                </w:tcPr>
                <w:p>
                  <w:pPr>
                    <w:spacing w:line="240" w:lineRule="auto"/>
                    <w:ind w:firstLine="0" w:firstLineChars="0"/>
                    <w:jc w:val="center"/>
                    <w:rPr>
                      <w:rFonts w:hint="eastAsia" w:ascii="Times New Roman" w:hAnsi="Times New Roman" w:eastAsia="宋体"/>
                      <w:sz w:val="21"/>
                      <w:szCs w:val="21"/>
                      <w:highlight w:val="none"/>
                      <w:lang w:eastAsia="zh-CN" w:bidi="en-US"/>
                    </w:rPr>
                  </w:pPr>
                  <w:r>
                    <w:rPr>
                      <w:rFonts w:ascii="Times New Roman" w:hAnsi="Times New Roman" w:eastAsia="宋体"/>
                      <w:sz w:val="21"/>
                      <w:szCs w:val="21"/>
                      <w:highlight w:val="none"/>
                      <w:lang w:bidi="en-US"/>
                    </w:rPr>
                    <w:t>本项目为</w:t>
                  </w:r>
                  <w:r>
                    <w:rPr>
                      <w:rFonts w:hint="eastAsia" w:ascii="Times New Roman" w:hAnsi="Times New Roman" w:eastAsia="宋体"/>
                      <w:sz w:val="21"/>
                      <w:szCs w:val="21"/>
                      <w:highlight w:val="none"/>
                      <w:lang w:val="en-US" w:eastAsia="zh-CN" w:bidi="en-US"/>
                    </w:rPr>
                    <w:t>供水系统</w:t>
                  </w:r>
                  <w:r>
                    <w:rPr>
                      <w:rFonts w:ascii="Times New Roman" w:hAnsi="Times New Roman" w:eastAsia="宋体"/>
                      <w:sz w:val="21"/>
                      <w:szCs w:val="21"/>
                      <w:highlight w:val="none"/>
                      <w:lang w:bidi="en-US"/>
                    </w:rPr>
                    <w:t>升级改造项目，不属于重污染冶炼行业、制革行业、电镀工业等禁止建设类项目</w:t>
                  </w:r>
                </w:p>
              </w:tc>
              <w:tc>
                <w:tcPr>
                  <w:tcW w:w="277" w:type="pct"/>
                  <w:vAlign w:val="center"/>
                </w:tcPr>
                <w:p>
                  <w:pPr>
                    <w:spacing w:line="240" w:lineRule="auto"/>
                    <w:ind w:firstLine="0" w:firstLineChars="0"/>
                    <w:jc w:val="center"/>
                    <w:rPr>
                      <w:rFonts w:ascii="Times New Roman" w:hAnsi="Times New Roman" w:eastAsia="宋体"/>
                      <w:sz w:val="21"/>
                      <w:szCs w:val="21"/>
                      <w:highlight w:val="none"/>
                      <w:lang w:bidi="en-US"/>
                    </w:rPr>
                  </w:pPr>
                  <w:r>
                    <w:rPr>
                      <w:rFonts w:ascii="Times New Roman" w:hAnsi="Times New Roman" w:eastAsia="宋体"/>
                      <w:sz w:val="21"/>
                      <w:szCs w:val="21"/>
                      <w:highlight w:val="none"/>
                      <w:lang w:bidi="en-US"/>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56" w:type="pct"/>
                  <w:vMerge w:val="restart"/>
                  <w:vAlign w:val="center"/>
                </w:tcPr>
                <w:p>
                  <w:pPr>
                    <w:spacing w:line="240" w:lineRule="auto"/>
                    <w:ind w:firstLine="0" w:firstLineChars="0"/>
                    <w:jc w:val="center"/>
                    <w:rPr>
                      <w:rFonts w:ascii="Times New Roman" w:hAnsi="Times New Roman" w:eastAsia="宋体"/>
                      <w:sz w:val="21"/>
                      <w:szCs w:val="21"/>
                      <w:highlight w:val="none"/>
                      <w:lang w:bidi="en-US"/>
                    </w:rPr>
                  </w:pPr>
                  <w:r>
                    <w:rPr>
                      <w:rFonts w:ascii="Times New Roman" w:hAnsi="Times New Roman" w:eastAsia="宋体"/>
                      <w:sz w:val="21"/>
                      <w:szCs w:val="21"/>
                      <w:highlight w:val="none"/>
                      <w:lang w:bidi="en-US"/>
                    </w:rPr>
                    <w:t>污染物排放管控</w:t>
                  </w:r>
                </w:p>
              </w:tc>
              <w:tc>
                <w:tcPr>
                  <w:tcW w:w="2199" w:type="pct"/>
                  <w:vAlign w:val="center"/>
                </w:tcPr>
                <w:p>
                  <w:pPr>
                    <w:spacing w:line="240" w:lineRule="auto"/>
                    <w:ind w:firstLine="0" w:firstLineChars="0"/>
                    <w:jc w:val="center"/>
                    <w:rPr>
                      <w:rFonts w:ascii="Times New Roman" w:hAnsi="Times New Roman" w:eastAsia="宋体"/>
                      <w:sz w:val="21"/>
                      <w:szCs w:val="21"/>
                      <w:highlight w:val="none"/>
                      <w:lang w:bidi="en-US"/>
                    </w:rPr>
                  </w:pPr>
                  <w:r>
                    <w:rPr>
                      <w:rFonts w:ascii="Times New Roman" w:hAnsi="Times New Roman" w:eastAsia="宋体"/>
                      <w:sz w:val="21"/>
                      <w:szCs w:val="21"/>
                      <w:highlight w:val="none"/>
                      <w:lang w:bidi="en-US"/>
                    </w:rPr>
                    <w:t>废水：（1）园区各企业生产废水、生活污水经园区污水处理厂处理达标后排入沅水；（2）雨水管按重力自流管建设，管道走向与道路坡度方向一致</w:t>
                  </w:r>
                </w:p>
              </w:tc>
              <w:tc>
                <w:tcPr>
                  <w:tcW w:w="2166" w:type="pct"/>
                  <w:vAlign w:val="center"/>
                </w:tcPr>
                <w:p>
                  <w:pPr>
                    <w:spacing w:line="240" w:lineRule="auto"/>
                    <w:ind w:firstLine="0" w:firstLineChars="0"/>
                    <w:jc w:val="center"/>
                    <w:rPr>
                      <w:rFonts w:ascii="Times New Roman" w:hAnsi="Times New Roman" w:eastAsia="宋体"/>
                      <w:sz w:val="21"/>
                      <w:szCs w:val="21"/>
                      <w:highlight w:val="none"/>
                      <w:lang w:bidi="en-US"/>
                    </w:rPr>
                  </w:pPr>
                  <w:r>
                    <w:rPr>
                      <w:rFonts w:hint="eastAsia" w:ascii="Times New Roman" w:hAnsi="Times New Roman" w:eastAsia="宋体"/>
                      <w:sz w:val="21"/>
                      <w:szCs w:val="21"/>
                      <w:highlight w:val="none"/>
                      <w:lang w:bidi="en-US"/>
                    </w:rPr>
                    <w:t>本项目</w:t>
                  </w:r>
                  <w:r>
                    <w:rPr>
                      <w:rFonts w:hint="eastAsia"/>
                      <w:sz w:val="21"/>
                      <w:szCs w:val="21"/>
                      <w:highlight w:val="none"/>
                      <w:lang w:val="en-US" w:eastAsia="zh-CN" w:bidi="en-US"/>
                    </w:rPr>
                    <w:t>不新增生活污水；</w:t>
                  </w:r>
                  <w:r>
                    <w:rPr>
                      <w:rFonts w:hint="eastAsia" w:ascii="Times New Roman" w:hAnsi="Times New Roman" w:eastAsia="宋体"/>
                      <w:sz w:val="21"/>
                      <w:szCs w:val="21"/>
                      <w:highlight w:val="none"/>
                      <w:lang w:val="en-US" w:eastAsia="zh-CN" w:bidi="en-US"/>
                    </w:rPr>
                    <w:t>生产废水经</w:t>
                  </w:r>
                  <w:r>
                    <w:rPr>
                      <w:rFonts w:hint="eastAsia"/>
                      <w:sz w:val="21"/>
                      <w:szCs w:val="21"/>
                      <w:highlight w:val="none"/>
                      <w:lang w:val="en-US" w:eastAsia="zh-CN" w:bidi="en-US"/>
                    </w:rPr>
                    <w:t>园区污水管网</w:t>
                  </w:r>
                  <w:r>
                    <w:rPr>
                      <w:rFonts w:hint="eastAsia" w:ascii="Times New Roman" w:hAnsi="Times New Roman" w:eastAsia="宋体"/>
                      <w:sz w:val="21"/>
                      <w:szCs w:val="21"/>
                      <w:highlight w:val="none"/>
                      <w:lang w:bidi="en-US"/>
                    </w:rPr>
                    <w:t>排入洪江高新区污水处理厂处理；初期雨水收集后经厂区综合废水处理站处理后排入洪江高新区市政污水管网，进入洪江高新区污水处理厂处理</w:t>
                  </w:r>
                </w:p>
              </w:tc>
              <w:tc>
                <w:tcPr>
                  <w:tcW w:w="277" w:type="pct"/>
                  <w:vAlign w:val="center"/>
                </w:tcPr>
                <w:p>
                  <w:pPr>
                    <w:spacing w:line="240" w:lineRule="auto"/>
                    <w:ind w:firstLine="0" w:firstLineChars="0"/>
                    <w:jc w:val="center"/>
                    <w:rPr>
                      <w:rFonts w:ascii="Times New Roman" w:hAnsi="Times New Roman" w:eastAsia="宋体"/>
                      <w:sz w:val="21"/>
                      <w:szCs w:val="21"/>
                      <w:highlight w:val="none"/>
                      <w:lang w:bidi="en-US"/>
                    </w:rPr>
                  </w:pPr>
                  <w:r>
                    <w:rPr>
                      <w:rFonts w:ascii="Times New Roman" w:hAnsi="Times New Roman" w:eastAsia="宋体"/>
                      <w:sz w:val="21"/>
                      <w:szCs w:val="21"/>
                      <w:highlight w:val="none"/>
                      <w:lang w:bidi="en-US"/>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356" w:type="pct"/>
                  <w:vMerge w:val="continue"/>
                  <w:vAlign w:val="center"/>
                </w:tcPr>
                <w:p>
                  <w:pPr>
                    <w:spacing w:line="240" w:lineRule="auto"/>
                    <w:ind w:firstLine="0" w:firstLineChars="0"/>
                    <w:jc w:val="center"/>
                    <w:rPr>
                      <w:rFonts w:ascii="Times New Roman" w:hAnsi="Times New Roman" w:eastAsia="宋体"/>
                      <w:sz w:val="21"/>
                      <w:szCs w:val="21"/>
                      <w:lang w:bidi="en-US"/>
                    </w:rPr>
                  </w:pPr>
                </w:p>
              </w:tc>
              <w:tc>
                <w:tcPr>
                  <w:tcW w:w="2199" w:type="pct"/>
                  <w:vAlign w:val="center"/>
                </w:tcPr>
                <w:p>
                  <w:pPr>
                    <w:spacing w:line="240" w:lineRule="auto"/>
                    <w:ind w:firstLine="0" w:firstLineChars="0"/>
                    <w:jc w:val="center"/>
                    <w:rPr>
                      <w:rFonts w:ascii="Times New Roman" w:hAnsi="Times New Roman" w:eastAsia="宋体"/>
                      <w:sz w:val="21"/>
                      <w:szCs w:val="21"/>
                      <w:lang w:bidi="en-US"/>
                    </w:rPr>
                  </w:pPr>
                  <w:r>
                    <w:rPr>
                      <w:rFonts w:ascii="Times New Roman" w:hAnsi="Times New Roman" w:eastAsia="宋体"/>
                      <w:sz w:val="21"/>
                      <w:szCs w:val="21"/>
                      <w:lang w:bidi="en-US"/>
                    </w:rPr>
                    <w:t>废气：（1）积极推行清洁能源，限值除特殊工艺要求外的燃煤设施建设，加强生产工艺研究与技术改进，采取有效措施，减少工艺废气的无组织排放，入园企业各生产装置排放的废气经处理达到相应标准；（2）加快推进化工、医药、新材料等行业企业挥发性有机物综合治理；</w:t>
                  </w:r>
                </w:p>
              </w:tc>
              <w:tc>
                <w:tcPr>
                  <w:tcW w:w="2166" w:type="pct"/>
                  <w:vAlign w:val="center"/>
                </w:tcPr>
                <w:p>
                  <w:pPr>
                    <w:spacing w:line="240" w:lineRule="auto"/>
                    <w:ind w:firstLine="0" w:firstLineChars="0"/>
                    <w:jc w:val="center"/>
                    <w:rPr>
                      <w:rFonts w:hint="eastAsia" w:ascii="Times New Roman" w:hAnsi="Times New Roman" w:eastAsia="宋体"/>
                      <w:sz w:val="21"/>
                      <w:szCs w:val="21"/>
                      <w:lang w:val="en-US" w:eastAsia="zh-CN" w:bidi="en-US"/>
                    </w:rPr>
                  </w:pPr>
                  <w:r>
                    <w:rPr>
                      <w:rFonts w:hint="eastAsia" w:ascii="Times New Roman" w:hAnsi="Times New Roman" w:eastAsia="宋体"/>
                      <w:sz w:val="21"/>
                      <w:szCs w:val="21"/>
                      <w:lang w:bidi="en-US"/>
                    </w:rPr>
                    <w:t>本项目</w:t>
                  </w:r>
                  <w:r>
                    <w:rPr>
                      <w:rFonts w:ascii="Times New Roman" w:hAnsi="Times New Roman" w:eastAsia="宋体"/>
                      <w:sz w:val="21"/>
                      <w:szCs w:val="21"/>
                      <w:highlight w:val="none"/>
                      <w:lang w:bidi="en-US"/>
                    </w:rPr>
                    <w:t>为</w:t>
                  </w:r>
                  <w:r>
                    <w:rPr>
                      <w:rFonts w:hint="eastAsia" w:ascii="Times New Roman" w:hAnsi="Times New Roman" w:eastAsia="宋体"/>
                      <w:sz w:val="21"/>
                      <w:szCs w:val="21"/>
                      <w:highlight w:val="none"/>
                      <w:lang w:val="en-US" w:eastAsia="zh-CN" w:bidi="en-US"/>
                    </w:rPr>
                    <w:t>供水系统</w:t>
                  </w:r>
                  <w:r>
                    <w:rPr>
                      <w:rFonts w:ascii="Times New Roman" w:hAnsi="Times New Roman" w:eastAsia="宋体"/>
                      <w:sz w:val="21"/>
                      <w:szCs w:val="21"/>
                      <w:highlight w:val="none"/>
                      <w:lang w:bidi="en-US"/>
                    </w:rPr>
                    <w:t>升级改造项目</w:t>
                  </w:r>
                  <w:r>
                    <w:rPr>
                      <w:rFonts w:hint="eastAsia"/>
                      <w:sz w:val="21"/>
                      <w:szCs w:val="21"/>
                      <w:highlight w:val="none"/>
                      <w:lang w:eastAsia="zh-CN" w:bidi="en-US"/>
                    </w:rPr>
                    <w:t>，</w:t>
                  </w:r>
                  <w:r>
                    <w:rPr>
                      <w:rFonts w:hint="eastAsia" w:eastAsia="宋体"/>
                      <w:color w:val="auto"/>
                      <w:sz w:val="21"/>
                      <w:szCs w:val="24"/>
                      <w:u w:val="none"/>
                    </w:rPr>
                    <w:t>采用的能源为电能</w:t>
                  </w:r>
                  <w:r>
                    <w:rPr>
                      <w:rFonts w:hint="eastAsia"/>
                      <w:color w:val="auto"/>
                      <w:sz w:val="21"/>
                      <w:szCs w:val="24"/>
                      <w:u w:val="none"/>
                      <w:lang w:eastAsia="zh-CN"/>
                    </w:rPr>
                    <w:t>；本项目为化工企业配套的供水工程，</w:t>
                  </w:r>
                  <w:r>
                    <w:rPr>
                      <w:rFonts w:hint="eastAsia"/>
                      <w:color w:val="auto"/>
                      <w:sz w:val="21"/>
                      <w:szCs w:val="24"/>
                      <w:u w:val="none"/>
                      <w:lang w:val="en-US" w:eastAsia="zh-CN"/>
                    </w:rPr>
                    <w:t>仅有少量挥发性</w:t>
                  </w:r>
                  <w:r>
                    <w:rPr>
                      <w:rFonts w:hint="eastAsia"/>
                      <w:color w:val="auto"/>
                      <w:sz w:val="21"/>
                      <w:szCs w:val="24"/>
                      <w:u w:val="none"/>
                      <w:lang w:eastAsia="zh-CN"/>
                    </w:rPr>
                    <w:t>废气产生</w:t>
                  </w:r>
                  <w:r>
                    <w:rPr>
                      <w:rFonts w:hint="eastAsia"/>
                      <w:color w:val="auto"/>
                      <w:sz w:val="21"/>
                      <w:szCs w:val="24"/>
                      <w:u w:val="none"/>
                      <w:lang w:val="en-US" w:eastAsia="zh-CN"/>
                    </w:rPr>
                    <w:t>后无组织</w:t>
                  </w:r>
                  <w:r>
                    <w:rPr>
                      <w:rFonts w:hint="eastAsia"/>
                      <w:color w:val="auto"/>
                      <w:sz w:val="21"/>
                      <w:szCs w:val="24"/>
                      <w:u w:val="none"/>
                      <w:lang w:eastAsia="zh-CN"/>
                    </w:rPr>
                    <w:t>排放</w:t>
                  </w:r>
                </w:p>
              </w:tc>
              <w:tc>
                <w:tcPr>
                  <w:tcW w:w="277" w:type="pct"/>
                  <w:vMerge w:val="restart"/>
                  <w:vAlign w:val="center"/>
                </w:tcPr>
                <w:p>
                  <w:pPr>
                    <w:spacing w:line="240" w:lineRule="auto"/>
                    <w:ind w:firstLine="0" w:firstLineChars="0"/>
                    <w:jc w:val="center"/>
                    <w:rPr>
                      <w:rFonts w:ascii="Times New Roman" w:hAnsi="Times New Roman" w:eastAsia="宋体"/>
                      <w:sz w:val="21"/>
                      <w:szCs w:val="21"/>
                      <w:lang w:bidi="en-US"/>
                    </w:rPr>
                  </w:pPr>
                  <w:r>
                    <w:rPr>
                      <w:rFonts w:ascii="Times New Roman" w:hAnsi="Times New Roman" w:eastAsia="宋体"/>
                      <w:sz w:val="21"/>
                      <w:szCs w:val="21"/>
                      <w:lang w:bidi="en-US"/>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356" w:type="pct"/>
                  <w:vMerge w:val="continue"/>
                  <w:vAlign w:val="center"/>
                </w:tcPr>
                <w:p>
                  <w:pPr>
                    <w:spacing w:line="240" w:lineRule="auto"/>
                    <w:ind w:firstLine="0" w:firstLineChars="0"/>
                    <w:jc w:val="center"/>
                    <w:rPr>
                      <w:rFonts w:ascii="Times New Roman" w:hAnsi="Times New Roman" w:eastAsia="宋体"/>
                      <w:sz w:val="21"/>
                      <w:szCs w:val="21"/>
                      <w:lang w:bidi="en-US"/>
                    </w:rPr>
                  </w:pPr>
                </w:p>
              </w:tc>
              <w:tc>
                <w:tcPr>
                  <w:tcW w:w="2199" w:type="pct"/>
                  <w:vAlign w:val="center"/>
                </w:tcPr>
                <w:p>
                  <w:pPr>
                    <w:spacing w:line="240" w:lineRule="auto"/>
                    <w:ind w:firstLine="0" w:firstLineChars="0"/>
                    <w:jc w:val="center"/>
                    <w:rPr>
                      <w:rFonts w:ascii="Times New Roman" w:hAnsi="Times New Roman" w:eastAsia="宋体"/>
                      <w:sz w:val="21"/>
                      <w:szCs w:val="21"/>
                      <w:lang w:bidi="en-US"/>
                    </w:rPr>
                  </w:pPr>
                  <w:r>
                    <w:rPr>
                      <w:rFonts w:ascii="Times New Roman" w:hAnsi="Times New Roman" w:eastAsia="宋体"/>
                      <w:sz w:val="21"/>
                      <w:szCs w:val="21"/>
                      <w:lang w:bidi="en-US"/>
                    </w:rPr>
                    <w:t>园区内化工等行业及涉锅炉大气污染物排放应满足《湖南省生态环境厅关于执行污染物特别排放限值(第一批)的公告》中的要求</w:t>
                  </w:r>
                </w:p>
              </w:tc>
              <w:tc>
                <w:tcPr>
                  <w:tcW w:w="2166" w:type="pct"/>
                  <w:vAlign w:val="center"/>
                </w:tcPr>
                <w:p>
                  <w:pPr>
                    <w:spacing w:line="240" w:lineRule="auto"/>
                    <w:ind w:firstLine="0" w:firstLineChars="0"/>
                    <w:jc w:val="center"/>
                    <w:rPr>
                      <w:rFonts w:hint="default" w:ascii="Times New Roman" w:hAnsi="Times New Roman" w:eastAsia="宋体"/>
                      <w:sz w:val="21"/>
                      <w:szCs w:val="21"/>
                      <w:lang w:val="en-US" w:eastAsia="zh-CN" w:bidi="en-US"/>
                    </w:rPr>
                  </w:pPr>
                  <w:r>
                    <w:rPr>
                      <w:rFonts w:hint="eastAsia" w:ascii="Times New Roman" w:hAnsi="Times New Roman" w:eastAsia="宋体"/>
                      <w:sz w:val="21"/>
                      <w:szCs w:val="21"/>
                      <w:lang w:val="en-US" w:eastAsia="zh-CN" w:bidi="en-US"/>
                    </w:rPr>
                    <w:t>本项目不涉及锅炉</w:t>
                  </w:r>
                  <w:r>
                    <w:rPr>
                      <w:rFonts w:hint="eastAsia"/>
                      <w:sz w:val="21"/>
                      <w:szCs w:val="21"/>
                      <w:lang w:val="en-US" w:eastAsia="zh-CN" w:bidi="en-US"/>
                    </w:rPr>
                    <w:t>；本项目为化工企业配套的供水工程，仅有少量</w:t>
                  </w:r>
                  <w:r>
                    <w:rPr>
                      <w:rFonts w:hint="eastAsia"/>
                      <w:color w:val="auto"/>
                      <w:sz w:val="21"/>
                      <w:szCs w:val="24"/>
                      <w:u w:val="none"/>
                      <w:lang w:val="en-US" w:eastAsia="zh-CN"/>
                    </w:rPr>
                    <w:t>挥发性</w:t>
                  </w:r>
                  <w:r>
                    <w:rPr>
                      <w:rFonts w:hint="eastAsia"/>
                      <w:sz w:val="21"/>
                      <w:szCs w:val="21"/>
                      <w:lang w:val="en-US" w:eastAsia="zh-CN" w:bidi="en-US"/>
                    </w:rPr>
                    <w:t>废气产生后无组织排放</w:t>
                  </w:r>
                </w:p>
              </w:tc>
              <w:tc>
                <w:tcPr>
                  <w:tcW w:w="277" w:type="pct"/>
                  <w:vMerge w:val="continue"/>
                  <w:vAlign w:val="center"/>
                </w:tcPr>
                <w:p>
                  <w:pPr>
                    <w:spacing w:line="240" w:lineRule="auto"/>
                    <w:ind w:firstLine="0" w:firstLineChars="0"/>
                    <w:jc w:val="center"/>
                    <w:rPr>
                      <w:rFonts w:ascii="Times New Roman" w:hAnsi="Times New Roman" w:eastAsia="宋体"/>
                      <w:sz w:val="21"/>
                      <w:szCs w:val="21"/>
                      <w:lang w:bidi="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356" w:type="pct"/>
                  <w:vMerge w:val="continue"/>
                  <w:vAlign w:val="center"/>
                </w:tcPr>
                <w:p>
                  <w:pPr>
                    <w:spacing w:line="240" w:lineRule="auto"/>
                    <w:ind w:firstLine="0" w:firstLineChars="0"/>
                    <w:jc w:val="center"/>
                    <w:rPr>
                      <w:rFonts w:ascii="Times New Roman" w:hAnsi="Times New Roman" w:eastAsia="宋体"/>
                      <w:sz w:val="21"/>
                      <w:szCs w:val="21"/>
                      <w:lang w:bidi="en-US"/>
                    </w:rPr>
                  </w:pPr>
                </w:p>
              </w:tc>
              <w:tc>
                <w:tcPr>
                  <w:tcW w:w="2199" w:type="pct"/>
                  <w:vAlign w:val="center"/>
                </w:tcPr>
                <w:p>
                  <w:pPr>
                    <w:spacing w:line="240" w:lineRule="auto"/>
                    <w:ind w:firstLine="0" w:firstLineChars="0"/>
                    <w:jc w:val="center"/>
                    <w:rPr>
                      <w:rFonts w:ascii="Times New Roman" w:hAnsi="Times New Roman" w:eastAsia="宋体"/>
                      <w:sz w:val="21"/>
                      <w:szCs w:val="21"/>
                      <w:lang w:bidi="en-US"/>
                    </w:rPr>
                  </w:pPr>
                  <w:r>
                    <w:rPr>
                      <w:rFonts w:ascii="Times New Roman" w:hAnsi="Times New Roman" w:eastAsia="宋体"/>
                      <w:sz w:val="21"/>
                      <w:szCs w:val="21"/>
                      <w:lang w:bidi="en-US"/>
                    </w:rPr>
                    <w:t>做好工业固体废物和生活垃圾的分类收集、转运、综合利用和无害化处理，对工业企业产生固体废物特别是危险固废应按国家有关规定综合利用或妥善处置，严防二次污染</w:t>
                  </w:r>
                </w:p>
              </w:tc>
              <w:tc>
                <w:tcPr>
                  <w:tcW w:w="2166" w:type="pct"/>
                  <w:vAlign w:val="center"/>
                </w:tcPr>
                <w:p>
                  <w:pPr>
                    <w:spacing w:line="240" w:lineRule="auto"/>
                    <w:ind w:firstLine="0" w:firstLineChars="0"/>
                    <w:jc w:val="center"/>
                    <w:rPr>
                      <w:rFonts w:hint="eastAsia" w:ascii="Times New Roman" w:hAnsi="Times New Roman" w:eastAsia="宋体"/>
                      <w:sz w:val="21"/>
                      <w:szCs w:val="21"/>
                      <w:lang w:val="en-US" w:eastAsia="zh-CN" w:bidi="en-US"/>
                    </w:rPr>
                  </w:pPr>
                  <w:r>
                    <w:rPr>
                      <w:rFonts w:hint="eastAsia" w:ascii="Times New Roman" w:hAnsi="Times New Roman" w:eastAsia="宋体"/>
                      <w:sz w:val="21"/>
                      <w:szCs w:val="21"/>
                      <w:lang w:bidi="en-US"/>
                    </w:rPr>
                    <w:t>本项目运营期产生的工业固废暂存间分类暂存后，</w:t>
                  </w:r>
                  <w:r>
                    <w:rPr>
                      <w:rFonts w:hint="eastAsia" w:ascii="Times New Roman" w:hAnsi="Times New Roman" w:eastAsia="宋体"/>
                      <w:color w:val="auto"/>
                      <w:sz w:val="21"/>
                      <w:szCs w:val="21"/>
                      <w:lang w:bidi="en-US"/>
                    </w:rPr>
                    <w:t>外售进行综合利用或外委处置</w:t>
                  </w:r>
                  <w:r>
                    <w:rPr>
                      <w:rFonts w:hint="eastAsia" w:ascii="Times New Roman" w:hAnsi="Times New Roman" w:eastAsia="宋体"/>
                      <w:sz w:val="21"/>
                      <w:szCs w:val="21"/>
                      <w:lang w:bidi="en-US"/>
                    </w:rPr>
                    <w:t>，固废处置率100</w:t>
                  </w:r>
                  <w:r>
                    <w:rPr>
                      <w:rFonts w:hint="eastAsia"/>
                      <w:sz w:val="21"/>
                      <w:szCs w:val="21"/>
                      <w:lang w:val="en-US" w:eastAsia="zh-CN" w:bidi="en-US"/>
                    </w:rPr>
                    <w:t>%</w:t>
                  </w:r>
                </w:p>
              </w:tc>
              <w:tc>
                <w:tcPr>
                  <w:tcW w:w="277" w:type="pct"/>
                  <w:vMerge w:val="continue"/>
                  <w:vAlign w:val="center"/>
                </w:tcPr>
                <w:p>
                  <w:pPr>
                    <w:spacing w:line="240" w:lineRule="auto"/>
                    <w:ind w:firstLine="0" w:firstLineChars="0"/>
                    <w:jc w:val="center"/>
                    <w:rPr>
                      <w:rFonts w:ascii="Times New Roman" w:hAnsi="Times New Roman" w:eastAsia="宋体"/>
                      <w:sz w:val="21"/>
                      <w:szCs w:val="21"/>
                      <w:lang w:bidi="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4" w:hRule="atLeast"/>
                <w:jc w:val="center"/>
              </w:trPr>
              <w:tc>
                <w:tcPr>
                  <w:tcW w:w="356" w:type="pct"/>
                  <w:vAlign w:val="center"/>
                </w:tcPr>
                <w:p>
                  <w:pPr>
                    <w:spacing w:line="240" w:lineRule="auto"/>
                    <w:ind w:firstLine="0" w:firstLineChars="0"/>
                    <w:jc w:val="center"/>
                    <w:rPr>
                      <w:rFonts w:ascii="Times New Roman" w:hAnsi="Times New Roman" w:eastAsia="宋体"/>
                      <w:sz w:val="21"/>
                      <w:szCs w:val="21"/>
                      <w:lang w:bidi="en-US"/>
                    </w:rPr>
                  </w:pPr>
                  <w:r>
                    <w:rPr>
                      <w:rFonts w:ascii="Times New Roman" w:hAnsi="Times New Roman" w:eastAsia="宋体"/>
                      <w:sz w:val="21"/>
                      <w:szCs w:val="21"/>
                      <w:lang w:bidi="en-US"/>
                    </w:rPr>
                    <w:t>环境风险防控</w:t>
                  </w:r>
                </w:p>
              </w:tc>
              <w:tc>
                <w:tcPr>
                  <w:tcW w:w="2199" w:type="pct"/>
                  <w:vAlign w:val="center"/>
                </w:tcPr>
                <w:p>
                  <w:pPr>
                    <w:spacing w:line="240" w:lineRule="auto"/>
                    <w:ind w:firstLine="0" w:firstLineChars="0"/>
                    <w:jc w:val="center"/>
                    <w:rPr>
                      <w:rFonts w:ascii="Times New Roman" w:hAnsi="Times New Roman" w:eastAsia="宋体"/>
                      <w:sz w:val="21"/>
                      <w:szCs w:val="21"/>
                      <w:lang w:bidi="en-US"/>
                    </w:rPr>
                  </w:pPr>
                  <w:r>
                    <w:rPr>
                      <w:rFonts w:ascii="Times New Roman" w:hAnsi="Times New Roman" w:eastAsia="宋体"/>
                      <w:sz w:val="21"/>
                      <w:szCs w:val="21"/>
                      <w:lang w:bidi="en-US"/>
                    </w:rPr>
                    <w:t>（1）园区可能发生突发环境事件的污染物排放企业，生产、储存、运输、使用危险化学品的企业，产生、收集、贮存、运输、利用、处置危险废物的企业等应当编制和实施环境应急预案；鼓励其他企业制定单独的环境应急预案，或在突发事件应急预案中制定环境应急预案专章，并备案；（2）园区应推进有毒有害气体预警预报体系建设，提高风险防控能力</w:t>
                  </w:r>
                </w:p>
              </w:tc>
              <w:tc>
                <w:tcPr>
                  <w:tcW w:w="2166" w:type="pct"/>
                  <w:vAlign w:val="center"/>
                </w:tcPr>
                <w:p>
                  <w:pPr>
                    <w:spacing w:line="240" w:lineRule="auto"/>
                    <w:ind w:firstLine="0" w:firstLineChars="0"/>
                    <w:jc w:val="center"/>
                    <w:rPr>
                      <w:rFonts w:hint="eastAsia" w:ascii="Times New Roman" w:hAnsi="Times New Roman" w:eastAsia="宋体"/>
                      <w:sz w:val="21"/>
                      <w:szCs w:val="21"/>
                      <w:lang w:eastAsia="zh-CN" w:bidi="en-US"/>
                    </w:rPr>
                  </w:pPr>
                  <w:r>
                    <w:rPr>
                      <w:rFonts w:hint="eastAsia" w:ascii="Times New Roman" w:hAnsi="Times New Roman" w:eastAsia="宋体"/>
                      <w:sz w:val="21"/>
                      <w:szCs w:val="21"/>
                      <w:lang w:bidi="en-US"/>
                    </w:rPr>
                    <w:t>（1）</w:t>
                  </w:r>
                  <w:r>
                    <w:rPr>
                      <w:rFonts w:hint="eastAsia" w:ascii="Times New Roman" w:hAnsi="Times New Roman" w:eastAsia="宋体"/>
                      <w:sz w:val="21"/>
                      <w:szCs w:val="21"/>
                      <w:lang w:val="en-US" w:eastAsia="zh-CN" w:bidi="en-US"/>
                    </w:rPr>
                    <w:t>恒光科技股份有限公司</w:t>
                  </w:r>
                  <w:r>
                    <w:rPr>
                      <w:rFonts w:hint="eastAsia"/>
                      <w:color w:val="000000"/>
                      <w:sz w:val="21"/>
                      <w:szCs w:val="21"/>
                      <w:u w:val="none"/>
                      <w:lang w:val="en-US" w:eastAsia="zh-CN"/>
                    </w:rPr>
                    <w:t>已完成应急预案编制；</w:t>
                  </w:r>
                  <w:r>
                    <w:rPr>
                      <w:rFonts w:hint="eastAsia" w:ascii="Times New Roman" w:hAnsi="Times New Roman" w:eastAsia="宋体"/>
                      <w:sz w:val="21"/>
                      <w:szCs w:val="21"/>
                      <w:lang w:bidi="en-US"/>
                    </w:rPr>
                    <w:t>（2）厂区</w:t>
                  </w:r>
                  <w:r>
                    <w:rPr>
                      <w:rFonts w:hint="eastAsia" w:ascii="Times New Roman" w:hAnsi="Times New Roman" w:eastAsia="宋体"/>
                      <w:sz w:val="21"/>
                      <w:szCs w:val="21"/>
                      <w:lang w:val="en-US" w:eastAsia="zh-CN" w:bidi="en-US"/>
                    </w:rPr>
                    <w:t>已</w:t>
                  </w:r>
                  <w:r>
                    <w:rPr>
                      <w:rFonts w:hint="eastAsia" w:ascii="Times New Roman" w:hAnsi="Times New Roman" w:eastAsia="宋体"/>
                      <w:sz w:val="21"/>
                      <w:szCs w:val="21"/>
                      <w:lang w:bidi="en-US"/>
                    </w:rPr>
                    <w:t>设置氯气等有毒有害气体报警装置</w:t>
                  </w:r>
                </w:p>
              </w:tc>
              <w:tc>
                <w:tcPr>
                  <w:tcW w:w="277" w:type="pct"/>
                  <w:vAlign w:val="center"/>
                </w:tcPr>
                <w:p>
                  <w:pPr>
                    <w:spacing w:line="240" w:lineRule="auto"/>
                    <w:ind w:firstLine="0" w:firstLineChars="0"/>
                    <w:jc w:val="center"/>
                    <w:rPr>
                      <w:rFonts w:ascii="Times New Roman" w:hAnsi="Times New Roman" w:eastAsia="宋体"/>
                      <w:sz w:val="21"/>
                      <w:szCs w:val="21"/>
                      <w:lang w:bidi="en-US"/>
                    </w:rPr>
                  </w:pPr>
                  <w:r>
                    <w:rPr>
                      <w:rFonts w:ascii="Times New Roman" w:hAnsi="Times New Roman" w:eastAsia="宋体"/>
                      <w:sz w:val="21"/>
                      <w:szCs w:val="21"/>
                      <w:lang w:bidi="en-US"/>
                    </w:rPr>
                    <w:t>符合</w:t>
                  </w:r>
                </w:p>
              </w:tc>
            </w:tr>
          </w:tbl>
          <w:p>
            <w:pPr>
              <w:pStyle w:val="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color w:val="000000"/>
                <w:sz w:val="24"/>
                <w:szCs w:val="24"/>
                <w:u w:val="none"/>
                <w:lang w:val="en-US" w:eastAsia="zh-CN"/>
              </w:rPr>
            </w:pPr>
            <w:r>
              <w:rPr>
                <w:rFonts w:hint="default"/>
                <w:color w:val="000000"/>
                <w:sz w:val="24"/>
                <w:szCs w:val="24"/>
                <w:u w:val="none"/>
                <w:lang w:val="en-US" w:eastAsia="zh-CN"/>
              </w:rPr>
              <w:t>综上所述，本项目符合《</w:t>
            </w:r>
            <w:r>
              <w:rPr>
                <w:rFonts w:hint="default" w:ascii="Times New Roman" w:hAnsi="Times New Roman" w:eastAsia="宋体" w:cs="Times New Roman"/>
                <w:color w:val="000000"/>
                <w:sz w:val="24"/>
                <w:szCs w:val="24"/>
                <w:u w:val="none"/>
                <w:lang w:val="en-US" w:eastAsia="zh-CN"/>
              </w:rPr>
              <w:t>湖南省“三线一单”生态环境总体管控要求暨省级以上产业园区生态环境准入清单</w:t>
            </w:r>
            <w:r>
              <w:rPr>
                <w:rFonts w:hint="default"/>
                <w:color w:val="000000"/>
                <w:sz w:val="24"/>
                <w:szCs w:val="24"/>
                <w:u w:val="none"/>
                <w:lang w:val="en-US" w:eastAsia="zh-CN"/>
              </w:rPr>
              <w:t>》（</w:t>
            </w:r>
            <w:r>
              <w:rPr>
                <w:rFonts w:hint="default" w:ascii="Times New Roman" w:hAnsi="Times New Roman" w:eastAsia="宋体" w:cs="Times New Roman"/>
                <w:color w:val="000000"/>
                <w:sz w:val="24"/>
                <w:szCs w:val="24"/>
                <w:u w:val="none"/>
                <w:lang w:val="en-US" w:eastAsia="zh-CN"/>
              </w:rPr>
              <w:t>湘环函〔2020〕142号</w:t>
            </w:r>
            <w:r>
              <w:rPr>
                <w:rFonts w:hint="default"/>
                <w:color w:val="000000"/>
                <w:sz w:val="24"/>
                <w:szCs w:val="24"/>
                <w:u w:val="none"/>
                <w:lang w:val="en-US" w:eastAsia="zh-CN"/>
              </w:rPr>
              <w:t>）中关于</w:t>
            </w:r>
            <w:r>
              <w:rPr>
                <w:sz w:val="24"/>
                <w:szCs w:val="24"/>
              </w:rPr>
              <w:t>湖南</w:t>
            </w:r>
            <w:r>
              <w:rPr>
                <w:rFonts w:hint="eastAsia"/>
                <w:sz w:val="24"/>
                <w:szCs w:val="24"/>
              </w:rPr>
              <w:t>洪江高新技术产业开发区（洪江区）</w:t>
            </w:r>
            <w:r>
              <w:rPr>
                <w:rFonts w:hint="default"/>
                <w:color w:val="000000"/>
                <w:sz w:val="24"/>
                <w:szCs w:val="24"/>
                <w:u w:val="none"/>
                <w:lang w:val="en-US" w:eastAsia="zh-CN"/>
              </w:rPr>
              <w:t>的生态管控要求。</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u w:val="single"/>
              </w:rPr>
            </w:pPr>
            <w:r>
              <w:rPr>
                <w:rFonts w:hint="default"/>
                <w:color w:val="000000"/>
                <w:sz w:val="24"/>
                <w:szCs w:val="24"/>
                <w:u w:val="single"/>
                <w:lang w:val="en-US" w:eastAsia="zh-CN"/>
              </w:rPr>
              <w:t>3</w:t>
            </w:r>
            <w:r>
              <w:rPr>
                <w:rFonts w:hint="eastAsia"/>
                <w:color w:val="000000"/>
                <w:sz w:val="24"/>
                <w:szCs w:val="24"/>
                <w:u w:val="single"/>
                <w:lang w:val="en-US" w:eastAsia="zh-CN"/>
              </w:rPr>
              <w:t>.4</w:t>
            </w:r>
            <w:r>
              <w:rPr>
                <w:rFonts w:hint="default"/>
                <w:color w:val="000000"/>
                <w:sz w:val="24"/>
                <w:szCs w:val="24"/>
                <w:u w:val="single"/>
                <w:lang w:val="en-US" w:eastAsia="zh-CN"/>
              </w:rPr>
              <w:t>与《</w:t>
            </w:r>
            <w:r>
              <w:rPr>
                <w:rFonts w:hint="eastAsia"/>
                <w:color w:val="000000"/>
                <w:sz w:val="24"/>
                <w:szCs w:val="24"/>
                <w:u w:val="single"/>
                <w:lang w:val="en-US" w:eastAsia="zh-CN"/>
              </w:rPr>
              <w:t>怀化市“十四五”生态环境保护规划</w:t>
            </w:r>
            <w:r>
              <w:rPr>
                <w:rFonts w:hint="default"/>
                <w:color w:val="000000"/>
                <w:sz w:val="24"/>
                <w:szCs w:val="24"/>
                <w:u w:val="single"/>
                <w:lang w:val="en-US" w:eastAsia="zh-CN"/>
              </w:rPr>
              <w:t>》的符合性分析</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85"/>
              <w:gridCol w:w="2574"/>
              <w:gridCol w:w="8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5"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u w:val="single"/>
                      <w:lang w:eastAsia="zh-CN"/>
                    </w:rPr>
                  </w:pPr>
                  <w:r>
                    <w:rPr>
                      <w:rFonts w:hint="default"/>
                      <w:sz w:val="21"/>
                      <w:szCs w:val="21"/>
                      <w:u w:val="single"/>
                      <w:lang w:eastAsia="zh-CN"/>
                    </w:rPr>
                    <w:t>要求</w:t>
                  </w:r>
                </w:p>
              </w:tc>
              <w:tc>
                <w:tcPr>
                  <w:tcW w:w="2574"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u w:val="single"/>
                      <w:lang w:eastAsia="zh-CN"/>
                    </w:rPr>
                  </w:pPr>
                  <w:r>
                    <w:rPr>
                      <w:rFonts w:hint="default"/>
                      <w:sz w:val="21"/>
                      <w:szCs w:val="21"/>
                      <w:u w:val="single"/>
                      <w:lang w:eastAsia="zh-CN"/>
                    </w:rPr>
                    <w:t>本项目情况</w:t>
                  </w:r>
                </w:p>
              </w:tc>
              <w:tc>
                <w:tcPr>
                  <w:tcW w:w="803"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u w:val="single"/>
                      <w:lang w:eastAsia="zh-CN"/>
                    </w:rPr>
                  </w:pPr>
                  <w:r>
                    <w:rPr>
                      <w:rFonts w:hint="default"/>
                      <w:sz w:val="21"/>
                      <w:szCs w:val="21"/>
                      <w:u w:val="single"/>
                      <w:lang w:eastAsia="zh-CN"/>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5"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u w:val="single"/>
                      <w:lang w:eastAsia="zh-CN"/>
                    </w:rPr>
                  </w:pPr>
                  <w:r>
                    <w:rPr>
                      <w:rFonts w:hint="default"/>
                      <w:sz w:val="21"/>
                      <w:szCs w:val="21"/>
                      <w:u w:val="single"/>
                      <w:lang w:eastAsia="zh-CN"/>
                    </w:rPr>
                    <w:t>实施沅江流域怀化段化工企业整治。开展沿江化工企业搬迁改造和沿江化工污染整治专项行动，严格执行《湖南省沿江化工企业搬迁改造实施方案》，推进距离沅江干流岸线1km范围内不准新建、扩建化工园区和化工项目要求，依法淘汰取缔违法违规工业园区，严禁洪江区工业集中区等现有合规化工园区在沿江岸线1公里范围内靠江扩建，安全环保达标的化工生产企业因生产需要可向背江一面逐步搬迁。到2025年，完成沿江化工企业搬迁改造任务。配合开展长江流域“三磷”专项排查整治行动。</w:t>
                  </w:r>
                </w:p>
              </w:tc>
              <w:tc>
                <w:tcPr>
                  <w:tcW w:w="2574"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jc w:val="both"/>
                    <w:textAlignment w:val="auto"/>
                    <w:rPr>
                      <w:rFonts w:hint="default"/>
                      <w:sz w:val="21"/>
                      <w:szCs w:val="21"/>
                      <w:u w:val="single"/>
                      <w:lang w:val="en-US" w:eastAsia="zh-CN"/>
                    </w:rPr>
                  </w:pPr>
                  <w:r>
                    <w:rPr>
                      <w:rFonts w:hint="default"/>
                      <w:sz w:val="21"/>
                      <w:szCs w:val="21"/>
                      <w:u w:val="single"/>
                      <w:lang w:eastAsia="zh-CN"/>
                    </w:rPr>
                    <w:t>本项目</w:t>
                  </w:r>
                  <w:r>
                    <w:rPr>
                      <w:rFonts w:hint="eastAsia"/>
                      <w:sz w:val="21"/>
                      <w:szCs w:val="21"/>
                      <w:u w:val="single"/>
                      <w:lang w:val="en-US" w:eastAsia="zh-CN"/>
                    </w:rPr>
                    <w:t>为供水系统升级改造项目，不属于化工项目</w:t>
                  </w:r>
                </w:p>
              </w:tc>
              <w:tc>
                <w:tcPr>
                  <w:tcW w:w="803"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u w:val="single"/>
                      <w:lang w:eastAsia="zh-CN"/>
                    </w:rPr>
                  </w:pPr>
                  <w:r>
                    <w:rPr>
                      <w:rFonts w:hint="default"/>
                      <w:sz w:val="21"/>
                      <w:szCs w:val="21"/>
                      <w:u w:val="single"/>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5"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u w:val="single"/>
                      <w:lang w:eastAsia="zh-CN"/>
                    </w:rPr>
                  </w:pPr>
                  <w:r>
                    <w:rPr>
                      <w:rFonts w:hint="default"/>
                      <w:sz w:val="21"/>
                      <w:szCs w:val="21"/>
                      <w:u w:val="single"/>
                      <w:lang w:eastAsia="zh-CN"/>
                    </w:rPr>
                    <w:t>实施能源消费总量和能源消费强度双控行动，严格控制化石能源消费总量。到2025年，全市非化石能源占一次能源消费比例达到省级要求。推行清洁能源替代，全面落实工业炉窑综合治理任务，有序推进全市水泥行业深度治理</w:t>
                  </w:r>
                </w:p>
              </w:tc>
              <w:tc>
                <w:tcPr>
                  <w:tcW w:w="2574"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u w:val="single"/>
                      <w:lang w:val="en-US" w:eastAsia="zh-CN"/>
                    </w:rPr>
                  </w:pPr>
                  <w:r>
                    <w:rPr>
                      <w:rFonts w:hint="default"/>
                      <w:sz w:val="21"/>
                      <w:szCs w:val="21"/>
                      <w:u w:val="single"/>
                      <w:lang w:eastAsia="zh-CN"/>
                    </w:rPr>
                    <w:t>本项目</w:t>
                  </w:r>
                  <w:r>
                    <w:rPr>
                      <w:rFonts w:hint="eastAsia"/>
                      <w:sz w:val="21"/>
                      <w:szCs w:val="21"/>
                      <w:u w:val="single"/>
                      <w:lang w:val="en-US" w:eastAsia="zh-CN"/>
                    </w:rPr>
                    <w:t>为供水系统升级改造项目，使用的能源为电能</w:t>
                  </w:r>
                </w:p>
              </w:tc>
              <w:tc>
                <w:tcPr>
                  <w:tcW w:w="803"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u w:val="single"/>
                      <w:lang w:eastAsia="zh-CN"/>
                    </w:rPr>
                  </w:pPr>
                  <w:r>
                    <w:rPr>
                      <w:rFonts w:hint="default"/>
                      <w:sz w:val="21"/>
                      <w:szCs w:val="21"/>
                      <w:u w:val="single"/>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5"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u w:val="single"/>
                      <w:lang w:eastAsia="zh-CN"/>
                    </w:rPr>
                  </w:pPr>
                  <w:r>
                    <w:rPr>
                      <w:rFonts w:hint="default"/>
                      <w:sz w:val="21"/>
                      <w:szCs w:val="21"/>
                      <w:u w:val="single"/>
                      <w:lang w:eastAsia="zh-CN"/>
                    </w:rPr>
                    <w:t>建立和完善建筑垃圾源头减量工作机制，加强建筑垃圾源头管控和施工过程资源化利用。</w:t>
                  </w:r>
                </w:p>
              </w:tc>
              <w:tc>
                <w:tcPr>
                  <w:tcW w:w="2574"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u w:val="single"/>
                      <w:lang w:val="en-US" w:eastAsia="zh-CN"/>
                    </w:rPr>
                  </w:pPr>
                  <w:r>
                    <w:rPr>
                      <w:rFonts w:hint="default"/>
                      <w:sz w:val="21"/>
                      <w:szCs w:val="21"/>
                      <w:u w:val="single"/>
                      <w:lang w:eastAsia="zh-CN"/>
                    </w:rPr>
                    <w:t>本项目</w:t>
                  </w:r>
                  <w:r>
                    <w:rPr>
                      <w:rFonts w:hint="eastAsia" w:ascii="Times New Roman" w:hAnsi="Times New Roman" w:eastAsia="宋体"/>
                      <w:sz w:val="21"/>
                      <w:szCs w:val="21"/>
                      <w:u w:val="single"/>
                      <w:lang w:bidi="en-US"/>
                    </w:rPr>
                    <w:t>运营期</w:t>
                  </w:r>
                  <w:r>
                    <w:rPr>
                      <w:rFonts w:hint="eastAsia" w:ascii="Times New Roman" w:hAnsi="Times New Roman" w:eastAsia="宋体"/>
                      <w:sz w:val="21"/>
                      <w:szCs w:val="21"/>
                      <w:u w:val="single"/>
                      <w:lang w:val="en-US" w:eastAsia="zh-CN" w:bidi="en-US"/>
                    </w:rPr>
                    <w:t>不新增生活垃圾，</w:t>
                  </w:r>
                  <w:r>
                    <w:rPr>
                      <w:rFonts w:hint="eastAsia" w:ascii="Times New Roman" w:hAnsi="Times New Roman" w:eastAsia="宋体"/>
                      <w:sz w:val="21"/>
                      <w:szCs w:val="21"/>
                      <w:u w:val="single"/>
                      <w:lang w:bidi="en-US"/>
                    </w:rPr>
                    <w:t>产生的工业固废暂存间分类暂存后，</w:t>
                  </w:r>
                  <w:r>
                    <w:rPr>
                      <w:rFonts w:hint="eastAsia" w:ascii="Times New Roman" w:hAnsi="Times New Roman" w:eastAsia="宋体"/>
                      <w:color w:val="auto"/>
                      <w:sz w:val="21"/>
                      <w:szCs w:val="21"/>
                      <w:u w:val="single"/>
                      <w:lang w:bidi="en-US"/>
                    </w:rPr>
                    <w:t>外售进行综合利用或外委处置</w:t>
                  </w:r>
                  <w:r>
                    <w:rPr>
                      <w:rFonts w:hint="eastAsia" w:ascii="Times New Roman" w:hAnsi="Times New Roman" w:eastAsia="宋体"/>
                      <w:sz w:val="21"/>
                      <w:szCs w:val="21"/>
                      <w:u w:val="single"/>
                      <w:lang w:bidi="en-US"/>
                    </w:rPr>
                    <w:t>，固废处置率100</w:t>
                  </w:r>
                  <w:r>
                    <w:rPr>
                      <w:rFonts w:hint="eastAsia"/>
                      <w:sz w:val="21"/>
                      <w:szCs w:val="21"/>
                      <w:u w:val="single"/>
                      <w:lang w:val="en-US" w:eastAsia="zh-CN" w:bidi="en-US"/>
                    </w:rPr>
                    <w:t>%</w:t>
                  </w:r>
                </w:p>
              </w:tc>
              <w:tc>
                <w:tcPr>
                  <w:tcW w:w="803"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u w:val="single"/>
                      <w:lang w:eastAsia="zh-CN"/>
                    </w:rPr>
                  </w:pPr>
                  <w:r>
                    <w:rPr>
                      <w:rFonts w:hint="default"/>
                      <w:sz w:val="21"/>
                      <w:szCs w:val="21"/>
                      <w:u w:val="single"/>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5"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u w:val="single"/>
                      <w:lang w:eastAsia="zh-CN"/>
                    </w:rPr>
                  </w:pPr>
                  <w:r>
                    <w:rPr>
                      <w:rFonts w:hint="default"/>
                      <w:sz w:val="21"/>
                      <w:szCs w:val="21"/>
                      <w:u w:val="single"/>
                      <w:lang w:eastAsia="zh-CN"/>
                    </w:rPr>
                    <w:t>落实上级碳排放任务，实施二氧化碳排放强度和总量“双控”。协同推进温室气体与主要大气污染物排放控制，强化节能环保约束，推动绿色低碳技术创新和清洁能源、低碳交通、绿色建筑发展，在大力削减主要大气污染物的同时，协同推进温室气体进一步减排，推进减污降碳协同增效</w:t>
                  </w:r>
                </w:p>
              </w:tc>
              <w:tc>
                <w:tcPr>
                  <w:tcW w:w="2574"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u w:val="single"/>
                      <w:lang w:val="en-US" w:eastAsia="zh-CN"/>
                    </w:rPr>
                  </w:pPr>
                  <w:r>
                    <w:rPr>
                      <w:rFonts w:hint="default"/>
                      <w:sz w:val="21"/>
                      <w:szCs w:val="21"/>
                      <w:u w:val="single"/>
                      <w:lang w:eastAsia="zh-CN"/>
                    </w:rPr>
                    <w:t>本项目</w:t>
                  </w:r>
                  <w:r>
                    <w:rPr>
                      <w:rFonts w:hint="eastAsia"/>
                      <w:sz w:val="21"/>
                      <w:szCs w:val="21"/>
                      <w:u w:val="single"/>
                      <w:lang w:val="en-US" w:eastAsia="zh-CN"/>
                    </w:rPr>
                    <w:t>使用的能源为电能，不涉及二氧化碳的排放</w:t>
                  </w:r>
                </w:p>
              </w:tc>
              <w:tc>
                <w:tcPr>
                  <w:tcW w:w="803"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u w:val="single"/>
                      <w:lang w:eastAsia="zh-CN"/>
                    </w:rPr>
                  </w:pPr>
                  <w:r>
                    <w:rPr>
                      <w:rFonts w:hint="default"/>
                      <w:sz w:val="21"/>
                      <w:szCs w:val="21"/>
                      <w:u w:val="single"/>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5"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u w:val="single"/>
                      <w:lang w:eastAsia="zh-CN"/>
                    </w:rPr>
                  </w:pPr>
                  <w:r>
                    <w:rPr>
                      <w:rFonts w:hint="default"/>
                      <w:sz w:val="21"/>
                      <w:szCs w:val="21"/>
                      <w:u w:val="single"/>
                      <w:lang w:eastAsia="zh-CN"/>
                    </w:rPr>
                    <w:t>落实入河排污口排查整治。开展入河排污口监测、溯源分析，进一步做好沅江、濞水等入河排污口排查整治工作，分类整治入河排污口环境问题，优化排污口设置布局，明确禁止设置、限制设置区域范围，有效规范和管控入河排污口，建立入河排污口管理长效机制。</w:t>
                  </w:r>
                </w:p>
              </w:tc>
              <w:tc>
                <w:tcPr>
                  <w:tcW w:w="2574"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u w:val="single"/>
                      <w:lang w:val="en-US" w:eastAsia="zh-CN"/>
                    </w:rPr>
                  </w:pPr>
                  <w:r>
                    <w:rPr>
                      <w:rFonts w:hint="eastAsia" w:ascii="Times New Roman" w:hAnsi="Times New Roman" w:eastAsia="宋体"/>
                      <w:sz w:val="21"/>
                      <w:szCs w:val="21"/>
                      <w:highlight w:val="none"/>
                      <w:u w:val="single"/>
                      <w:lang w:bidi="en-US"/>
                    </w:rPr>
                    <w:t>本项目</w:t>
                  </w:r>
                  <w:r>
                    <w:rPr>
                      <w:rFonts w:hint="eastAsia"/>
                      <w:sz w:val="21"/>
                      <w:szCs w:val="21"/>
                      <w:highlight w:val="none"/>
                      <w:u w:val="single"/>
                      <w:lang w:val="en-US" w:eastAsia="zh-CN" w:bidi="en-US"/>
                    </w:rPr>
                    <w:t>不新增生活污水；</w:t>
                  </w:r>
                  <w:r>
                    <w:rPr>
                      <w:rFonts w:hint="eastAsia" w:ascii="Times New Roman" w:hAnsi="Times New Roman" w:eastAsia="宋体"/>
                      <w:sz w:val="21"/>
                      <w:szCs w:val="21"/>
                      <w:highlight w:val="none"/>
                      <w:u w:val="single"/>
                      <w:lang w:val="en-US" w:eastAsia="zh-CN" w:bidi="en-US"/>
                    </w:rPr>
                    <w:t>生产废水经</w:t>
                  </w:r>
                  <w:r>
                    <w:rPr>
                      <w:rFonts w:hint="eastAsia"/>
                      <w:sz w:val="21"/>
                      <w:szCs w:val="21"/>
                      <w:highlight w:val="none"/>
                      <w:u w:val="single"/>
                      <w:lang w:val="en-US" w:eastAsia="zh-CN" w:bidi="en-US"/>
                    </w:rPr>
                    <w:t>园区污水管网</w:t>
                  </w:r>
                  <w:r>
                    <w:rPr>
                      <w:rFonts w:hint="eastAsia" w:ascii="Times New Roman" w:hAnsi="Times New Roman" w:eastAsia="宋体"/>
                      <w:sz w:val="21"/>
                      <w:szCs w:val="21"/>
                      <w:highlight w:val="none"/>
                      <w:u w:val="single"/>
                      <w:lang w:bidi="en-US"/>
                    </w:rPr>
                    <w:t>排入洪江高新区污水处理厂处理；初期雨水收集后经厂区综合废水处理站处理后排入洪江高新区市政污水管网，进入洪江高新区污水处理厂处理</w:t>
                  </w:r>
                </w:p>
              </w:tc>
              <w:tc>
                <w:tcPr>
                  <w:tcW w:w="803"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u w:val="single"/>
                      <w:lang w:eastAsia="zh-CN"/>
                    </w:rPr>
                  </w:pPr>
                  <w:r>
                    <w:rPr>
                      <w:rFonts w:hint="default"/>
                      <w:sz w:val="21"/>
                      <w:szCs w:val="21"/>
                      <w:u w:val="single"/>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5"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u w:val="single"/>
                      <w:lang w:eastAsia="zh-CN"/>
                    </w:rPr>
                  </w:pPr>
                  <w:r>
                    <w:rPr>
                      <w:rFonts w:hint="default"/>
                      <w:sz w:val="21"/>
                      <w:szCs w:val="21"/>
                      <w:u w:val="single"/>
                      <w:lang w:eastAsia="zh-CN"/>
                    </w:rPr>
                    <w:t>严格涉重金属企业环境准入管理，在环境质量重金属超标等重点区域、新（改、扩）建涉重金属重点行业建设项目实施“等量替代”或“减量替代”。聚焦重有色金属采选冶炼、电镀等重点行业和重点区域，坚持严控增量、削减存量，持续推进镉、汞、砷、铅、铬等重点重金属污染防控。</w:t>
                  </w:r>
                </w:p>
              </w:tc>
              <w:tc>
                <w:tcPr>
                  <w:tcW w:w="2574"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eastAsia="宋体"/>
                      <w:sz w:val="21"/>
                      <w:szCs w:val="21"/>
                      <w:u w:val="single"/>
                      <w:lang w:val="en-US" w:eastAsia="zh-CN"/>
                    </w:rPr>
                  </w:pPr>
                  <w:r>
                    <w:rPr>
                      <w:rFonts w:hint="default"/>
                      <w:sz w:val="21"/>
                      <w:szCs w:val="21"/>
                      <w:u w:val="single"/>
                      <w:lang w:eastAsia="zh-CN"/>
                    </w:rPr>
                    <w:t>本项目</w:t>
                  </w:r>
                  <w:r>
                    <w:rPr>
                      <w:rFonts w:hint="eastAsia"/>
                      <w:sz w:val="21"/>
                      <w:szCs w:val="21"/>
                      <w:u w:val="single"/>
                      <w:lang w:val="en-US" w:eastAsia="zh-CN"/>
                    </w:rPr>
                    <w:t>为供水系统升级改造项目，不涉及重金属</w:t>
                  </w:r>
                </w:p>
              </w:tc>
              <w:tc>
                <w:tcPr>
                  <w:tcW w:w="803"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sz w:val="21"/>
                      <w:szCs w:val="21"/>
                      <w:u w:val="single"/>
                      <w:lang w:eastAsia="zh-CN"/>
                    </w:rPr>
                  </w:pPr>
                  <w:r>
                    <w:rPr>
                      <w:rFonts w:hint="default"/>
                      <w:sz w:val="21"/>
                      <w:szCs w:val="21"/>
                      <w:u w:val="single"/>
                      <w:lang w:eastAsia="zh-CN"/>
                    </w:rPr>
                    <w:t>符合</w:t>
                  </w:r>
                </w:p>
              </w:tc>
            </w:tr>
          </w:tbl>
          <w:p>
            <w:pPr>
              <w:pStyle w:val="2"/>
              <w:keepNext w:val="0"/>
              <w:keepLines w:val="0"/>
              <w:pageBreakBefore w:val="0"/>
              <w:widowControl/>
              <w:kinsoku/>
              <w:wordWrap/>
              <w:overflowPunct/>
              <w:topLinePunct w:val="0"/>
              <w:autoSpaceDE/>
              <w:autoSpaceDN/>
              <w:bidi w:val="0"/>
              <w:adjustRightInd/>
              <w:snapToGrid w:val="0"/>
              <w:spacing w:before="0" w:after="0" w:line="360" w:lineRule="auto"/>
              <w:ind w:right="0" w:firstLine="360" w:firstLineChars="200"/>
              <w:textAlignment w:val="auto"/>
              <w:rPr>
                <w:rFonts w:hint="default"/>
              </w:rPr>
            </w:pPr>
          </w:p>
        </w:tc>
      </w:tr>
    </w:tbl>
    <w:p>
      <w:pPr>
        <w:spacing w:line="360" w:lineRule="auto"/>
        <w:outlineLvl w:val="0"/>
        <w:rPr>
          <w:rFonts w:eastAsia="黑体"/>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18"/>
        <w:jc w:val="center"/>
        <w:outlineLvl w:val="0"/>
        <w:rPr>
          <w:rFonts w:ascii="黑体" w:hAnsi="黑体" w:eastAsia="黑体"/>
          <w:snapToGrid w:val="0"/>
          <w:sz w:val="30"/>
          <w:szCs w:val="30"/>
        </w:rPr>
      </w:pPr>
      <w:r>
        <w:rPr>
          <w:rFonts w:hint="eastAsia" w:ascii="黑体" w:hAnsi="黑体" w:eastAsia="黑体"/>
          <w:snapToGrid w:val="0"/>
          <w:sz w:val="30"/>
          <w:szCs w:val="30"/>
        </w:rPr>
        <w:t>二、建设项目工程分析</w:t>
      </w:r>
    </w:p>
    <w:tbl>
      <w:tblPr>
        <w:tblStyle w:val="22"/>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7"/>
        <w:gridCol w:w="83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737" w:type="dxa"/>
            <w:noWrap w:val="0"/>
            <w:vAlign w:val="center"/>
          </w:tcPr>
          <w:p>
            <w:pPr>
              <w:pStyle w:val="18"/>
              <w:adjustRightInd w:val="0"/>
              <w:snapToGrid w:val="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4"/>
                <w:szCs w:val="24"/>
              </w:rPr>
              <w:t>建设内容</w:t>
            </w:r>
          </w:p>
        </w:tc>
        <w:tc>
          <w:tcPr>
            <w:tcW w:w="8334" w:type="dxa"/>
            <w:noWrap w:val="0"/>
            <w:vAlign w:val="top"/>
          </w:tcPr>
          <w:p>
            <w:pPr>
              <w:pStyle w:val="36"/>
              <w:bidi w:val="0"/>
              <w:rPr>
                <w:rFonts w:hint="default" w:ascii="Times New Roman" w:hAnsi="Times New Roman" w:cs="Times New Roman"/>
                <w:b w:val="0"/>
                <w:bCs w:val="0"/>
              </w:rPr>
            </w:pPr>
            <w:r>
              <w:rPr>
                <w:rFonts w:hint="default" w:ascii="Times New Roman" w:hAnsi="Times New Roman" w:cs="Times New Roman"/>
                <w:b/>
                <w:bCs/>
              </w:rPr>
              <w:t>1</w:t>
            </w:r>
            <w:r>
              <w:rPr>
                <w:rFonts w:hint="default" w:ascii="Times New Roman" w:hAnsi="Times New Roman" w:cs="Times New Roman"/>
                <w:b/>
                <w:bCs/>
                <w:lang w:eastAsia="zh-CN"/>
              </w:rPr>
              <w:t>、</w:t>
            </w:r>
            <w:r>
              <w:rPr>
                <w:rFonts w:hint="default" w:ascii="Times New Roman" w:hAnsi="Times New Roman" w:cs="Times New Roman"/>
                <w:b/>
                <w:bCs/>
              </w:rPr>
              <w:t>项目由来</w:t>
            </w:r>
          </w:p>
          <w:p>
            <w:pPr>
              <w:pStyle w:val="36"/>
              <w:bidi w:val="0"/>
              <w:rPr>
                <w:rFonts w:hint="default" w:ascii="Times New Roman" w:hAnsi="Times New Roman" w:cs="Times New Roman"/>
                <w:b w:val="0"/>
                <w:bCs w:val="0"/>
              </w:rPr>
            </w:pPr>
            <w:r>
              <w:rPr>
                <w:rFonts w:hint="default" w:ascii="Times New Roman" w:hAnsi="Times New Roman" w:cs="Times New Roman"/>
                <w:b w:val="0"/>
                <w:bCs w:val="0"/>
              </w:rPr>
              <w:t>湖南恒光科技股份有限公司原名为湖南新恒光科技有限公司，由湖南洪江恒光化工有限公司、湖南省信托有限责任公司、湖南美雅资产管理有限公司、湘江产业投资有限责任公司等共同出资于2008年设立的有限责任公司，因股改需要，2011年6月底更为现用名“湖南恒光科技股份有限公司”。</w:t>
            </w:r>
          </w:p>
          <w:p>
            <w:pPr>
              <w:pStyle w:val="36"/>
              <w:bidi w:val="0"/>
              <w:rPr>
                <w:rFonts w:hint="default" w:ascii="Times New Roman" w:hAnsi="Times New Roman" w:cs="Times New Roman"/>
                <w:b w:val="0"/>
                <w:bCs w:val="0"/>
              </w:rPr>
            </w:pPr>
            <w:r>
              <w:rPr>
                <w:rFonts w:hint="default" w:ascii="Times New Roman" w:hAnsi="Times New Roman" w:cs="Times New Roman"/>
                <w:b w:val="0"/>
                <w:bCs w:val="0"/>
              </w:rPr>
              <w:t>湖南恒光科技股份有限公司地块位于湖南省怀化市洪江管理区桂花园乡岩门1号，企业总占地面积136081.3m</w:t>
            </w:r>
            <w:r>
              <w:rPr>
                <w:rFonts w:hint="default" w:ascii="Times New Roman" w:hAnsi="Times New Roman" w:cs="Times New Roman"/>
                <w:b w:val="0"/>
                <w:bCs w:val="0"/>
                <w:vertAlign w:val="superscript"/>
              </w:rPr>
              <w:t>2</w:t>
            </w:r>
            <w:r>
              <w:rPr>
                <w:rFonts w:hint="default" w:ascii="Times New Roman" w:hAnsi="Times New Roman" w:cs="Times New Roman"/>
                <w:b w:val="0"/>
                <w:bCs w:val="0"/>
              </w:rPr>
              <w:t>，该地块1970年前为荒地，1970年至2004年为洪江市化工厂生产期，主要产品有烧碱、盐酸、三氯化铁、漂白粉。2004年至今为湖南恒光科技股份有限公司生产期，公司拥有氯碱生产线、硫铁矿制酸生产线与氯酸钠生产线各一条；无水氯化铝和结晶氯化铝生产线各一条。公司主要产品、设计产能为年产10万吨烧碱、年产5万吨氯酸钠、年产8万吨硫酸、年产3万吨三氯化铝、年产1万吨三氯化磷，同时副产盐酸、液氯、氢气、铁精粉、蒸汽等。</w:t>
            </w:r>
          </w:p>
          <w:p>
            <w:pPr>
              <w:pStyle w:val="36"/>
              <w:bidi w:val="0"/>
              <w:rPr>
                <w:rFonts w:hint="default" w:ascii="Times New Roman" w:hAnsi="Times New Roman" w:cs="Times New Roman"/>
                <w:b w:val="0"/>
                <w:bCs w:val="0"/>
                <w:u w:val="single"/>
              </w:rPr>
            </w:pPr>
            <w:r>
              <w:rPr>
                <w:rFonts w:hint="default" w:ascii="Times New Roman" w:hAnsi="Times New Roman" w:cs="Times New Roman"/>
                <w:b w:val="0"/>
                <w:bCs w:val="0"/>
                <w:u w:val="single"/>
              </w:rPr>
              <w:t>湖南恒光科技股份有限公司（以下简称“建设单位”）</w:t>
            </w:r>
            <w:r>
              <w:rPr>
                <w:rFonts w:hint="eastAsia" w:cs="Times New Roman"/>
                <w:b w:val="0"/>
                <w:bCs w:val="0"/>
                <w:color w:val="FF0000"/>
                <w:u w:val="single"/>
                <w:lang w:eastAsia="zh-CN"/>
              </w:rPr>
              <w:t>现供水系统为硫酸项目配套设施，该项目已于2005年10月28日取得原湖南省环境保护局《关于湖南恒光化工有限公司新建年产12万吨硫酸项目环境影响报告书批复》（湘环评[2005]107号）”。</w:t>
            </w:r>
            <w:r>
              <w:rPr>
                <w:rFonts w:hint="eastAsia" w:cs="Times New Roman"/>
                <w:b w:val="0"/>
                <w:bCs w:val="0"/>
                <w:color w:val="FF0000"/>
                <w:u w:val="single"/>
                <w:lang w:val="en-US" w:eastAsia="zh-CN"/>
              </w:rPr>
              <w:t>项目取水水源为沅江水，于2018年11月取得取水证（见附件四）。</w:t>
            </w:r>
            <w:r>
              <w:rPr>
                <w:rFonts w:hint="eastAsia" w:cs="Times New Roman"/>
                <w:b w:val="0"/>
                <w:bCs w:val="0"/>
                <w:highlight w:val="none"/>
                <w:u w:val="single"/>
                <w:lang w:val="en-US" w:eastAsia="zh-CN"/>
              </w:rPr>
              <w:t>因为</w:t>
            </w:r>
            <w:r>
              <w:rPr>
                <w:rFonts w:hint="default" w:ascii="Times New Roman" w:hAnsi="Times New Roman" w:cs="Times New Roman"/>
                <w:b w:val="0"/>
                <w:bCs w:val="0"/>
                <w:u w:val="single"/>
              </w:rPr>
              <w:t>建设单位</w:t>
            </w:r>
            <w:r>
              <w:rPr>
                <w:rFonts w:hint="eastAsia" w:cs="Times New Roman"/>
                <w:b w:val="0"/>
                <w:bCs w:val="0"/>
                <w:u w:val="single"/>
                <w:lang w:val="en-US" w:eastAsia="zh-CN"/>
              </w:rPr>
              <w:t>拟</w:t>
            </w:r>
            <w:r>
              <w:rPr>
                <w:rFonts w:hint="eastAsia" w:cs="Times New Roman"/>
                <w:b w:val="0"/>
                <w:bCs w:val="0"/>
                <w:highlight w:val="none"/>
                <w:u w:val="single"/>
                <w:lang w:eastAsia="zh-CN"/>
              </w:rPr>
              <w:t>建</w:t>
            </w:r>
            <w:r>
              <w:rPr>
                <w:rFonts w:hint="default" w:ascii="Times New Roman" w:hAnsi="Times New Roman" w:cs="Times New Roman"/>
                <w:b w:val="0"/>
                <w:bCs w:val="0"/>
                <w:highlight w:val="none"/>
                <w:u w:val="single"/>
                <w:lang w:val="en-US" w:eastAsia="zh-CN"/>
              </w:rPr>
              <w:t>年产10万吨/年离子膜氯碱搬迁升级改造建设项目增加了对纯水的需求量</w:t>
            </w:r>
            <w:r>
              <w:rPr>
                <w:rFonts w:hint="eastAsia" w:cs="Times New Roman"/>
                <w:b w:val="0"/>
                <w:bCs w:val="0"/>
                <w:highlight w:val="none"/>
                <w:u w:val="single"/>
                <w:lang w:val="en-US" w:eastAsia="zh-CN"/>
              </w:rPr>
              <w:t>，</w:t>
            </w:r>
            <w:r>
              <w:rPr>
                <w:rFonts w:hint="default" w:ascii="Times New Roman" w:hAnsi="Times New Roman" w:eastAsia="宋体" w:cs="Times New Roman"/>
                <w:sz w:val="24"/>
                <w:szCs w:val="24"/>
                <w:highlight w:val="none"/>
                <w:u w:val="single"/>
                <w:lang w:val="en-US" w:eastAsia="zh-CN"/>
              </w:rPr>
              <w:t>以及</w:t>
            </w:r>
            <w:r>
              <w:rPr>
                <w:rFonts w:hint="default" w:ascii="Times New Roman" w:hAnsi="Times New Roman" w:eastAsia="宋体" w:cs="Times New Roman"/>
                <w:sz w:val="24"/>
                <w:szCs w:val="24"/>
                <w:highlight w:val="none"/>
                <w:u w:val="single"/>
              </w:rPr>
              <w:t>减少</w:t>
            </w:r>
            <w:r>
              <w:rPr>
                <w:rFonts w:hint="default" w:ascii="Times New Roman" w:hAnsi="Times New Roman" w:eastAsia="宋体" w:cs="Times New Roman"/>
                <w:sz w:val="24"/>
                <w:szCs w:val="24"/>
                <w:highlight w:val="none"/>
                <w:u w:val="single"/>
                <w:lang w:val="en-US" w:eastAsia="zh-CN"/>
              </w:rPr>
              <w:t>制水产生的</w:t>
            </w:r>
            <w:r>
              <w:rPr>
                <w:rFonts w:hint="default" w:ascii="Times New Roman" w:hAnsi="Times New Roman" w:eastAsia="宋体" w:cs="Times New Roman"/>
                <w:sz w:val="24"/>
                <w:szCs w:val="24"/>
                <w:highlight w:val="none"/>
                <w:u w:val="single"/>
              </w:rPr>
              <w:t>固体废物</w:t>
            </w:r>
            <w:r>
              <w:rPr>
                <w:rFonts w:hint="default" w:ascii="Times New Roman" w:hAnsi="Times New Roman" w:eastAsia="宋体" w:cs="Times New Roman"/>
                <w:sz w:val="24"/>
                <w:szCs w:val="24"/>
                <w:highlight w:val="none"/>
                <w:u w:val="single"/>
                <w:lang w:eastAsia="zh-CN"/>
              </w:rPr>
              <w:t>、</w:t>
            </w:r>
            <w:r>
              <w:rPr>
                <w:rFonts w:hint="default" w:ascii="Times New Roman" w:hAnsi="Times New Roman" w:eastAsia="宋体" w:cs="Times New Roman"/>
                <w:sz w:val="24"/>
                <w:szCs w:val="24"/>
                <w:u w:val="single"/>
                <w:lang w:val="en-US" w:eastAsia="zh-CN"/>
              </w:rPr>
              <w:t>节约能源和提高水质</w:t>
            </w:r>
            <w:r>
              <w:rPr>
                <w:rFonts w:hint="eastAsia" w:cs="Times New Roman"/>
                <w:b w:val="0"/>
                <w:bCs w:val="0"/>
                <w:u w:val="single"/>
                <w:lang w:eastAsia="zh-CN"/>
              </w:rPr>
              <w:t>，</w:t>
            </w:r>
            <w:r>
              <w:rPr>
                <w:rFonts w:hint="eastAsia" w:cs="Times New Roman"/>
                <w:b w:val="0"/>
                <w:bCs w:val="0"/>
                <w:u w:val="single"/>
                <w:lang w:val="en-US" w:eastAsia="zh-CN"/>
              </w:rPr>
              <w:t>所以</w:t>
            </w:r>
            <w:r>
              <w:rPr>
                <w:rFonts w:hint="default" w:ascii="Times New Roman" w:hAnsi="Times New Roman" w:cs="Times New Roman"/>
                <w:b w:val="0"/>
                <w:bCs w:val="0"/>
                <w:u w:val="single"/>
              </w:rPr>
              <w:t>建设单位拟在</w:t>
            </w:r>
            <w:r>
              <w:rPr>
                <w:rFonts w:hint="default" w:ascii="Times New Roman" w:hAnsi="Times New Roman" w:cs="Times New Roman"/>
                <w:color w:val="000000"/>
                <w:u w:val="single"/>
                <w:lang w:val="en-US" w:eastAsia="zh-CN"/>
              </w:rPr>
              <w:t>湖南省怀化市洪江区岩门01号</w:t>
            </w:r>
            <w:r>
              <w:rPr>
                <w:rFonts w:hint="default" w:ascii="Times New Roman" w:hAnsi="Times New Roman" w:cs="Times New Roman"/>
                <w:b w:val="0"/>
                <w:bCs w:val="0"/>
                <w:highlight w:val="none"/>
                <w:u w:val="single"/>
              </w:rPr>
              <w:t>现有</w:t>
            </w:r>
            <w:r>
              <w:rPr>
                <w:rFonts w:hint="default" w:ascii="Times New Roman" w:hAnsi="Times New Roman" w:cs="Times New Roman"/>
                <w:b w:val="0"/>
                <w:bCs w:val="0"/>
                <w:highlight w:val="none"/>
                <w:u w:val="single"/>
                <w:lang w:val="en-US" w:eastAsia="zh-CN"/>
              </w:rPr>
              <w:t>厂区</w:t>
            </w:r>
            <w:r>
              <w:rPr>
                <w:rFonts w:hint="default" w:ascii="Times New Roman" w:hAnsi="Times New Roman" w:cs="Times New Roman"/>
                <w:b w:val="0"/>
                <w:bCs w:val="0"/>
                <w:highlight w:val="none"/>
                <w:u w:val="single"/>
              </w:rPr>
              <w:t>内建设“供水系统升级改造项目</w:t>
            </w:r>
            <w:r>
              <w:rPr>
                <w:rFonts w:hint="default" w:ascii="Times New Roman" w:hAnsi="Times New Roman" w:cs="Times New Roman"/>
                <w:b w:val="0"/>
                <w:bCs w:val="0"/>
                <w:u w:val="single"/>
              </w:rPr>
              <w:t>”（以下简称“</w:t>
            </w:r>
            <w:r>
              <w:rPr>
                <w:rFonts w:hint="default" w:ascii="Times New Roman" w:hAnsi="Times New Roman" w:cs="Times New Roman"/>
                <w:b w:val="0"/>
                <w:bCs w:val="0"/>
                <w:u w:val="single"/>
                <w:lang w:val="en-US" w:eastAsia="zh-CN"/>
              </w:rPr>
              <w:t>本项目</w:t>
            </w:r>
            <w:r>
              <w:rPr>
                <w:rFonts w:hint="default" w:ascii="Times New Roman" w:hAnsi="Times New Roman" w:cs="Times New Roman"/>
                <w:b w:val="0"/>
                <w:bCs w:val="0"/>
                <w:u w:val="single"/>
              </w:rPr>
              <w:t>”）。本项目占地面积为</w:t>
            </w:r>
            <w:r>
              <w:rPr>
                <w:rFonts w:hint="default" w:ascii="Times New Roman" w:hAnsi="Times New Roman" w:cs="Times New Roman"/>
                <w:b w:val="0"/>
                <w:bCs w:val="0"/>
                <w:u w:val="single"/>
                <w:lang w:val="en-US" w:eastAsia="zh-CN"/>
              </w:rPr>
              <w:t>5800</w:t>
            </w:r>
            <w:r>
              <w:rPr>
                <w:rFonts w:hint="default" w:ascii="Times New Roman" w:hAnsi="Times New Roman" w:cs="Times New Roman"/>
                <w:b w:val="0"/>
                <w:bCs w:val="0"/>
                <w:u w:val="single"/>
              </w:rPr>
              <w:t>m</w:t>
            </w:r>
            <w:r>
              <w:rPr>
                <w:rFonts w:hint="default" w:ascii="Times New Roman" w:hAnsi="Times New Roman" w:cs="Times New Roman"/>
                <w:b w:val="0"/>
                <w:bCs w:val="0"/>
                <w:u w:val="single"/>
                <w:vertAlign w:val="superscript"/>
              </w:rPr>
              <w:t>2</w:t>
            </w:r>
            <w:r>
              <w:rPr>
                <w:rFonts w:hint="default" w:ascii="Times New Roman" w:hAnsi="Times New Roman" w:cs="Times New Roman"/>
                <w:u w:val="single"/>
              </w:rPr>
              <w:t>，总建筑面积</w:t>
            </w:r>
            <w:r>
              <w:rPr>
                <w:rFonts w:hint="default" w:ascii="Times New Roman" w:hAnsi="Times New Roman" w:cs="Times New Roman"/>
                <w:u w:val="single"/>
                <w:lang w:val="en-US" w:eastAsia="zh-CN"/>
              </w:rPr>
              <w:t>为</w:t>
            </w:r>
            <w:r>
              <w:rPr>
                <w:rFonts w:hint="default" w:ascii="Times New Roman" w:hAnsi="Times New Roman" w:cs="Times New Roman"/>
                <w:b w:val="0"/>
                <w:bCs w:val="0"/>
                <w:u w:val="single"/>
                <w:lang w:val="en-US" w:eastAsia="zh-CN"/>
              </w:rPr>
              <w:t>2447</w:t>
            </w:r>
            <w:r>
              <w:rPr>
                <w:rFonts w:hint="default" w:ascii="Times New Roman" w:hAnsi="Times New Roman" w:cs="Times New Roman"/>
                <w:u w:val="single"/>
              </w:rPr>
              <w:t>m</w:t>
            </w:r>
            <w:r>
              <w:rPr>
                <w:rFonts w:hint="default" w:ascii="Times New Roman" w:hAnsi="Times New Roman" w:cs="Times New Roman"/>
                <w:u w:val="single"/>
                <w:vertAlign w:val="superscript"/>
              </w:rPr>
              <w:t>2</w:t>
            </w:r>
            <w:r>
              <w:rPr>
                <w:rFonts w:hint="default" w:ascii="Times New Roman" w:hAnsi="Times New Roman" w:cs="Times New Roman"/>
                <w:b w:val="0"/>
                <w:bCs w:val="0"/>
                <w:u w:val="single"/>
              </w:rPr>
              <w:t>。总投资</w:t>
            </w:r>
            <w:r>
              <w:rPr>
                <w:rFonts w:hint="default" w:ascii="Times New Roman" w:hAnsi="Times New Roman" w:cs="Times New Roman"/>
                <w:b w:val="0"/>
                <w:bCs w:val="0"/>
                <w:u w:val="single"/>
                <w:lang w:val="en-US" w:eastAsia="zh-CN"/>
              </w:rPr>
              <w:t>650</w:t>
            </w:r>
            <w:r>
              <w:rPr>
                <w:rFonts w:hint="default" w:ascii="Times New Roman" w:hAnsi="Times New Roman" w:cs="Times New Roman"/>
                <w:b w:val="0"/>
                <w:bCs w:val="0"/>
                <w:u w:val="single"/>
              </w:rPr>
              <w:t>万元，其中环保投资</w:t>
            </w:r>
            <w:r>
              <w:rPr>
                <w:rFonts w:hint="default" w:ascii="Times New Roman" w:hAnsi="Times New Roman" w:cs="Times New Roman"/>
                <w:b w:val="0"/>
                <w:bCs w:val="0"/>
                <w:highlight w:val="none"/>
                <w:u w:val="single"/>
                <w:shd w:val="clear"/>
                <w:lang w:val="en-US" w:eastAsia="zh-CN"/>
              </w:rPr>
              <w:t>22</w:t>
            </w:r>
            <w:r>
              <w:rPr>
                <w:rFonts w:hint="default" w:ascii="Times New Roman" w:hAnsi="Times New Roman" w:cs="Times New Roman"/>
                <w:b w:val="0"/>
                <w:bCs w:val="0"/>
                <w:u w:val="single"/>
              </w:rPr>
              <w:t>万元，占总投资的</w:t>
            </w:r>
            <w:r>
              <w:rPr>
                <w:rFonts w:hint="default" w:ascii="Times New Roman" w:hAnsi="Times New Roman" w:cs="Times New Roman"/>
                <w:b w:val="0"/>
                <w:bCs w:val="0"/>
                <w:highlight w:val="none"/>
                <w:u w:val="single"/>
                <w:shd w:val="clear"/>
                <w:lang w:val="en-US" w:eastAsia="zh-CN"/>
              </w:rPr>
              <w:t>3.4</w:t>
            </w:r>
            <w:r>
              <w:rPr>
                <w:rFonts w:hint="default" w:ascii="Times New Roman" w:hAnsi="Times New Roman" w:cs="Times New Roman"/>
                <w:b w:val="0"/>
                <w:bCs w:val="0"/>
                <w:highlight w:val="none"/>
                <w:u w:val="single"/>
                <w:shd w:val="clear"/>
              </w:rPr>
              <w:t>%</w:t>
            </w:r>
            <w:r>
              <w:rPr>
                <w:rFonts w:hint="default" w:ascii="Times New Roman" w:hAnsi="Times New Roman" w:cs="Times New Roman"/>
                <w:b w:val="0"/>
                <w:bCs w:val="0"/>
                <w:u w:val="single"/>
              </w:rPr>
              <w:t>。项目以</w:t>
            </w:r>
            <w:r>
              <w:rPr>
                <w:rFonts w:hint="default" w:ascii="Times New Roman" w:hAnsi="Times New Roman" w:cs="Times New Roman"/>
                <w:b w:val="0"/>
                <w:bCs w:val="0"/>
                <w:u w:val="single"/>
                <w:lang w:val="en-US" w:eastAsia="zh-CN"/>
              </w:rPr>
              <w:t>河水</w:t>
            </w:r>
            <w:r>
              <w:rPr>
                <w:rFonts w:hint="default" w:ascii="Times New Roman" w:hAnsi="Times New Roman" w:cs="Times New Roman"/>
                <w:b w:val="0"/>
                <w:bCs w:val="0"/>
                <w:u w:val="single"/>
              </w:rPr>
              <w:t>等原料经</w:t>
            </w:r>
            <w:r>
              <w:rPr>
                <w:rFonts w:hint="default" w:ascii="Times New Roman" w:hAnsi="Times New Roman" w:cs="Times New Roman"/>
                <w:b w:val="0"/>
                <w:bCs w:val="0"/>
                <w:u w:val="single"/>
                <w:lang w:val="en-US" w:eastAsia="zh-CN"/>
              </w:rPr>
              <w:t>取水</w:t>
            </w:r>
            <w:r>
              <w:rPr>
                <w:rFonts w:hint="default" w:ascii="Times New Roman" w:hAnsi="Times New Roman" w:cs="Times New Roman"/>
                <w:b w:val="0"/>
                <w:bCs w:val="0"/>
                <w:u w:val="single"/>
              </w:rPr>
              <w:t>、</w:t>
            </w:r>
            <w:r>
              <w:rPr>
                <w:rFonts w:hint="default" w:ascii="Times New Roman" w:hAnsi="Times New Roman" w:cs="Times New Roman"/>
                <w:b w:val="0"/>
                <w:bCs w:val="0"/>
                <w:u w:val="single"/>
                <w:lang w:val="en-US" w:eastAsia="zh-CN"/>
              </w:rPr>
              <w:t>加药</w:t>
            </w:r>
            <w:r>
              <w:rPr>
                <w:rFonts w:hint="default" w:ascii="Times New Roman" w:hAnsi="Times New Roman" w:cs="Times New Roman"/>
                <w:b w:val="0"/>
                <w:bCs w:val="0"/>
                <w:u w:val="single"/>
              </w:rPr>
              <w:t>、</w:t>
            </w:r>
            <w:r>
              <w:rPr>
                <w:rFonts w:hint="default" w:ascii="Times New Roman" w:hAnsi="Times New Roman" w:cs="Times New Roman"/>
                <w:b w:val="0"/>
                <w:bCs w:val="0"/>
                <w:u w:val="single"/>
                <w:lang w:val="en-US" w:eastAsia="zh-CN"/>
              </w:rPr>
              <w:t>净化、过滤</w:t>
            </w:r>
            <w:r>
              <w:rPr>
                <w:rFonts w:hint="default" w:ascii="Times New Roman" w:hAnsi="Times New Roman" w:cs="Times New Roman"/>
                <w:b w:val="0"/>
                <w:bCs w:val="0"/>
                <w:u w:val="single"/>
              </w:rPr>
              <w:t>等工艺过程，</w:t>
            </w:r>
            <w:r>
              <w:rPr>
                <w:rFonts w:hint="default" w:ascii="Times New Roman" w:hAnsi="Times New Roman" w:cs="Times New Roman"/>
                <w:b w:val="0"/>
                <w:bCs w:val="0"/>
                <w:u w:val="single"/>
                <w:lang w:val="en-US" w:eastAsia="zh-CN"/>
              </w:rPr>
              <w:t>制得初步净化水，初步净化水分别通过三层流动塔制得软水，通过反渗透+混床脱盐水系统制得纯水</w:t>
            </w:r>
            <w:r>
              <w:rPr>
                <w:rFonts w:hint="default" w:ascii="Times New Roman" w:hAnsi="Times New Roman" w:cs="Times New Roman"/>
                <w:b w:val="0"/>
                <w:bCs w:val="0"/>
                <w:u w:val="singl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lang w:val="en-US" w:eastAsia="zh-CN"/>
              </w:rPr>
            </w:pPr>
            <w:r>
              <w:rPr>
                <w:rFonts w:hint="eastAsia" w:cs="Times New Roman"/>
                <w:b w:val="0"/>
                <w:bCs w:val="0"/>
                <w:u w:val="single"/>
                <w:lang w:val="en-US" w:eastAsia="zh-CN"/>
              </w:rPr>
              <w:t>本项目不涉及专项评价设置原则表中提及的专项设置内容，故本项目没有设置专项评价。</w:t>
            </w:r>
          </w:p>
          <w:p>
            <w:pPr>
              <w:pStyle w:val="3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rPr>
            </w:pPr>
            <w:r>
              <w:rPr>
                <w:rFonts w:hint="default" w:ascii="Times New Roman" w:hAnsi="Times New Roman" w:cs="Times New Roman"/>
                <w:b w:val="0"/>
                <w:bCs w:val="0"/>
              </w:rPr>
              <w:t>根据《中华人民共和国环境保护法》（2015年1月1日）、《中华人民共和国环境影响评价法》（2018年12月29日）、《建设项目环境影响评价分类管理名录》（国家环境保护部令第16号）的有关规定，本项目使用</w:t>
            </w:r>
            <w:r>
              <w:rPr>
                <w:rFonts w:hint="default" w:ascii="Times New Roman" w:hAnsi="Times New Roman" w:cs="Times New Roman"/>
                <w:b w:val="0"/>
                <w:bCs w:val="0"/>
                <w:lang w:val="en-US" w:eastAsia="zh-CN"/>
              </w:rPr>
              <w:t>河水</w:t>
            </w:r>
            <w:r>
              <w:rPr>
                <w:rFonts w:hint="default" w:ascii="Times New Roman" w:hAnsi="Times New Roman" w:cs="Times New Roman"/>
                <w:b w:val="0"/>
                <w:bCs w:val="0"/>
              </w:rPr>
              <w:t>为原料，属于</w:t>
            </w:r>
            <w:r>
              <w:rPr>
                <w:rFonts w:hint="default" w:ascii="Times New Roman" w:hAnsi="Times New Roman" w:cs="Times New Roman"/>
                <w:lang w:val="en-US" w:eastAsia="zh-CN"/>
              </w:rPr>
              <w:t>“四十三、水的生产和供应业”中的“94自来水生产和供应”</w:t>
            </w:r>
            <w:r>
              <w:rPr>
                <w:rFonts w:hint="default" w:ascii="Times New Roman" w:hAnsi="Times New Roman" w:eastAsia="宋体" w:cs="Times New Roman"/>
                <w:lang w:val="en-US" w:eastAsia="zh-CN"/>
              </w:rPr>
              <w:t>中的“全部”</w:t>
            </w:r>
            <w:r>
              <w:rPr>
                <w:rFonts w:hint="default" w:ascii="Times New Roman" w:hAnsi="Times New Roman" w:cs="Times New Roman"/>
                <w:b w:val="0"/>
                <w:bCs w:val="0"/>
              </w:rPr>
              <w:t>，按要求应编制环境影响报告</w:t>
            </w:r>
            <w:r>
              <w:rPr>
                <w:rFonts w:hint="default" w:ascii="Times New Roman" w:hAnsi="Times New Roman" w:cs="Times New Roman"/>
                <w:b w:val="0"/>
                <w:bCs w:val="0"/>
                <w:lang w:val="en-US" w:eastAsia="zh-CN"/>
              </w:rPr>
              <w:t>表</w:t>
            </w:r>
            <w:r>
              <w:rPr>
                <w:rFonts w:hint="default" w:ascii="Times New Roman" w:hAnsi="Times New Roman" w:cs="Times New Roman"/>
                <w:b w:val="0"/>
                <w:bCs w:val="0"/>
              </w:rPr>
              <w:t>。因此建设单位委托湖南</w:t>
            </w:r>
            <w:r>
              <w:rPr>
                <w:rFonts w:hint="default" w:ascii="Times New Roman" w:hAnsi="Times New Roman" w:cs="Times New Roman"/>
                <w:b w:val="0"/>
                <w:bCs w:val="0"/>
                <w:lang w:val="en-US" w:eastAsia="zh-CN"/>
              </w:rPr>
              <w:t>润为环保科技</w:t>
            </w:r>
            <w:r>
              <w:rPr>
                <w:rFonts w:hint="default" w:ascii="Times New Roman" w:hAnsi="Times New Roman" w:cs="Times New Roman"/>
                <w:b w:val="0"/>
                <w:bCs w:val="0"/>
              </w:rPr>
              <w:t>有限公司承担该项目的环境影响评价编制工作。评价单位在充分收集有关资料并深入进行现场踏勘后，依据国家、地方的有关环保法律、法规，在建设单位大力支持下，完成了项目环境影响报告</w:t>
            </w:r>
            <w:r>
              <w:rPr>
                <w:rFonts w:hint="default" w:ascii="Times New Roman" w:hAnsi="Times New Roman" w:cs="Times New Roman"/>
                <w:b w:val="0"/>
                <w:bCs w:val="0"/>
                <w:lang w:val="en-US" w:eastAsia="zh-CN"/>
              </w:rPr>
              <w:t>表</w:t>
            </w:r>
            <w:r>
              <w:rPr>
                <w:rFonts w:hint="default" w:ascii="Times New Roman" w:hAnsi="Times New Roman" w:cs="Times New Roman"/>
                <w:b w:val="0"/>
                <w:bCs w:val="0"/>
              </w:rPr>
              <w:t>的编制工作，上报有关</w:t>
            </w:r>
            <w:r>
              <w:rPr>
                <w:rFonts w:hint="default" w:ascii="Times New Roman" w:hAnsi="Times New Roman" w:cs="Times New Roman"/>
                <w:b w:val="0"/>
                <w:bCs w:val="0"/>
                <w:lang w:val="en-US" w:eastAsia="zh-CN"/>
              </w:rPr>
              <w:t>生态环境</w:t>
            </w:r>
            <w:r>
              <w:rPr>
                <w:rFonts w:hint="default" w:ascii="Times New Roman" w:hAnsi="Times New Roman" w:cs="Times New Roman"/>
                <w:b w:val="0"/>
                <w:bCs w:val="0"/>
              </w:rPr>
              <w:t>主管部门审批。</w:t>
            </w:r>
          </w:p>
          <w:p>
            <w:pPr>
              <w:pStyle w:val="36"/>
              <w:bidi w:val="0"/>
              <w:rPr>
                <w:rFonts w:hint="default" w:ascii="Times New Roman" w:hAnsi="Times New Roman" w:cs="Times New Roman"/>
                <w:b w:val="0"/>
                <w:bCs w:val="0"/>
              </w:rPr>
            </w:pPr>
            <w:r>
              <w:rPr>
                <w:rFonts w:hint="default" w:ascii="Times New Roman" w:hAnsi="Times New Roman" w:cs="Times New Roman"/>
                <w:b/>
                <w:bCs/>
                <w:lang w:val="en-US" w:eastAsia="zh-CN"/>
              </w:rPr>
              <w:t>2</w:t>
            </w:r>
            <w:r>
              <w:rPr>
                <w:rFonts w:hint="default" w:ascii="Times New Roman" w:hAnsi="Times New Roman" w:cs="Times New Roman"/>
                <w:b/>
                <w:bCs/>
              </w:rPr>
              <w:t>、本项目占地及建筑规模</w:t>
            </w:r>
          </w:p>
          <w:p>
            <w:pPr>
              <w:pStyle w:val="36"/>
              <w:bidi w:val="0"/>
              <w:rPr>
                <w:rFonts w:hint="default" w:ascii="Times New Roman" w:hAnsi="Times New Roman" w:cs="Times New Roman"/>
              </w:rPr>
            </w:pPr>
            <w:r>
              <w:rPr>
                <w:rFonts w:hint="default" w:ascii="Times New Roman" w:hAnsi="Times New Roman" w:cs="Times New Roman"/>
              </w:rPr>
              <w:t>本项目位于</w:t>
            </w:r>
            <w:r>
              <w:rPr>
                <w:rFonts w:hint="default" w:ascii="Times New Roman" w:hAnsi="Times New Roman" w:cs="Times New Roman"/>
                <w:color w:val="000000"/>
                <w:u w:val="none"/>
                <w:lang w:val="en-US" w:eastAsia="zh-CN"/>
              </w:rPr>
              <w:t>湖南省怀化市洪江区岩门01号恒光科技股份有限公司厂区内的原供水系统处</w:t>
            </w:r>
            <w:r>
              <w:rPr>
                <w:rFonts w:hint="default" w:ascii="Times New Roman" w:hAnsi="Times New Roman" w:cs="Times New Roman"/>
              </w:rPr>
              <w:t>，</w:t>
            </w:r>
            <w:r>
              <w:rPr>
                <w:rFonts w:hint="default" w:ascii="Times New Roman" w:hAnsi="Times New Roman" w:cs="Times New Roman"/>
                <w:b w:val="0"/>
                <w:bCs w:val="0"/>
              </w:rPr>
              <w:t>占地面积为</w:t>
            </w:r>
            <w:r>
              <w:rPr>
                <w:rFonts w:hint="default" w:ascii="Times New Roman" w:hAnsi="Times New Roman" w:cs="Times New Roman"/>
                <w:b w:val="0"/>
                <w:bCs w:val="0"/>
                <w:lang w:val="en-US" w:eastAsia="zh-CN"/>
              </w:rPr>
              <w:t>5800</w:t>
            </w:r>
            <w:r>
              <w:rPr>
                <w:rFonts w:hint="default" w:ascii="Times New Roman" w:hAnsi="Times New Roman" w:cs="Times New Roman"/>
                <w:b w:val="0"/>
                <w:bCs w:val="0"/>
              </w:rPr>
              <w:t>m</w:t>
            </w:r>
            <w:r>
              <w:rPr>
                <w:rFonts w:hint="default" w:ascii="Times New Roman" w:hAnsi="Times New Roman" w:cs="Times New Roman"/>
                <w:b w:val="0"/>
                <w:bCs w:val="0"/>
                <w:vertAlign w:val="superscript"/>
              </w:rPr>
              <w:t>2</w:t>
            </w:r>
            <w:r>
              <w:rPr>
                <w:rFonts w:hint="default" w:ascii="Times New Roman" w:hAnsi="Times New Roman" w:cs="Times New Roman"/>
              </w:rPr>
              <w:t>，总建筑面积</w:t>
            </w:r>
            <w:r>
              <w:rPr>
                <w:rFonts w:hint="default" w:ascii="Times New Roman" w:hAnsi="Times New Roman" w:cs="Times New Roman"/>
                <w:lang w:val="en-US" w:eastAsia="zh-CN"/>
              </w:rPr>
              <w:t>为</w:t>
            </w:r>
            <w:r>
              <w:rPr>
                <w:rFonts w:hint="default" w:ascii="Times New Roman" w:hAnsi="Times New Roman" w:cs="Times New Roman"/>
                <w:b w:val="0"/>
                <w:bCs w:val="0"/>
                <w:lang w:val="en-US" w:eastAsia="zh-CN"/>
              </w:rPr>
              <w:t>2447</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vertAlign w:val="baseline"/>
                <w:lang w:eastAsia="zh-CN"/>
              </w:rPr>
              <w:t>。</w:t>
            </w:r>
            <w:r>
              <w:rPr>
                <w:rFonts w:hint="default" w:ascii="Times New Roman" w:hAnsi="Times New Roman" w:cs="Times New Roman"/>
                <w:vertAlign w:val="baseline"/>
                <w:lang w:val="en-US" w:eastAsia="zh-CN"/>
              </w:rPr>
              <w:t>拆除现有阴阳混床制纯水区，</w:t>
            </w:r>
            <w:r>
              <w:rPr>
                <w:rFonts w:hint="default" w:ascii="Times New Roman" w:hAnsi="Times New Roman" w:cs="Times New Roman"/>
                <w:lang w:val="en-US" w:eastAsia="zh-CN"/>
              </w:rPr>
              <w:t>新增</w:t>
            </w:r>
            <w:r>
              <w:rPr>
                <w:rFonts w:hint="default" w:ascii="Times New Roman" w:hAnsi="Times New Roman" w:cs="Times New Roman"/>
              </w:rPr>
              <w:t>反渗透装置</w:t>
            </w:r>
            <w:r>
              <w:rPr>
                <w:rFonts w:hint="default" w:ascii="Times New Roman" w:hAnsi="Times New Roman" w:cs="Times New Roman"/>
                <w:lang w:val="en-US" w:eastAsia="zh-CN"/>
              </w:rPr>
              <w:t>制</w:t>
            </w:r>
            <w:r>
              <w:rPr>
                <w:rFonts w:hint="default" w:ascii="Times New Roman" w:hAnsi="Times New Roman" w:cs="Times New Roman"/>
              </w:rPr>
              <w:t>纯水</w:t>
            </w:r>
            <w:r>
              <w:rPr>
                <w:rFonts w:hint="default" w:ascii="Times New Roman" w:hAnsi="Times New Roman" w:cs="Times New Roman"/>
                <w:lang w:val="en-US" w:eastAsia="zh-CN"/>
              </w:rPr>
              <w:t>区、污泥处理区</w:t>
            </w:r>
            <w:r>
              <w:rPr>
                <w:rFonts w:hint="default" w:ascii="Times New Roman" w:hAnsi="Times New Roman" w:cs="Times New Roman"/>
              </w:rPr>
              <w:t>等</w:t>
            </w:r>
            <w:r>
              <w:rPr>
                <w:rFonts w:hint="default" w:ascii="Times New Roman" w:hAnsi="Times New Roman" w:cs="Times New Roman"/>
                <w:lang w:eastAsia="zh-CN"/>
              </w:rPr>
              <w:t>，</w:t>
            </w:r>
            <w:r>
              <w:rPr>
                <w:rFonts w:hint="default" w:ascii="Times New Roman" w:hAnsi="Times New Roman" w:cs="Times New Roman"/>
                <w:lang w:val="en-US" w:eastAsia="zh-CN"/>
              </w:rPr>
              <w:t>并扩大</w:t>
            </w:r>
            <w:r>
              <w:rPr>
                <w:rFonts w:hint="default" w:ascii="Times New Roman" w:hAnsi="Times New Roman" w:cs="Times New Roman"/>
              </w:rPr>
              <w:t>一体化净水</w:t>
            </w:r>
            <w:r>
              <w:rPr>
                <w:rFonts w:hint="default" w:ascii="Times New Roman" w:hAnsi="Times New Roman" w:cs="Times New Roman"/>
                <w:lang w:val="en-US" w:eastAsia="zh-CN"/>
              </w:rPr>
              <w:t>区</w:t>
            </w:r>
            <w:r>
              <w:rPr>
                <w:rFonts w:hint="default" w:ascii="Times New Roman" w:hAnsi="Times New Roman" w:cs="Times New Roman"/>
                <w:lang w:eastAsia="zh-CN"/>
              </w:rPr>
              <w:t>。</w:t>
            </w:r>
            <w:r>
              <w:rPr>
                <w:rFonts w:hint="default" w:ascii="Times New Roman" w:hAnsi="Times New Roman" w:cs="Times New Roman"/>
              </w:rPr>
              <w:t>项目建设内容见表2-1。</w:t>
            </w:r>
          </w:p>
          <w:p>
            <w:pPr>
              <w:pStyle w:val="33"/>
              <w:rPr>
                <w:rFonts w:hint="default" w:ascii="Times New Roman" w:hAnsi="Times New Roman" w:cs="Times New Roman"/>
                <w:color w:val="000000"/>
                <w:u w:val="none"/>
                <w:lang w:val="en-US" w:eastAsia="zh-CN"/>
              </w:rPr>
            </w:pPr>
            <w:r>
              <w:rPr>
                <w:rFonts w:hint="default" w:ascii="Times New Roman" w:hAnsi="Times New Roman" w:cs="Times New Roman"/>
              </w:rPr>
              <w:t xml:space="preserve">表 </w:t>
            </w:r>
            <w:r>
              <w:rPr>
                <w:rFonts w:hint="default" w:ascii="Times New Roman" w:hAnsi="Times New Roman" w:cs="Times New Roman"/>
                <w:lang w:val="en-US" w:eastAsia="zh-CN"/>
              </w:rPr>
              <w:t>2</w:t>
            </w:r>
            <w:r>
              <w:rPr>
                <w:rFonts w:hint="default" w:ascii="Times New Roman" w:hAnsi="Times New Roman" w:cs="Times New Roman"/>
              </w:rPr>
              <w:t>-</w:t>
            </w:r>
            <w:r>
              <w:rPr>
                <w:rFonts w:hint="default" w:ascii="Times New Roman" w:hAnsi="Times New Roman" w:cs="Times New Roman"/>
                <w:lang w:val="en-US" w:eastAsia="zh-CN"/>
              </w:rPr>
              <w:t>1</w:t>
            </w:r>
            <w:r>
              <w:rPr>
                <w:rFonts w:hint="default" w:ascii="Times New Roman" w:hAnsi="Times New Roman" w:cs="Times New Roman"/>
              </w:rPr>
              <w:t xml:space="preserve"> </w:t>
            </w:r>
            <w:r>
              <w:rPr>
                <w:rFonts w:hint="default" w:ascii="Times New Roman" w:hAnsi="Times New Roman" w:cs="Times New Roman"/>
                <w:color w:val="000000"/>
                <w:u w:val="none"/>
                <w:lang w:val="en-US" w:eastAsia="zh-CN"/>
              </w:rPr>
              <w:t>项目主要组成一览表</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8"/>
              <w:gridCol w:w="378"/>
              <w:gridCol w:w="599"/>
              <w:gridCol w:w="1173"/>
              <w:gridCol w:w="1308"/>
              <w:gridCol w:w="903"/>
              <w:gridCol w:w="1335"/>
              <w:gridCol w:w="1269"/>
              <w:gridCol w:w="7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408" w:type="dxa"/>
                  <w:vMerge w:val="restart"/>
                  <w:noWrap w:val="0"/>
                  <w:vAlign w:val="center"/>
                </w:tcPr>
                <w:p>
                  <w:pPr>
                    <w:pStyle w:val="37"/>
                    <w:jc w:val="center"/>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类别</w:t>
                  </w:r>
                </w:p>
              </w:tc>
              <w:tc>
                <w:tcPr>
                  <w:tcW w:w="3458" w:type="dxa"/>
                  <w:gridSpan w:val="4"/>
                  <w:noWrap w:val="0"/>
                  <w:vAlign w:val="center"/>
                </w:tcPr>
                <w:p>
                  <w:pPr>
                    <w:pStyle w:val="37"/>
                    <w:jc w:val="center"/>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lang w:val="en-US" w:eastAsia="zh-CN"/>
                    </w:rPr>
                    <w:t>改扩建</w:t>
                  </w:r>
                  <w:r>
                    <w:rPr>
                      <w:rFonts w:hint="default" w:ascii="Times New Roman" w:hAnsi="Times New Roman" w:cs="Times New Roman"/>
                      <w:color w:val="auto"/>
                      <w:sz w:val="21"/>
                      <w:szCs w:val="21"/>
                      <w:u w:val="single"/>
                      <w:lang w:eastAsia="zh-CN"/>
                    </w:rPr>
                    <w:t>前工程组成一览表</w:t>
                  </w:r>
                </w:p>
              </w:tc>
              <w:tc>
                <w:tcPr>
                  <w:tcW w:w="3507" w:type="dxa"/>
                  <w:gridSpan w:val="3"/>
                  <w:noWrap w:val="0"/>
                  <w:vAlign w:val="center"/>
                </w:tcPr>
                <w:p>
                  <w:pPr>
                    <w:pStyle w:val="37"/>
                    <w:jc w:val="center"/>
                    <w:rPr>
                      <w:rFonts w:hint="default" w:ascii="Times New Roman" w:hAnsi="Times New Roman" w:cs="Times New Roman"/>
                      <w:color w:val="auto"/>
                      <w:sz w:val="21"/>
                      <w:szCs w:val="21"/>
                      <w:u w:val="single"/>
                      <w:lang w:eastAsia="zh-CN"/>
                    </w:rPr>
                  </w:pPr>
                  <w:r>
                    <w:rPr>
                      <w:rFonts w:hint="default" w:ascii="Times New Roman" w:hAnsi="Times New Roman" w:cs="Times New Roman"/>
                      <w:color w:val="auto"/>
                      <w:sz w:val="21"/>
                      <w:szCs w:val="21"/>
                      <w:u w:val="single"/>
                      <w:lang w:val="en-US" w:eastAsia="zh-CN"/>
                    </w:rPr>
                    <w:t>改扩建</w:t>
                  </w:r>
                  <w:r>
                    <w:rPr>
                      <w:rFonts w:hint="default" w:ascii="Times New Roman" w:hAnsi="Times New Roman" w:cs="Times New Roman"/>
                      <w:color w:val="auto"/>
                      <w:sz w:val="21"/>
                      <w:szCs w:val="21"/>
                      <w:u w:val="single"/>
                      <w:lang w:eastAsia="zh-CN"/>
                    </w:rPr>
                    <w:t>后工程组成一览表</w:t>
                  </w:r>
                </w:p>
              </w:tc>
              <w:tc>
                <w:tcPr>
                  <w:tcW w:w="715" w:type="dxa"/>
                  <w:vMerge w:val="restart"/>
                  <w:noWrap w:val="0"/>
                  <w:vAlign w:val="center"/>
                </w:tcPr>
                <w:p>
                  <w:pPr>
                    <w:pStyle w:val="37"/>
                    <w:jc w:val="center"/>
                    <w:rPr>
                      <w:rFonts w:hint="default" w:ascii="Times New Roman" w:hAnsi="Times New Roman" w:eastAsia="宋体" w:cs="Times New Roman"/>
                      <w:color w:val="auto"/>
                      <w:sz w:val="21"/>
                      <w:szCs w:val="21"/>
                      <w:u w:val="single"/>
                      <w:lang w:eastAsia="zh-CN"/>
                    </w:rPr>
                  </w:pPr>
                  <w:r>
                    <w:rPr>
                      <w:rFonts w:hint="default" w:ascii="Times New Roman" w:hAnsi="Times New Roman" w:cs="Times New Roman"/>
                      <w:color w:val="auto"/>
                      <w:sz w:val="21"/>
                      <w:szCs w:val="21"/>
                      <w:u w:val="single"/>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dxa"/>
                  <w:vMerge w:val="continue"/>
                  <w:noWrap w:val="0"/>
                  <w:vAlign w:val="center"/>
                </w:tcPr>
                <w:p>
                  <w:pPr>
                    <w:pStyle w:val="37"/>
                    <w:jc w:val="center"/>
                    <w:rPr>
                      <w:rFonts w:hint="default" w:ascii="Times New Roman" w:hAnsi="Times New Roman" w:cs="Times New Roman"/>
                      <w:color w:val="auto"/>
                      <w:sz w:val="21"/>
                      <w:szCs w:val="21"/>
                      <w:u w:val="single"/>
                    </w:rPr>
                  </w:pPr>
                </w:p>
              </w:tc>
              <w:tc>
                <w:tcPr>
                  <w:tcW w:w="977" w:type="dxa"/>
                  <w:gridSpan w:val="2"/>
                  <w:noWrap w:val="0"/>
                  <w:vAlign w:val="center"/>
                </w:tcPr>
                <w:p>
                  <w:pPr>
                    <w:pStyle w:val="37"/>
                    <w:jc w:val="center"/>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工程名称</w:t>
                  </w:r>
                </w:p>
              </w:tc>
              <w:tc>
                <w:tcPr>
                  <w:tcW w:w="2481" w:type="dxa"/>
                  <w:gridSpan w:val="2"/>
                  <w:noWrap w:val="0"/>
                  <w:vAlign w:val="center"/>
                </w:tcPr>
                <w:p>
                  <w:pPr>
                    <w:pStyle w:val="37"/>
                    <w:jc w:val="center"/>
                    <w:rPr>
                      <w:rFonts w:hint="default" w:ascii="Times New Roman" w:hAnsi="Times New Roman" w:cs="Times New Roman"/>
                      <w:color w:val="auto"/>
                      <w:kern w:val="2"/>
                      <w:sz w:val="21"/>
                      <w:szCs w:val="21"/>
                      <w:u w:val="single"/>
                      <w:lang w:val="en-US" w:eastAsia="zh-CN" w:bidi="ar-SA"/>
                    </w:rPr>
                  </w:pPr>
                  <w:r>
                    <w:rPr>
                      <w:rFonts w:hint="default" w:ascii="Times New Roman" w:hAnsi="Times New Roman" w:cs="Times New Roman"/>
                      <w:color w:val="auto"/>
                      <w:sz w:val="21"/>
                      <w:szCs w:val="21"/>
                      <w:u w:val="single"/>
                    </w:rPr>
                    <w:t>工程内容</w:t>
                  </w:r>
                </w:p>
              </w:tc>
              <w:tc>
                <w:tcPr>
                  <w:tcW w:w="903" w:type="dxa"/>
                  <w:noWrap w:val="0"/>
                  <w:vAlign w:val="center"/>
                </w:tcPr>
                <w:p>
                  <w:pPr>
                    <w:pStyle w:val="37"/>
                    <w:jc w:val="center"/>
                    <w:rPr>
                      <w:rFonts w:hint="default" w:ascii="Times New Roman" w:hAnsi="Times New Roman" w:cs="Times New Roman"/>
                      <w:color w:val="auto"/>
                      <w:kern w:val="2"/>
                      <w:sz w:val="21"/>
                      <w:szCs w:val="21"/>
                      <w:u w:val="single"/>
                      <w:lang w:val="en-US" w:eastAsia="zh-CN" w:bidi="ar-SA"/>
                    </w:rPr>
                  </w:pPr>
                  <w:r>
                    <w:rPr>
                      <w:rFonts w:hint="default" w:ascii="Times New Roman" w:hAnsi="Times New Roman" w:cs="Times New Roman"/>
                      <w:color w:val="auto"/>
                      <w:sz w:val="21"/>
                      <w:szCs w:val="21"/>
                      <w:u w:val="single"/>
                    </w:rPr>
                    <w:t>工程名称</w:t>
                  </w:r>
                </w:p>
              </w:tc>
              <w:tc>
                <w:tcPr>
                  <w:tcW w:w="2604" w:type="dxa"/>
                  <w:gridSpan w:val="2"/>
                  <w:noWrap w:val="0"/>
                  <w:vAlign w:val="center"/>
                </w:tcPr>
                <w:p>
                  <w:pPr>
                    <w:pStyle w:val="37"/>
                    <w:jc w:val="center"/>
                    <w:rPr>
                      <w:rFonts w:hint="default" w:ascii="Times New Roman" w:hAnsi="Times New Roman" w:cs="Times New Roman"/>
                      <w:color w:val="auto"/>
                      <w:sz w:val="21"/>
                      <w:szCs w:val="21"/>
                      <w:u w:val="single"/>
                      <w:lang w:eastAsia="zh-CN"/>
                    </w:rPr>
                  </w:pPr>
                  <w:r>
                    <w:rPr>
                      <w:rFonts w:hint="default" w:ascii="Times New Roman" w:hAnsi="Times New Roman" w:cs="Times New Roman"/>
                      <w:color w:val="auto"/>
                      <w:sz w:val="21"/>
                      <w:szCs w:val="21"/>
                      <w:u w:val="single"/>
                    </w:rPr>
                    <w:t>工程内容</w:t>
                  </w:r>
                </w:p>
              </w:tc>
              <w:tc>
                <w:tcPr>
                  <w:tcW w:w="715" w:type="dxa"/>
                  <w:vMerge w:val="continue"/>
                  <w:noWrap w:val="0"/>
                  <w:vAlign w:val="center"/>
                </w:tcPr>
                <w:p>
                  <w:pPr>
                    <w:pStyle w:val="37"/>
                    <w:jc w:val="center"/>
                    <w:rPr>
                      <w:rFonts w:hint="default" w:ascii="Times New Roman" w:hAnsi="Times New Roman" w:cs="Times New Roman"/>
                      <w:color w:val="auto"/>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408" w:type="dxa"/>
                  <w:vMerge w:val="restart"/>
                  <w:noWrap w:val="0"/>
                  <w:vAlign w:val="center"/>
                </w:tcPr>
                <w:p>
                  <w:pPr>
                    <w:pStyle w:val="37"/>
                    <w:jc w:val="center"/>
                    <w:rPr>
                      <w:rFonts w:hint="default" w:ascii="Times New Roman" w:hAnsi="Times New Roman" w:eastAsia="宋体" w:cs="Times New Roman"/>
                      <w:color w:val="auto"/>
                      <w:sz w:val="21"/>
                      <w:szCs w:val="21"/>
                      <w:u w:val="single"/>
                      <w:lang w:eastAsia="zh-CN"/>
                    </w:rPr>
                  </w:pPr>
                  <w:r>
                    <w:rPr>
                      <w:rFonts w:hint="default" w:ascii="Times New Roman" w:hAnsi="Times New Roman" w:cs="Times New Roman"/>
                      <w:color w:val="auto"/>
                      <w:sz w:val="21"/>
                      <w:szCs w:val="21"/>
                      <w:u w:val="single"/>
                      <w:lang w:eastAsia="zh-CN"/>
                    </w:rPr>
                    <w:t>主体工程</w:t>
                  </w:r>
                </w:p>
              </w:tc>
              <w:tc>
                <w:tcPr>
                  <w:tcW w:w="977" w:type="dxa"/>
                  <w:gridSpan w:val="2"/>
                  <w:noWrap w:val="0"/>
                  <w:vAlign w:val="center"/>
                </w:tcPr>
                <w:p>
                  <w:pPr>
                    <w:pStyle w:val="37"/>
                    <w:bidi w:val="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取水工程（取水塔）</w:t>
                  </w:r>
                </w:p>
              </w:tc>
              <w:tc>
                <w:tcPr>
                  <w:tcW w:w="2481" w:type="dxa"/>
                  <w:gridSpan w:val="2"/>
                  <w:noWrap w:val="0"/>
                  <w:vAlign w:val="center"/>
                </w:tcPr>
                <w:p>
                  <w:pPr>
                    <w:pStyle w:val="37"/>
                    <w:bidi w:val="0"/>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用于取水</w:t>
                  </w:r>
                  <w:r>
                    <w:rPr>
                      <w:rFonts w:hint="default" w:ascii="Times New Roman" w:hAnsi="Times New Roman" w:cs="Times New Roman"/>
                      <w:color w:val="auto"/>
                      <w:kern w:val="2"/>
                      <w:sz w:val="21"/>
                      <w:szCs w:val="21"/>
                      <w:u w:val="single"/>
                      <w:lang w:val="en-US" w:eastAsia="zh-CN" w:bidi="ar-SA"/>
                    </w:rPr>
                    <w:t>，</w:t>
                  </w:r>
                  <w:r>
                    <w:rPr>
                      <w:rFonts w:hint="default" w:ascii="Times New Roman" w:hAnsi="Times New Roman" w:cs="Times New Roman"/>
                      <w:color w:val="auto"/>
                      <w:sz w:val="21"/>
                      <w:szCs w:val="21"/>
                      <w:u w:val="single"/>
                      <w:lang w:val="en-US" w:eastAsia="zh-CN"/>
                    </w:rPr>
                    <w:t>位于沅江旁，通过深井泵IS200-150-315（1450）运送至取水塔，然后通过管道运输至厂内</w:t>
                  </w:r>
                </w:p>
              </w:tc>
              <w:tc>
                <w:tcPr>
                  <w:tcW w:w="903" w:type="dxa"/>
                  <w:noWrap w:val="0"/>
                  <w:vAlign w:val="center"/>
                </w:tcPr>
                <w:p>
                  <w:pPr>
                    <w:pStyle w:val="37"/>
                    <w:bidi w:val="0"/>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cs="Times New Roman"/>
                      <w:color w:val="auto"/>
                      <w:sz w:val="21"/>
                      <w:szCs w:val="21"/>
                      <w:u w:val="single"/>
                      <w:lang w:val="en-US" w:eastAsia="zh-CN"/>
                    </w:rPr>
                    <w:t>取水工程（取水塔）</w:t>
                  </w:r>
                </w:p>
              </w:tc>
              <w:tc>
                <w:tcPr>
                  <w:tcW w:w="2604" w:type="dxa"/>
                  <w:gridSpan w:val="2"/>
                  <w:noWrap w:val="0"/>
                  <w:vAlign w:val="center"/>
                </w:tcPr>
                <w:p>
                  <w:pPr>
                    <w:pStyle w:val="37"/>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kern w:val="2"/>
                      <w:sz w:val="21"/>
                      <w:szCs w:val="21"/>
                      <w:u w:val="single"/>
                      <w:lang w:val="en-US" w:eastAsia="zh-CN" w:bidi="ar-SA"/>
                    </w:rPr>
                    <w:t>无变化</w:t>
                  </w:r>
                </w:p>
              </w:tc>
              <w:tc>
                <w:tcPr>
                  <w:tcW w:w="715" w:type="dxa"/>
                  <w:noWrap w:val="0"/>
                  <w:vAlign w:val="center"/>
                </w:tcPr>
                <w:p>
                  <w:pPr>
                    <w:pStyle w:val="37"/>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cs="Times New Roman"/>
                      <w:color w:val="auto"/>
                      <w:kern w:val="2"/>
                      <w:sz w:val="21"/>
                      <w:szCs w:val="21"/>
                      <w:u w:val="single"/>
                      <w:lang w:val="en-US" w:eastAsia="zh-CN" w:bidi="ar-SA"/>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4" w:hRule="atLeast"/>
                <w:jc w:val="center"/>
              </w:trPr>
              <w:tc>
                <w:tcPr>
                  <w:tcW w:w="408" w:type="dxa"/>
                  <w:vMerge w:val="continue"/>
                  <w:noWrap w:val="0"/>
                  <w:vAlign w:val="center"/>
                </w:tcPr>
                <w:p>
                  <w:pPr>
                    <w:pStyle w:val="37"/>
                    <w:jc w:val="center"/>
                    <w:rPr>
                      <w:rFonts w:hint="default" w:ascii="Times New Roman" w:hAnsi="Times New Roman" w:cs="Times New Roman"/>
                      <w:color w:val="auto"/>
                      <w:sz w:val="21"/>
                      <w:szCs w:val="21"/>
                      <w:u w:val="single"/>
                      <w:lang w:eastAsia="zh-CN"/>
                    </w:rPr>
                  </w:pPr>
                </w:p>
              </w:tc>
              <w:tc>
                <w:tcPr>
                  <w:tcW w:w="378" w:type="dxa"/>
                  <w:vMerge w:val="restart"/>
                  <w:noWrap w:val="0"/>
                  <w:vAlign w:val="center"/>
                </w:tcPr>
                <w:p>
                  <w:pPr>
                    <w:pStyle w:val="37"/>
                    <w:bidi w:val="0"/>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净水工程</w:t>
                  </w:r>
                </w:p>
              </w:tc>
              <w:tc>
                <w:tcPr>
                  <w:tcW w:w="599" w:type="dxa"/>
                  <w:noWrap w:val="0"/>
                  <w:vAlign w:val="center"/>
                </w:tcPr>
                <w:p>
                  <w:pPr>
                    <w:pStyle w:val="37"/>
                    <w:bidi w:val="0"/>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cs="Times New Roman"/>
                      <w:color w:val="auto"/>
                      <w:sz w:val="21"/>
                      <w:szCs w:val="21"/>
                      <w:u w:val="single"/>
                      <w:lang w:val="en-US" w:eastAsia="zh-CN"/>
                    </w:rPr>
                    <w:t>制软水区</w:t>
                  </w:r>
                </w:p>
              </w:tc>
              <w:tc>
                <w:tcPr>
                  <w:tcW w:w="2481" w:type="dxa"/>
                  <w:gridSpan w:val="2"/>
                  <w:noWrap w:val="0"/>
                  <w:vAlign w:val="center"/>
                </w:tcPr>
                <w:p>
                  <w:pPr>
                    <w:pStyle w:val="37"/>
                    <w:bidi w:val="0"/>
                    <w:jc w:val="center"/>
                    <w:rPr>
                      <w:rFonts w:hint="default" w:ascii="Times New Roman" w:hAnsi="Times New Roman" w:eastAsia="宋体" w:cs="Times New Roman"/>
                      <w:color w:val="auto"/>
                      <w:kern w:val="2"/>
                      <w:sz w:val="21"/>
                      <w:szCs w:val="21"/>
                      <w:u w:val="single"/>
                      <w:vertAlign w:val="baseline"/>
                      <w:lang w:val="en-US" w:eastAsia="zh-CN" w:bidi="ar-SA"/>
                    </w:rPr>
                  </w:pPr>
                  <w:r>
                    <w:rPr>
                      <w:rFonts w:hint="default" w:ascii="Times New Roman" w:hAnsi="Times New Roman" w:eastAsia="宋体" w:cs="Times New Roman"/>
                      <w:color w:val="auto"/>
                      <w:kern w:val="2"/>
                      <w:sz w:val="21"/>
                      <w:szCs w:val="21"/>
                      <w:u w:val="single"/>
                      <w:lang w:val="en-US" w:eastAsia="zh-CN" w:bidi="ar-SA"/>
                    </w:rPr>
                    <w:t>建筑面积50m</w:t>
                  </w:r>
                  <w:r>
                    <w:rPr>
                      <w:rFonts w:hint="default" w:ascii="Times New Roman" w:hAnsi="Times New Roman" w:eastAsia="宋体" w:cs="Times New Roman"/>
                      <w:color w:val="auto"/>
                      <w:kern w:val="2"/>
                      <w:sz w:val="21"/>
                      <w:szCs w:val="21"/>
                      <w:u w:val="single"/>
                      <w:vertAlign w:val="superscript"/>
                      <w:lang w:val="en-US" w:eastAsia="zh-CN" w:bidi="ar-SA"/>
                    </w:rPr>
                    <w:t>2</w:t>
                  </w:r>
                  <w:r>
                    <w:rPr>
                      <w:rFonts w:hint="default" w:ascii="Times New Roman" w:hAnsi="Times New Roman" w:cs="Times New Roman"/>
                      <w:color w:val="auto"/>
                      <w:kern w:val="2"/>
                      <w:sz w:val="21"/>
                      <w:szCs w:val="21"/>
                      <w:u w:val="single"/>
                      <w:vertAlign w:val="baseline"/>
                      <w:lang w:val="en-US" w:eastAsia="zh-CN" w:bidi="ar-SA"/>
                    </w:rPr>
                    <w:t>，</w:t>
                  </w:r>
                </w:p>
                <w:p>
                  <w:pPr>
                    <w:pStyle w:val="37"/>
                    <w:bidi w:val="0"/>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三塔流动床</w:t>
                  </w:r>
                  <w:r>
                    <w:rPr>
                      <w:rFonts w:hint="default" w:ascii="Times New Roman" w:hAnsi="Times New Roman" w:cs="Times New Roman"/>
                      <w:color w:val="auto"/>
                      <w:kern w:val="2"/>
                      <w:sz w:val="21"/>
                      <w:szCs w:val="21"/>
                      <w:u w:val="single"/>
                      <w:lang w:val="en-US" w:eastAsia="zh-CN" w:bidi="ar-SA"/>
                    </w:rPr>
                    <w:t>，处理量60</w:t>
                  </w:r>
                  <w:r>
                    <w:rPr>
                      <w:rFonts w:hint="default" w:ascii="Times New Roman" w:hAnsi="Times New Roman" w:cs="Times New Roman"/>
                      <w:sz w:val="21"/>
                      <w:szCs w:val="21"/>
                      <w:u w:val="single"/>
                      <w:lang w:val="en-US" w:eastAsia="zh-CN"/>
                    </w:rPr>
                    <w:t>m</w:t>
                  </w:r>
                  <w:r>
                    <w:rPr>
                      <w:rFonts w:hint="default" w:ascii="Times New Roman" w:hAnsi="Times New Roman" w:cs="Times New Roman"/>
                      <w:sz w:val="21"/>
                      <w:szCs w:val="21"/>
                      <w:u w:val="single"/>
                      <w:vertAlign w:val="superscript"/>
                      <w:lang w:val="en-US" w:eastAsia="zh-CN"/>
                    </w:rPr>
                    <w:t>3</w:t>
                  </w:r>
                  <w:r>
                    <w:rPr>
                      <w:rFonts w:hint="default" w:ascii="Times New Roman" w:hAnsi="Times New Roman" w:cs="Times New Roman"/>
                      <w:color w:val="auto"/>
                      <w:sz w:val="21"/>
                      <w:szCs w:val="21"/>
                      <w:u w:val="single"/>
                      <w:lang w:val="en-US" w:eastAsia="zh-CN"/>
                    </w:rPr>
                    <w:t>/h</w:t>
                  </w:r>
                </w:p>
              </w:tc>
              <w:tc>
                <w:tcPr>
                  <w:tcW w:w="903" w:type="dxa"/>
                  <w:noWrap w:val="0"/>
                  <w:vAlign w:val="center"/>
                </w:tcPr>
                <w:p>
                  <w:pPr>
                    <w:pStyle w:val="37"/>
                    <w:bidi w:val="0"/>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cs="Times New Roman"/>
                      <w:color w:val="auto"/>
                      <w:sz w:val="21"/>
                      <w:szCs w:val="21"/>
                      <w:u w:val="single"/>
                      <w:lang w:val="en-US" w:eastAsia="zh-CN"/>
                    </w:rPr>
                    <w:t>制软水区</w:t>
                  </w:r>
                </w:p>
              </w:tc>
              <w:tc>
                <w:tcPr>
                  <w:tcW w:w="2604" w:type="dxa"/>
                  <w:gridSpan w:val="2"/>
                  <w:noWrap w:val="0"/>
                  <w:vAlign w:val="center"/>
                </w:tcPr>
                <w:p>
                  <w:pPr>
                    <w:pStyle w:val="37"/>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kern w:val="2"/>
                      <w:sz w:val="21"/>
                      <w:szCs w:val="21"/>
                      <w:u w:val="single"/>
                      <w:lang w:val="en-US" w:eastAsia="zh-CN" w:bidi="ar-SA"/>
                    </w:rPr>
                    <w:t>无变化</w:t>
                  </w:r>
                </w:p>
              </w:tc>
              <w:tc>
                <w:tcPr>
                  <w:tcW w:w="715" w:type="dxa"/>
                  <w:noWrap w:val="0"/>
                  <w:vAlign w:val="center"/>
                </w:tcPr>
                <w:p>
                  <w:pPr>
                    <w:pStyle w:val="37"/>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cs="Times New Roman"/>
                      <w:color w:val="auto"/>
                      <w:kern w:val="2"/>
                      <w:sz w:val="21"/>
                      <w:szCs w:val="21"/>
                      <w:u w:val="single"/>
                      <w:lang w:val="en-US" w:eastAsia="zh-CN" w:bidi="ar-SA"/>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7" w:hRule="atLeast"/>
                <w:jc w:val="center"/>
              </w:trPr>
              <w:tc>
                <w:tcPr>
                  <w:tcW w:w="408" w:type="dxa"/>
                  <w:vMerge w:val="continue"/>
                  <w:noWrap w:val="0"/>
                  <w:vAlign w:val="center"/>
                </w:tcPr>
                <w:p>
                  <w:pPr>
                    <w:pStyle w:val="37"/>
                    <w:jc w:val="center"/>
                    <w:rPr>
                      <w:rFonts w:hint="default" w:ascii="Times New Roman" w:hAnsi="Times New Roman" w:cs="Times New Roman"/>
                      <w:sz w:val="21"/>
                      <w:szCs w:val="21"/>
                      <w:u w:val="single"/>
                    </w:rPr>
                  </w:pPr>
                </w:p>
              </w:tc>
              <w:tc>
                <w:tcPr>
                  <w:tcW w:w="378" w:type="dxa"/>
                  <w:vMerge w:val="continue"/>
                  <w:noWrap w:val="0"/>
                  <w:vAlign w:val="center"/>
                </w:tcPr>
                <w:p>
                  <w:pPr>
                    <w:pStyle w:val="37"/>
                    <w:jc w:val="center"/>
                    <w:rPr>
                      <w:rFonts w:hint="default" w:ascii="Times New Roman" w:hAnsi="Times New Roman" w:cs="Times New Roman"/>
                      <w:sz w:val="21"/>
                      <w:szCs w:val="21"/>
                      <w:u w:val="single"/>
                    </w:rPr>
                  </w:pPr>
                </w:p>
              </w:tc>
              <w:tc>
                <w:tcPr>
                  <w:tcW w:w="599" w:type="dxa"/>
                  <w:vMerge w:val="restart"/>
                  <w:noWrap w:val="0"/>
                  <w:vAlign w:val="center"/>
                </w:tcPr>
                <w:p>
                  <w:pPr>
                    <w:pStyle w:val="37"/>
                    <w:jc w:val="center"/>
                    <w:rPr>
                      <w:rFonts w:hint="default" w:ascii="Times New Roman" w:hAnsi="Times New Roman" w:cs="Times New Roman"/>
                      <w:sz w:val="21"/>
                      <w:szCs w:val="21"/>
                      <w:u w:val="single"/>
                    </w:rPr>
                  </w:pPr>
                  <w:r>
                    <w:rPr>
                      <w:rFonts w:hint="default" w:ascii="Times New Roman" w:hAnsi="Times New Roman" w:cs="Times New Roman"/>
                      <w:color w:val="auto"/>
                      <w:sz w:val="21"/>
                      <w:szCs w:val="21"/>
                      <w:u w:val="single"/>
                      <w:lang w:val="en-US" w:eastAsia="zh-CN"/>
                    </w:rPr>
                    <w:t>制纯水区</w:t>
                  </w:r>
                </w:p>
              </w:tc>
              <w:tc>
                <w:tcPr>
                  <w:tcW w:w="2481" w:type="dxa"/>
                  <w:gridSpan w:val="2"/>
                  <w:noWrap w:val="0"/>
                  <w:vAlign w:val="center"/>
                </w:tcPr>
                <w:p>
                  <w:pPr>
                    <w:pStyle w:val="37"/>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lang w:val="en-US" w:eastAsia="zh-CN"/>
                    </w:rPr>
                    <w:t>建筑面积360m</w:t>
                  </w:r>
                  <w:r>
                    <w:rPr>
                      <w:rFonts w:hint="default" w:ascii="Times New Roman" w:hAnsi="Times New Roman" w:cs="Times New Roman"/>
                      <w:color w:val="auto"/>
                      <w:sz w:val="21"/>
                      <w:szCs w:val="21"/>
                      <w:u w:val="single"/>
                      <w:vertAlign w:val="superscript"/>
                      <w:lang w:val="en-US" w:eastAsia="zh-CN"/>
                    </w:rPr>
                    <w:t>2</w:t>
                  </w:r>
                  <w:r>
                    <w:rPr>
                      <w:rFonts w:hint="default" w:ascii="Times New Roman" w:hAnsi="Times New Roman" w:cs="Times New Roman"/>
                      <w:color w:val="auto"/>
                      <w:sz w:val="21"/>
                      <w:szCs w:val="21"/>
                      <w:u w:val="single"/>
                      <w:vertAlign w:val="baseline"/>
                      <w:lang w:val="en-US" w:eastAsia="zh-CN"/>
                    </w:rPr>
                    <w:t>，位于厂区西侧中部。</w:t>
                  </w:r>
                </w:p>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60</w:t>
                  </w:r>
                  <w:r>
                    <w:rPr>
                      <w:rFonts w:hint="default" w:ascii="Times New Roman" w:hAnsi="Times New Roman" w:cs="Times New Roman"/>
                      <w:sz w:val="21"/>
                      <w:szCs w:val="21"/>
                      <w:u w:val="single"/>
                      <w:lang w:val="en-US" w:eastAsia="zh-CN"/>
                    </w:rPr>
                    <w:t>m</w:t>
                  </w:r>
                  <w:r>
                    <w:rPr>
                      <w:rFonts w:hint="default" w:ascii="Times New Roman" w:hAnsi="Times New Roman" w:cs="Times New Roman"/>
                      <w:sz w:val="21"/>
                      <w:szCs w:val="21"/>
                      <w:u w:val="single"/>
                      <w:vertAlign w:val="superscript"/>
                      <w:lang w:val="en-US" w:eastAsia="zh-CN"/>
                    </w:rPr>
                    <w:t>3</w:t>
                  </w:r>
                  <w:r>
                    <w:rPr>
                      <w:rFonts w:hint="default" w:ascii="Times New Roman" w:hAnsi="Times New Roman" w:cs="Times New Roman"/>
                      <w:color w:val="auto"/>
                      <w:sz w:val="21"/>
                      <w:szCs w:val="21"/>
                      <w:u w:val="single"/>
                      <w:lang w:val="en-US" w:eastAsia="zh-CN"/>
                    </w:rPr>
                    <w:t>/h纯水阴阳混床</w:t>
                  </w:r>
                </w:p>
              </w:tc>
              <w:tc>
                <w:tcPr>
                  <w:tcW w:w="903" w:type="dxa"/>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制纯水区</w:t>
                  </w:r>
                </w:p>
              </w:tc>
              <w:tc>
                <w:tcPr>
                  <w:tcW w:w="2604" w:type="dxa"/>
                  <w:gridSpan w:val="2"/>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拆除现有60</w:t>
                  </w:r>
                  <w:r>
                    <w:rPr>
                      <w:rFonts w:hint="default" w:ascii="Times New Roman" w:hAnsi="Times New Roman" w:cs="Times New Roman"/>
                      <w:sz w:val="21"/>
                      <w:szCs w:val="21"/>
                      <w:u w:val="single"/>
                      <w:lang w:val="en-US" w:eastAsia="zh-CN"/>
                    </w:rPr>
                    <w:t>m</w:t>
                  </w:r>
                  <w:r>
                    <w:rPr>
                      <w:rFonts w:hint="default" w:ascii="Times New Roman" w:hAnsi="Times New Roman" w:cs="Times New Roman"/>
                      <w:sz w:val="21"/>
                      <w:szCs w:val="21"/>
                      <w:u w:val="single"/>
                      <w:vertAlign w:val="superscript"/>
                      <w:lang w:val="en-US" w:eastAsia="zh-CN"/>
                    </w:rPr>
                    <w:t>3</w:t>
                  </w:r>
                  <w:r>
                    <w:rPr>
                      <w:rFonts w:hint="default" w:ascii="Times New Roman" w:hAnsi="Times New Roman" w:cs="Times New Roman"/>
                      <w:color w:val="auto"/>
                      <w:sz w:val="21"/>
                      <w:szCs w:val="21"/>
                      <w:u w:val="single"/>
                      <w:lang w:val="en-US" w:eastAsia="zh-CN"/>
                    </w:rPr>
                    <w:t>/h纯水阴阳混床，新建62.5</w:t>
                  </w:r>
                  <w:r>
                    <w:rPr>
                      <w:rFonts w:hint="default" w:ascii="Times New Roman" w:hAnsi="Times New Roman" w:cs="Times New Roman"/>
                      <w:sz w:val="21"/>
                      <w:szCs w:val="21"/>
                      <w:u w:val="single"/>
                      <w:lang w:val="en-US" w:eastAsia="zh-CN"/>
                    </w:rPr>
                    <w:t>m</w:t>
                  </w:r>
                  <w:r>
                    <w:rPr>
                      <w:rFonts w:hint="default" w:ascii="Times New Roman" w:hAnsi="Times New Roman" w:cs="Times New Roman"/>
                      <w:sz w:val="21"/>
                      <w:szCs w:val="21"/>
                      <w:u w:val="single"/>
                      <w:vertAlign w:val="superscript"/>
                      <w:lang w:val="en-US" w:eastAsia="zh-CN"/>
                    </w:rPr>
                    <w:t>3</w:t>
                  </w:r>
                  <w:r>
                    <w:rPr>
                      <w:rFonts w:hint="default" w:ascii="Times New Roman" w:hAnsi="Times New Roman" w:cs="Times New Roman"/>
                      <w:color w:val="auto"/>
                      <w:sz w:val="21"/>
                      <w:szCs w:val="21"/>
                      <w:u w:val="single"/>
                      <w:lang w:val="en-US" w:eastAsia="zh-CN"/>
                    </w:rPr>
                    <w:t>/h反渗透混床纯水制备</w:t>
                  </w:r>
                </w:p>
              </w:tc>
              <w:tc>
                <w:tcPr>
                  <w:tcW w:w="715" w:type="dxa"/>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拆除现有新建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4" w:hRule="atLeast"/>
                <w:jc w:val="center"/>
              </w:trPr>
              <w:tc>
                <w:tcPr>
                  <w:tcW w:w="408" w:type="dxa"/>
                  <w:vMerge w:val="continue"/>
                  <w:noWrap w:val="0"/>
                  <w:vAlign w:val="center"/>
                </w:tcPr>
                <w:p>
                  <w:pPr>
                    <w:pStyle w:val="37"/>
                    <w:jc w:val="center"/>
                    <w:rPr>
                      <w:rFonts w:hint="default" w:ascii="Times New Roman" w:hAnsi="Times New Roman" w:cs="Times New Roman"/>
                      <w:color w:val="auto"/>
                      <w:sz w:val="21"/>
                      <w:szCs w:val="21"/>
                      <w:u w:val="single"/>
                      <w:lang w:val="en-US" w:eastAsia="zh-CN"/>
                    </w:rPr>
                  </w:pPr>
                </w:p>
              </w:tc>
              <w:tc>
                <w:tcPr>
                  <w:tcW w:w="378" w:type="dxa"/>
                  <w:vMerge w:val="continue"/>
                  <w:noWrap w:val="0"/>
                  <w:vAlign w:val="center"/>
                </w:tcPr>
                <w:p>
                  <w:pPr>
                    <w:pStyle w:val="37"/>
                    <w:jc w:val="center"/>
                    <w:rPr>
                      <w:rFonts w:hint="default" w:ascii="Times New Roman" w:hAnsi="Times New Roman" w:cs="Times New Roman"/>
                      <w:color w:val="auto"/>
                      <w:sz w:val="21"/>
                      <w:szCs w:val="21"/>
                      <w:u w:val="single"/>
                      <w:lang w:val="en-US" w:eastAsia="zh-CN"/>
                    </w:rPr>
                  </w:pPr>
                </w:p>
              </w:tc>
              <w:tc>
                <w:tcPr>
                  <w:tcW w:w="599" w:type="dxa"/>
                  <w:vMerge w:val="continue"/>
                  <w:noWrap w:val="0"/>
                  <w:vAlign w:val="center"/>
                </w:tcPr>
                <w:p>
                  <w:pPr>
                    <w:pStyle w:val="37"/>
                    <w:jc w:val="center"/>
                    <w:rPr>
                      <w:rFonts w:hint="default" w:ascii="Times New Roman" w:hAnsi="Times New Roman" w:cs="Times New Roman"/>
                      <w:color w:val="auto"/>
                      <w:sz w:val="21"/>
                      <w:szCs w:val="21"/>
                      <w:u w:val="single"/>
                      <w:lang w:val="en-US" w:eastAsia="zh-CN"/>
                    </w:rPr>
                  </w:pPr>
                </w:p>
              </w:tc>
              <w:tc>
                <w:tcPr>
                  <w:tcW w:w="2481" w:type="dxa"/>
                  <w:gridSpan w:val="2"/>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w:t>
                  </w:r>
                </w:p>
              </w:tc>
              <w:tc>
                <w:tcPr>
                  <w:tcW w:w="903" w:type="dxa"/>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反渗透混床脱盐水装置区</w:t>
                  </w:r>
                </w:p>
              </w:tc>
              <w:tc>
                <w:tcPr>
                  <w:tcW w:w="2604" w:type="dxa"/>
                  <w:gridSpan w:val="2"/>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125</w:t>
                  </w:r>
                  <w:r>
                    <w:rPr>
                      <w:rFonts w:hint="default" w:ascii="Times New Roman" w:hAnsi="Times New Roman" w:cs="Times New Roman"/>
                      <w:sz w:val="21"/>
                      <w:szCs w:val="21"/>
                      <w:u w:val="single"/>
                      <w:lang w:val="en-US" w:eastAsia="zh-CN"/>
                    </w:rPr>
                    <w:t>m</w:t>
                  </w:r>
                  <w:r>
                    <w:rPr>
                      <w:rFonts w:hint="default" w:ascii="Times New Roman" w:hAnsi="Times New Roman" w:cs="Times New Roman"/>
                      <w:sz w:val="21"/>
                      <w:szCs w:val="21"/>
                      <w:u w:val="single"/>
                      <w:vertAlign w:val="superscript"/>
                      <w:lang w:val="en-US" w:eastAsia="zh-CN"/>
                    </w:rPr>
                    <w:t>3</w:t>
                  </w:r>
                  <w:r>
                    <w:rPr>
                      <w:rFonts w:hint="default" w:ascii="Times New Roman" w:hAnsi="Times New Roman" w:cs="Times New Roman"/>
                      <w:color w:val="auto"/>
                      <w:sz w:val="21"/>
                      <w:szCs w:val="21"/>
                      <w:u w:val="single"/>
                      <w:lang w:val="en-US" w:eastAsia="zh-CN"/>
                    </w:rPr>
                    <w:t>/h反渗透纯水制备，位于原制纯水区东侧，建筑面积545m</w:t>
                  </w:r>
                  <w:r>
                    <w:rPr>
                      <w:rFonts w:hint="default" w:ascii="Times New Roman" w:hAnsi="Times New Roman" w:cs="Times New Roman"/>
                      <w:color w:val="auto"/>
                      <w:sz w:val="21"/>
                      <w:szCs w:val="21"/>
                      <w:u w:val="single"/>
                      <w:vertAlign w:val="superscript"/>
                      <w:lang w:val="en-US" w:eastAsia="zh-CN"/>
                    </w:rPr>
                    <w:t>2</w:t>
                  </w:r>
                </w:p>
              </w:tc>
              <w:tc>
                <w:tcPr>
                  <w:tcW w:w="715" w:type="dxa"/>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408" w:type="dxa"/>
                  <w:vMerge w:val="continue"/>
                  <w:noWrap w:val="0"/>
                  <w:vAlign w:val="center"/>
                </w:tcPr>
                <w:p>
                  <w:pPr>
                    <w:pStyle w:val="37"/>
                    <w:jc w:val="center"/>
                    <w:rPr>
                      <w:rFonts w:hint="default" w:ascii="Times New Roman" w:hAnsi="Times New Roman" w:cs="Times New Roman"/>
                      <w:color w:val="auto"/>
                      <w:sz w:val="21"/>
                      <w:szCs w:val="21"/>
                      <w:u w:val="single"/>
                      <w:lang w:val="en-US" w:eastAsia="zh-CN"/>
                    </w:rPr>
                  </w:pPr>
                </w:p>
              </w:tc>
              <w:tc>
                <w:tcPr>
                  <w:tcW w:w="378" w:type="dxa"/>
                  <w:vMerge w:val="continue"/>
                  <w:noWrap w:val="0"/>
                  <w:vAlign w:val="center"/>
                </w:tcPr>
                <w:p>
                  <w:pPr>
                    <w:pStyle w:val="37"/>
                    <w:jc w:val="center"/>
                    <w:rPr>
                      <w:rFonts w:hint="default" w:ascii="Times New Roman" w:hAnsi="Times New Roman" w:cs="Times New Roman"/>
                      <w:color w:val="auto"/>
                      <w:sz w:val="21"/>
                      <w:szCs w:val="21"/>
                      <w:u w:val="single"/>
                      <w:lang w:val="en-US" w:eastAsia="zh-CN"/>
                    </w:rPr>
                  </w:pPr>
                </w:p>
              </w:tc>
              <w:tc>
                <w:tcPr>
                  <w:tcW w:w="599" w:type="dxa"/>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一体化净水器1#</w:t>
                  </w:r>
                </w:p>
              </w:tc>
              <w:tc>
                <w:tcPr>
                  <w:tcW w:w="2481" w:type="dxa"/>
                  <w:gridSpan w:val="2"/>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位于清水池南侧，建筑面积55m</w:t>
                  </w:r>
                  <w:r>
                    <w:rPr>
                      <w:rFonts w:hint="default" w:ascii="Times New Roman" w:hAnsi="Times New Roman" w:cs="Times New Roman"/>
                      <w:color w:val="auto"/>
                      <w:sz w:val="21"/>
                      <w:szCs w:val="21"/>
                      <w:u w:val="single"/>
                      <w:vertAlign w:val="superscript"/>
                      <w:lang w:val="en-US" w:eastAsia="zh-CN"/>
                    </w:rPr>
                    <w:t>2</w:t>
                  </w:r>
                </w:p>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用于初步净化水质，处理量150</w:t>
                  </w:r>
                  <w:r>
                    <w:rPr>
                      <w:rFonts w:hint="default" w:ascii="Times New Roman" w:hAnsi="Times New Roman" w:cs="Times New Roman"/>
                      <w:sz w:val="21"/>
                      <w:szCs w:val="21"/>
                      <w:u w:val="single"/>
                      <w:lang w:val="en-US" w:eastAsia="zh-CN"/>
                    </w:rPr>
                    <w:t>m</w:t>
                  </w:r>
                  <w:r>
                    <w:rPr>
                      <w:rFonts w:hint="default" w:ascii="Times New Roman" w:hAnsi="Times New Roman" w:cs="Times New Roman"/>
                      <w:sz w:val="21"/>
                      <w:szCs w:val="21"/>
                      <w:u w:val="single"/>
                      <w:vertAlign w:val="superscript"/>
                      <w:lang w:val="en-US" w:eastAsia="zh-CN"/>
                    </w:rPr>
                    <w:t>3</w:t>
                  </w:r>
                  <w:r>
                    <w:rPr>
                      <w:rFonts w:hint="default" w:ascii="Times New Roman" w:hAnsi="Times New Roman" w:cs="Times New Roman"/>
                      <w:color w:val="auto"/>
                      <w:sz w:val="21"/>
                      <w:szCs w:val="21"/>
                      <w:u w:val="single"/>
                      <w:lang w:val="en-US" w:eastAsia="zh-CN"/>
                    </w:rPr>
                    <w:t>/h</w:t>
                  </w:r>
                </w:p>
              </w:tc>
              <w:tc>
                <w:tcPr>
                  <w:tcW w:w="903" w:type="dxa"/>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一体化净水器1#</w:t>
                  </w:r>
                </w:p>
              </w:tc>
              <w:tc>
                <w:tcPr>
                  <w:tcW w:w="2604" w:type="dxa"/>
                  <w:gridSpan w:val="2"/>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无变化</w:t>
                  </w:r>
                </w:p>
              </w:tc>
              <w:tc>
                <w:tcPr>
                  <w:tcW w:w="715" w:type="dxa"/>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kern w:val="2"/>
                      <w:sz w:val="21"/>
                      <w:szCs w:val="21"/>
                      <w:u w:val="single"/>
                      <w:lang w:val="en-US" w:eastAsia="zh-CN" w:bidi="ar-SA"/>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4" w:hRule="atLeast"/>
                <w:jc w:val="center"/>
              </w:trPr>
              <w:tc>
                <w:tcPr>
                  <w:tcW w:w="408" w:type="dxa"/>
                  <w:vMerge w:val="continue"/>
                  <w:noWrap w:val="0"/>
                  <w:vAlign w:val="center"/>
                </w:tcPr>
                <w:p>
                  <w:pPr>
                    <w:pStyle w:val="37"/>
                    <w:jc w:val="center"/>
                    <w:rPr>
                      <w:rFonts w:hint="default" w:ascii="Times New Roman" w:hAnsi="Times New Roman" w:cs="Times New Roman"/>
                      <w:color w:val="auto"/>
                      <w:sz w:val="21"/>
                      <w:szCs w:val="21"/>
                      <w:u w:val="single"/>
                      <w:lang w:val="en-US" w:eastAsia="zh-CN"/>
                    </w:rPr>
                  </w:pPr>
                </w:p>
              </w:tc>
              <w:tc>
                <w:tcPr>
                  <w:tcW w:w="378" w:type="dxa"/>
                  <w:vMerge w:val="continue"/>
                  <w:noWrap w:val="0"/>
                  <w:vAlign w:val="center"/>
                </w:tcPr>
                <w:p>
                  <w:pPr>
                    <w:pStyle w:val="37"/>
                    <w:jc w:val="center"/>
                    <w:rPr>
                      <w:rFonts w:hint="default" w:ascii="Times New Roman" w:hAnsi="Times New Roman" w:cs="Times New Roman"/>
                      <w:color w:val="auto"/>
                      <w:sz w:val="21"/>
                      <w:szCs w:val="21"/>
                      <w:u w:val="single"/>
                      <w:lang w:val="en-US" w:eastAsia="zh-CN"/>
                    </w:rPr>
                  </w:pPr>
                </w:p>
              </w:tc>
              <w:tc>
                <w:tcPr>
                  <w:tcW w:w="599" w:type="dxa"/>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w:t>
                  </w:r>
                </w:p>
              </w:tc>
              <w:tc>
                <w:tcPr>
                  <w:tcW w:w="2481" w:type="dxa"/>
                  <w:gridSpan w:val="2"/>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w:t>
                  </w:r>
                </w:p>
              </w:tc>
              <w:tc>
                <w:tcPr>
                  <w:tcW w:w="903" w:type="dxa"/>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一体化净水器2#</w:t>
                  </w:r>
                </w:p>
              </w:tc>
              <w:tc>
                <w:tcPr>
                  <w:tcW w:w="2604" w:type="dxa"/>
                  <w:gridSpan w:val="2"/>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位于清水池西侧，建筑面积105m</w:t>
                  </w:r>
                  <w:r>
                    <w:rPr>
                      <w:rFonts w:hint="default" w:ascii="Times New Roman" w:hAnsi="Times New Roman" w:cs="Times New Roman"/>
                      <w:color w:val="auto"/>
                      <w:sz w:val="21"/>
                      <w:szCs w:val="21"/>
                      <w:u w:val="single"/>
                      <w:vertAlign w:val="superscript"/>
                      <w:lang w:val="en-US" w:eastAsia="zh-CN"/>
                    </w:rPr>
                    <w:t>2</w:t>
                  </w:r>
                  <w:r>
                    <w:rPr>
                      <w:rFonts w:hint="default" w:ascii="Times New Roman" w:hAnsi="Times New Roman" w:cs="Times New Roman"/>
                      <w:color w:val="auto"/>
                      <w:sz w:val="21"/>
                      <w:szCs w:val="21"/>
                      <w:u w:val="single"/>
                      <w:vertAlign w:val="baseline"/>
                      <w:lang w:val="en-US" w:eastAsia="zh-CN"/>
                    </w:rPr>
                    <w:t>，</w:t>
                  </w:r>
                  <w:r>
                    <w:rPr>
                      <w:rFonts w:hint="default" w:ascii="Times New Roman" w:hAnsi="Times New Roman" w:cs="Times New Roman"/>
                      <w:color w:val="auto"/>
                      <w:sz w:val="21"/>
                      <w:szCs w:val="21"/>
                      <w:u w:val="single"/>
                      <w:lang w:val="en-US" w:eastAsia="zh-CN"/>
                    </w:rPr>
                    <w:t>处理量150</w:t>
                  </w:r>
                  <w:r>
                    <w:rPr>
                      <w:rFonts w:hint="default" w:ascii="Times New Roman" w:hAnsi="Times New Roman" w:cs="Times New Roman"/>
                      <w:sz w:val="21"/>
                      <w:szCs w:val="21"/>
                      <w:u w:val="single"/>
                      <w:lang w:val="en-US" w:eastAsia="zh-CN"/>
                    </w:rPr>
                    <w:t>m</w:t>
                  </w:r>
                  <w:r>
                    <w:rPr>
                      <w:rFonts w:hint="default" w:ascii="Times New Roman" w:hAnsi="Times New Roman" w:cs="Times New Roman"/>
                      <w:sz w:val="21"/>
                      <w:szCs w:val="21"/>
                      <w:u w:val="single"/>
                      <w:vertAlign w:val="superscript"/>
                      <w:lang w:val="en-US" w:eastAsia="zh-CN"/>
                    </w:rPr>
                    <w:t>3</w:t>
                  </w:r>
                  <w:r>
                    <w:rPr>
                      <w:rFonts w:hint="default" w:ascii="Times New Roman" w:hAnsi="Times New Roman" w:cs="Times New Roman"/>
                      <w:color w:val="auto"/>
                      <w:sz w:val="21"/>
                      <w:szCs w:val="21"/>
                      <w:u w:val="single"/>
                      <w:lang w:val="en-US" w:eastAsia="zh-CN"/>
                    </w:rPr>
                    <w:t>/h</w:t>
                  </w:r>
                </w:p>
              </w:tc>
              <w:tc>
                <w:tcPr>
                  <w:tcW w:w="715" w:type="dxa"/>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4" w:hRule="atLeast"/>
                <w:jc w:val="center"/>
              </w:trPr>
              <w:tc>
                <w:tcPr>
                  <w:tcW w:w="408" w:type="dxa"/>
                  <w:vMerge w:val="continue"/>
                  <w:noWrap w:val="0"/>
                  <w:vAlign w:val="center"/>
                </w:tcPr>
                <w:p>
                  <w:pPr>
                    <w:pStyle w:val="37"/>
                    <w:jc w:val="center"/>
                    <w:rPr>
                      <w:rFonts w:hint="default" w:ascii="Times New Roman" w:hAnsi="Times New Roman" w:cs="Times New Roman"/>
                      <w:color w:val="auto"/>
                      <w:sz w:val="21"/>
                      <w:szCs w:val="21"/>
                      <w:u w:val="single"/>
                      <w:lang w:val="en-US" w:eastAsia="zh-CN"/>
                    </w:rPr>
                  </w:pPr>
                </w:p>
              </w:tc>
              <w:tc>
                <w:tcPr>
                  <w:tcW w:w="378" w:type="dxa"/>
                  <w:vMerge w:val="continue"/>
                  <w:noWrap w:val="0"/>
                  <w:vAlign w:val="center"/>
                </w:tcPr>
                <w:p>
                  <w:pPr>
                    <w:pStyle w:val="37"/>
                    <w:jc w:val="center"/>
                    <w:rPr>
                      <w:rFonts w:hint="default" w:ascii="Times New Roman" w:hAnsi="Times New Roman" w:cs="Times New Roman"/>
                      <w:color w:val="auto"/>
                      <w:sz w:val="21"/>
                      <w:szCs w:val="21"/>
                      <w:u w:val="single"/>
                      <w:lang w:val="en-US" w:eastAsia="zh-CN"/>
                    </w:rPr>
                  </w:pPr>
                </w:p>
              </w:tc>
              <w:tc>
                <w:tcPr>
                  <w:tcW w:w="599" w:type="dxa"/>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中和池</w:t>
                  </w:r>
                </w:p>
              </w:tc>
              <w:tc>
                <w:tcPr>
                  <w:tcW w:w="2481" w:type="dxa"/>
                  <w:gridSpan w:val="2"/>
                  <w:noWrap w:val="0"/>
                  <w:vAlign w:val="center"/>
                </w:tcPr>
                <w:p>
                  <w:pPr>
                    <w:pStyle w:val="37"/>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lang w:val="en-US" w:eastAsia="zh-CN"/>
                    </w:rPr>
                    <w:t>位于清水池西侧，容积125</w:t>
                  </w:r>
                  <w:r>
                    <w:rPr>
                      <w:rFonts w:hint="default" w:ascii="Times New Roman" w:hAnsi="Times New Roman" w:cs="Times New Roman"/>
                      <w:sz w:val="21"/>
                      <w:szCs w:val="21"/>
                      <w:u w:val="single"/>
                      <w:lang w:val="en-US" w:eastAsia="zh-CN"/>
                    </w:rPr>
                    <w:t>m</w:t>
                  </w:r>
                  <w:r>
                    <w:rPr>
                      <w:rFonts w:hint="default" w:ascii="Times New Roman" w:hAnsi="Times New Roman" w:cs="Times New Roman"/>
                      <w:sz w:val="21"/>
                      <w:szCs w:val="21"/>
                      <w:u w:val="single"/>
                      <w:vertAlign w:val="superscript"/>
                      <w:lang w:val="en-US" w:eastAsia="zh-CN"/>
                    </w:rPr>
                    <w:t>3</w:t>
                  </w:r>
                  <w:r>
                    <w:rPr>
                      <w:rFonts w:hint="default" w:ascii="Times New Roman" w:hAnsi="Times New Roman" w:cs="Times New Roman"/>
                      <w:sz w:val="21"/>
                      <w:szCs w:val="21"/>
                      <w:u w:val="single"/>
                      <w:vertAlign w:val="baseline"/>
                      <w:lang w:val="en-US" w:eastAsia="zh-CN"/>
                    </w:rPr>
                    <w:t>，用于中和制纯水树脂再生水</w:t>
                  </w:r>
                </w:p>
              </w:tc>
              <w:tc>
                <w:tcPr>
                  <w:tcW w:w="903" w:type="dxa"/>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中和池</w:t>
                  </w:r>
                </w:p>
              </w:tc>
              <w:tc>
                <w:tcPr>
                  <w:tcW w:w="2604" w:type="dxa"/>
                  <w:gridSpan w:val="2"/>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无变化</w:t>
                  </w:r>
                </w:p>
              </w:tc>
              <w:tc>
                <w:tcPr>
                  <w:tcW w:w="715" w:type="dxa"/>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kern w:val="2"/>
                      <w:sz w:val="21"/>
                      <w:szCs w:val="21"/>
                      <w:u w:val="single"/>
                      <w:lang w:val="en-US" w:eastAsia="zh-CN" w:bidi="ar-SA"/>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4" w:hRule="atLeast"/>
                <w:jc w:val="center"/>
              </w:trPr>
              <w:tc>
                <w:tcPr>
                  <w:tcW w:w="408" w:type="dxa"/>
                  <w:vMerge w:val="continue"/>
                  <w:noWrap w:val="0"/>
                  <w:vAlign w:val="center"/>
                </w:tcPr>
                <w:p>
                  <w:pPr>
                    <w:pStyle w:val="37"/>
                    <w:jc w:val="center"/>
                    <w:rPr>
                      <w:rFonts w:hint="default" w:ascii="Times New Roman" w:hAnsi="Times New Roman" w:cs="Times New Roman"/>
                      <w:color w:val="auto"/>
                      <w:sz w:val="21"/>
                      <w:szCs w:val="21"/>
                      <w:u w:val="single"/>
                      <w:lang w:val="en-US" w:eastAsia="zh-CN"/>
                    </w:rPr>
                  </w:pPr>
                </w:p>
              </w:tc>
              <w:tc>
                <w:tcPr>
                  <w:tcW w:w="378" w:type="dxa"/>
                  <w:vMerge w:val="continue"/>
                  <w:noWrap w:val="0"/>
                  <w:vAlign w:val="center"/>
                </w:tcPr>
                <w:p>
                  <w:pPr>
                    <w:pStyle w:val="37"/>
                    <w:jc w:val="center"/>
                    <w:rPr>
                      <w:rFonts w:hint="default" w:ascii="Times New Roman" w:hAnsi="Times New Roman" w:cs="Times New Roman"/>
                      <w:color w:val="auto"/>
                      <w:sz w:val="21"/>
                      <w:szCs w:val="21"/>
                      <w:u w:val="single"/>
                      <w:lang w:val="en-US" w:eastAsia="zh-CN"/>
                    </w:rPr>
                  </w:pPr>
                </w:p>
              </w:tc>
              <w:tc>
                <w:tcPr>
                  <w:tcW w:w="599" w:type="dxa"/>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净水池</w:t>
                  </w:r>
                </w:p>
              </w:tc>
              <w:tc>
                <w:tcPr>
                  <w:tcW w:w="2481" w:type="dxa"/>
                  <w:gridSpan w:val="2"/>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位于中和池南侧，容积81</w:t>
                  </w:r>
                  <w:r>
                    <w:rPr>
                      <w:rFonts w:hint="default" w:ascii="Times New Roman" w:hAnsi="Times New Roman" w:cs="Times New Roman"/>
                      <w:sz w:val="21"/>
                      <w:szCs w:val="21"/>
                      <w:u w:val="single"/>
                      <w:lang w:val="en-US" w:eastAsia="zh-CN"/>
                    </w:rPr>
                    <w:t>m</w:t>
                  </w:r>
                  <w:r>
                    <w:rPr>
                      <w:rFonts w:hint="default" w:ascii="Times New Roman" w:hAnsi="Times New Roman" w:cs="Times New Roman"/>
                      <w:sz w:val="21"/>
                      <w:szCs w:val="21"/>
                      <w:u w:val="single"/>
                      <w:vertAlign w:val="superscript"/>
                      <w:lang w:val="en-US" w:eastAsia="zh-CN"/>
                    </w:rPr>
                    <w:t>3</w:t>
                  </w:r>
                  <w:r>
                    <w:rPr>
                      <w:rFonts w:hint="default" w:ascii="Times New Roman" w:hAnsi="Times New Roman" w:cs="Times New Roman"/>
                      <w:sz w:val="21"/>
                      <w:szCs w:val="21"/>
                      <w:u w:val="single"/>
                      <w:vertAlign w:val="baseline"/>
                      <w:lang w:val="en-US" w:eastAsia="zh-CN"/>
                    </w:rPr>
                    <w:t>，用于收集回用水。</w:t>
                  </w:r>
                </w:p>
              </w:tc>
              <w:tc>
                <w:tcPr>
                  <w:tcW w:w="903" w:type="dxa"/>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净水池</w:t>
                  </w:r>
                </w:p>
              </w:tc>
              <w:tc>
                <w:tcPr>
                  <w:tcW w:w="2604" w:type="dxa"/>
                  <w:gridSpan w:val="2"/>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无变化</w:t>
                  </w:r>
                </w:p>
              </w:tc>
              <w:tc>
                <w:tcPr>
                  <w:tcW w:w="715" w:type="dxa"/>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kern w:val="2"/>
                      <w:sz w:val="21"/>
                      <w:szCs w:val="21"/>
                      <w:u w:val="single"/>
                      <w:lang w:val="en-US" w:eastAsia="zh-CN" w:bidi="ar-SA"/>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4" w:hRule="atLeast"/>
                <w:jc w:val="center"/>
              </w:trPr>
              <w:tc>
                <w:tcPr>
                  <w:tcW w:w="408" w:type="dxa"/>
                  <w:vMerge w:val="continue"/>
                  <w:noWrap w:val="0"/>
                  <w:vAlign w:val="center"/>
                </w:tcPr>
                <w:p>
                  <w:pPr>
                    <w:pStyle w:val="37"/>
                    <w:jc w:val="center"/>
                    <w:rPr>
                      <w:rFonts w:hint="default" w:ascii="Times New Roman" w:hAnsi="Times New Roman" w:cs="Times New Roman"/>
                      <w:color w:val="auto"/>
                      <w:sz w:val="21"/>
                      <w:szCs w:val="21"/>
                      <w:u w:val="single"/>
                      <w:lang w:val="en-US" w:eastAsia="zh-CN"/>
                    </w:rPr>
                  </w:pPr>
                </w:p>
              </w:tc>
              <w:tc>
                <w:tcPr>
                  <w:tcW w:w="378" w:type="dxa"/>
                  <w:vMerge w:val="continue"/>
                  <w:noWrap w:val="0"/>
                  <w:vAlign w:val="center"/>
                </w:tcPr>
                <w:p>
                  <w:pPr>
                    <w:pStyle w:val="37"/>
                    <w:jc w:val="center"/>
                    <w:rPr>
                      <w:rFonts w:hint="default" w:ascii="Times New Roman" w:hAnsi="Times New Roman" w:cs="Times New Roman"/>
                      <w:color w:val="auto"/>
                      <w:sz w:val="21"/>
                      <w:szCs w:val="21"/>
                      <w:u w:val="single"/>
                      <w:lang w:val="en-US" w:eastAsia="zh-CN"/>
                    </w:rPr>
                  </w:pPr>
                </w:p>
              </w:tc>
              <w:tc>
                <w:tcPr>
                  <w:tcW w:w="599" w:type="dxa"/>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反洗水调节池</w:t>
                  </w:r>
                </w:p>
              </w:tc>
              <w:tc>
                <w:tcPr>
                  <w:tcW w:w="2481" w:type="dxa"/>
                  <w:gridSpan w:val="2"/>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位于净水池南侧，容积67</w:t>
                  </w:r>
                  <w:r>
                    <w:rPr>
                      <w:rFonts w:hint="default" w:ascii="Times New Roman" w:hAnsi="Times New Roman" w:cs="Times New Roman"/>
                      <w:sz w:val="21"/>
                      <w:szCs w:val="21"/>
                      <w:u w:val="single"/>
                      <w:lang w:val="en-US" w:eastAsia="zh-CN"/>
                    </w:rPr>
                    <w:t>m</w:t>
                  </w:r>
                  <w:r>
                    <w:rPr>
                      <w:rFonts w:hint="default" w:ascii="Times New Roman" w:hAnsi="Times New Roman" w:cs="Times New Roman"/>
                      <w:sz w:val="21"/>
                      <w:szCs w:val="21"/>
                      <w:u w:val="single"/>
                      <w:vertAlign w:val="superscript"/>
                      <w:lang w:val="en-US" w:eastAsia="zh-CN"/>
                    </w:rPr>
                    <w:t>3</w:t>
                  </w:r>
                  <w:r>
                    <w:rPr>
                      <w:rFonts w:hint="default" w:ascii="Times New Roman" w:hAnsi="Times New Roman" w:cs="Times New Roman"/>
                      <w:sz w:val="21"/>
                      <w:szCs w:val="21"/>
                      <w:u w:val="single"/>
                      <w:vertAlign w:val="baseline"/>
                      <w:lang w:val="en-US" w:eastAsia="zh-CN"/>
                    </w:rPr>
                    <w:t>，</w:t>
                  </w:r>
                  <w:r>
                    <w:rPr>
                      <w:rFonts w:hint="default" w:ascii="Times New Roman" w:hAnsi="Times New Roman" w:cs="Times New Roman"/>
                      <w:color w:val="auto"/>
                      <w:sz w:val="21"/>
                      <w:szCs w:val="21"/>
                      <w:u w:val="single"/>
                      <w:lang w:val="en-US" w:eastAsia="zh-CN"/>
                    </w:rPr>
                    <w:t>用于一体化净水器反洗的沉淀</w:t>
                  </w:r>
                </w:p>
              </w:tc>
              <w:tc>
                <w:tcPr>
                  <w:tcW w:w="903" w:type="dxa"/>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反洗水调节池</w:t>
                  </w:r>
                </w:p>
              </w:tc>
              <w:tc>
                <w:tcPr>
                  <w:tcW w:w="2604" w:type="dxa"/>
                  <w:gridSpan w:val="2"/>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无变化</w:t>
                  </w:r>
                </w:p>
              </w:tc>
              <w:tc>
                <w:tcPr>
                  <w:tcW w:w="715" w:type="dxa"/>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kern w:val="2"/>
                      <w:sz w:val="21"/>
                      <w:szCs w:val="21"/>
                      <w:u w:val="single"/>
                      <w:lang w:val="en-US" w:eastAsia="zh-CN" w:bidi="ar-SA"/>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4" w:hRule="atLeast"/>
                <w:jc w:val="center"/>
              </w:trPr>
              <w:tc>
                <w:tcPr>
                  <w:tcW w:w="408" w:type="dxa"/>
                  <w:vMerge w:val="continue"/>
                  <w:noWrap w:val="0"/>
                  <w:vAlign w:val="center"/>
                </w:tcPr>
                <w:p>
                  <w:pPr>
                    <w:pStyle w:val="37"/>
                    <w:jc w:val="center"/>
                    <w:rPr>
                      <w:rFonts w:hint="default" w:ascii="Times New Roman" w:hAnsi="Times New Roman" w:cs="Times New Roman"/>
                      <w:color w:val="auto"/>
                      <w:sz w:val="21"/>
                      <w:szCs w:val="21"/>
                      <w:u w:val="single"/>
                      <w:lang w:val="en-US" w:eastAsia="zh-CN"/>
                    </w:rPr>
                  </w:pPr>
                </w:p>
              </w:tc>
              <w:tc>
                <w:tcPr>
                  <w:tcW w:w="378" w:type="dxa"/>
                  <w:vMerge w:val="continue"/>
                  <w:noWrap w:val="0"/>
                  <w:vAlign w:val="center"/>
                </w:tcPr>
                <w:p>
                  <w:pPr>
                    <w:pStyle w:val="37"/>
                    <w:jc w:val="center"/>
                    <w:rPr>
                      <w:rFonts w:hint="default" w:ascii="Times New Roman" w:hAnsi="Times New Roman" w:cs="Times New Roman"/>
                      <w:color w:val="auto"/>
                      <w:sz w:val="21"/>
                      <w:szCs w:val="21"/>
                      <w:u w:val="single"/>
                      <w:lang w:val="en-US" w:eastAsia="zh-CN"/>
                    </w:rPr>
                  </w:pPr>
                </w:p>
              </w:tc>
              <w:tc>
                <w:tcPr>
                  <w:tcW w:w="599" w:type="dxa"/>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废水收集池</w:t>
                  </w:r>
                </w:p>
              </w:tc>
              <w:tc>
                <w:tcPr>
                  <w:tcW w:w="2481" w:type="dxa"/>
                  <w:gridSpan w:val="2"/>
                  <w:noWrap w:val="0"/>
                  <w:vAlign w:val="center"/>
                </w:tcPr>
                <w:p>
                  <w:pPr>
                    <w:pStyle w:val="37"/>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lang w:val="en-US" w:eastAsia="zh-CN"/>
                    </w:rPr>
                    <w:t>位于中和池北侧，容积103</w:t>
                  </w:r>
                  <w:r>
                    <w:rPr>
                      <w:rFonts w:hint="default" w:ascii="Times New Roman" w:hAnsi="Times New Roman" w:cs="Times New Roman"/>
                      <w:sz w:val="21"/>
                      <w:szCs w:val="21"/>
                      <w:u w:val="single"/>
                      <w:lang w:val="en-US" w:eastAsia="zh-CN"/>
                    </w:rPr>
                    <w:t>m</w:t>
                  </w:r>
                  <w:r>
                    <w:rPr>
                      <w:rFonts w:hint="default" w:ascii="Times New Roman" w:hAnsi="Times New Roman" w:cs="Times New Roman"/>
                      <w:sz w:val="21"/>
                      <w:szCs w:val="21"/>
                      <w:u w:val="single"/>
                      <w:vertAlign w:val="superscript"/>
                      <w:lang w:val="en-US" w:eastAsia="zh-CN"/>
                    </w:rPr>
                    <w:t>3</w:t>
                  </w:r>
                  <w:r>
                    <w:rPr>
                      <w:rFonts w:hint="default" w:ascii="Times New Roman" w:hAnsi="Times New Roman" w:cs="Times New Roman"/>
                      <w:sz w:val="21"/>
                      <w:szCs w:val="21"/>
                      <w:u w:val="single"/>
                      <w:vertAlign w:val="baseline"/>
                      <w:lang w:val="en-US" w:eastAsia="zh-CN"/>
                    </w:rPr>
                    <w:t>，用于收集软水再生废水</w:t>
                  </w:r>
                </w:p>
              </w:tc>
              <w:tc>
                <w:tcPr>
                  <w:tcW w:w="903" w:type="dxa"/>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废水收集池</w:t>
                  </w:r>
                </w:p>
              </w:tc>
              <w:tc>
                <w:tcPr>
                  <w:tcW w:w="2604" w:type="dxa"/>
                  <w:gridSpan w:val="2"/>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无变化</w:t>
                  </w:r>
                </w:p>
              </w:tc>
              <w:tc>
                <w:tcPr>
                  <w:tcW w:w="715" w:type="dxa"/>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kern w:val="2"/>
                      <w:sz w:val="21"/>
                      <w:szCs w:val="21"/>
                      <w:u w:val="single"/>
                      <w:lang w:val="en-US" w:eastAsia="zh-CN" w:bidi="ar-SA"/>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4" w:hRule="atLeast"/>
                <w:jc w:val="center"/>
              </w:trPr>
              <w:tc>
                <w:tcPr>
                  <w:tcW w:w="408" w:type="dxa"/>
                  <w:vMerge w:val="continue"/>
                  <w:noWrap w:val="0"/>
                  <w:vAlign w:val="center"/>
                </w:tcPr>
                <w:p>
                  <w:pPr>
                    <w:pStyle w:val="37"/>
                    <w:jc w:val="center"/>
                    <w:rPr>
                      <w:rFonts w:hint="default" w:ascii="Times New Roman" w:hAnsi="Times New Roman" w:cs="Times New Roman"/>
                      <w:color w:val="auto"/>
                      <w:sz w:val="21"/>
                      <w:szCs w:val="21"/>
                      <w:u w:val="single"/>
                      <w:lang w:val="en-US" w:eastAsia="zh-CN"/>
                    </w:rPr>
                  </w:pPr>
                </w:p>
              </w:tc>
              <w:tc>
                <w:tcPr>
                  <w:tcW w:w="378" w:type="dxa"/>
                  <w:vMerge w:val="continue"/>
                  <w:noWrap w:val="0"/>
                  <w:vAlign w:val="center"/>
                </w:tcPr>
                <w:p>
                  <w:pPr>
                    <w:pStyle w:val="37"/>
                    <w:jc w:val="center"/>
                    <w:rPr>
                      <w:rFonts w:hint="default" w:ascii="Times New Roman" w:hAnsi="Times New Roman" w:cs="Times New Roman"/>
                      <w:color w:val="auto"/>
                      <w:sz w:val="21"/>
                      <w:szCs w:val="21"/>
                      <w:u w:val="single"/>
                      <w:lang w:val="en-US" w:eastAsia="zh-CN"/>
                    </w:rPr>
                  </w:pPr>
                </w:p>
              </w:tc>
              <w:tc>
                <w:tcPr>
                  <w:tcW w:w="599" w:type="dxa"/>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清水池</w:t>
                  </w:r>
                </w:p>
              </w:tc>
              <w:tc>
                <w:tcPr>
                  <w:tcW w:w="2481" w:type="dxa"/>
                  <w:gridSpan w:val="2"/>
                  <w:noWrap w:val="0"/>
                  <w:vAlign w:val="center"/>
                </w:tcPr>
                <w:p>
                  <w:pPr>
                    <w:pStyle w:val="37"/>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highlight w:val="none"/>
                      <w:u w:val="single"/>
                      <w:lang w:val="en-US" w:eastAsia="zh-CN"/>
                    </w:rPr>
                    <w:t>位于沉淀池东侧，占地600</w:t>
                  </w:r>
                  <w:r>
                    <w:rPr>
                      <w:rFonts w:hint="default" w:ascii="Times New Roman" w:hAnsi="Times New Roman" w:cs="Times New Roman"/>
                      <w:color w:val="auto"/>
                      <w:sz w:val="21"/>
                      <w:szCs w:val="21"/>
                      <w:u w:val="single"/>
                      <w:lang w:val="en-US" w:eastAsia="zh-CN"/>
                    </w:rPr>
                    <w:t>m</w:t>
                  </w:r>
                  <w:r>
                    <w:rPr>
                      <w:rFonts w:hint="default" w:ascii="Times New Roman" w:hAnsi="Times New Roman" w:cs="Times New Roman"/>
                      <w:color w:val="auto"/>
                      <w:sz w:val="21"/>
                      <w:szCs w:val="21"/>
                      <w:u w:val="single"/>
                      <w:vertAlign w:val="superscript"/>
                      <w:lang w:val="en-US" w:eastAsia="zh-CN"/>
                    </w:rPr>
                    <w:t>2</w:t>
                  </w:r>
                  <w:r>
                    <w:rPr>
                      <w:rFonts w:hint="default" w:ascii="Times New Roman" w:hAnsi="Times New Roman" w:cs="Times New Roman"/>
                      <w:color w:val="auto"/>
                      <w:sz w:val="21"/>
                      <w:szCs w:val="21"/>
                      <w:u w:val="single"/>
                      <w:vertAlign w:val="baseline"/>
                      <w:lang w:val="en-US" w:eastAsia="zh-CN"/>
                    </w:rPr>
                    <w:t>，</w:t>
                  </w:r>
                  <w:r>
                    <w:rPr>
                      <w:rFonts w:hint="default" w:ascii="Times New Roman" w:hAnsi="Times New Roman" w:cs="Times New Roman"/>
                      <w:color w:val="auto"/>
                      <w:sz w:val="21"/>
                      <w:szCs w:val="21"/>
                      <w:highlight w:val="none"/>
                      <w:u w:val="single"/>
                      <w:lang w:val="en-US" w:eastAsia="zh-CN"/>
                    </w:rPr>
                    <w:t>容积2000</w:t>
                  </w:r>
                  <w:r>
                    <w:rPr>
                      <w:rFonts w:hint="default" w:ascii="Times New Roman" w:hAnsi="Times New Roman" w:cs="Times New Roman"/>
                      <w:sz w:val="21"/>
                      <w:szCs w:val="21"/>
                      <w:highlight w:val="none"/>
                      <w:u w:val="single"/>
                      <w:lang w:val="en-US" w:eastAsia="zh-CN"/>
                    </w:rPr>
                    <w:t>m</w:t>
                  </w:r>
                  <w:r>
                    <w:rPr>
                      <w:rFonts w:hint="default" w:ascii="Times New Roman" w:hAnsi="Times New Roman" w:cs="Times New Roman"/>
                      <w:sz w:val="21"/>
                      <w:szCs w:val="21"/>
                      <w:highlight w:val="none"/>
                      <w:u w:val="single"/>
                      <w:vertAlign w:val="superscript"/>
                      <w:lang w:val="en-US" w:eastAsia="zh-CN"/>
                    </w:rPr>
                    <w:t>3</w:t>
                  </w:r>
                  <w:r>
                    <w:rPr>
                      <w:rFonts w:hint="default" w:ascii="Times New Roman" w:hAnsi="Times New Roman" w:cs="Times New Roman"/>
                      <w:sz w:val="21"/>
                      <w:szCs w:val="21"/>
                      <w:highlight w:val="none"/>
                      <w:u w:val="single"/>
                      <w:vertAlign w:val="baseline"/>
                      <w:lang w:val="en-US" w:eastAsia="zh-CN"/>
                    </w:rPr>
                    <w:t>。</w:t>
                  </w:r>
                </w:p>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用于收集初步净化水</w:t>
                  </w:r>
                </w:p>
              </w:tc>
              <w:tc>
                <w:tcPr>
                  <w:tcW w:w="903" w:type="dxa"/>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清水池</w:t>
                  </w:r>
                </w:p>
              </w:tc>
              <w:tc>
                <w:tcPr>
                  <w:tcW w:w="2604" w:type="dxa"/>
                  <w:gridSpan w:val="2"/>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无变化</w:t>
                  </w:r>
                </w:p>
              </w:tc>
              <w:tc>
                <w:tcPr>
                  <w:tcW w:w="715" w:type="dxa"/>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kern w:val="2"/>
                      <w:sz w:val="21"/>
                      <w:szCs w:val="21"/>
                      <w:u w:val="single"/>
                      <w:lang w:val="en-US" w:eastAsia="zh-CN" w:bidi="ar-SA"/>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13" w:hRule="atLeast"/>
                <w:jc w:val="center"/>
              </w:trPr>
              <w:tc>
                <w:tcPr>
                  <w:tcW w:w="408" w:type="dxa"/>
                  <w:noWrap w:val="0"/>
                  <w:vAlign w:val="center"/>
                </w:tcPr>
                <w:p>
                  <w:pPr>
                    <w:pStyle w:val="37"/>
                    <w:jc w:val="center"/>
                    <w:rPr>
                      <w:rFonts w:hint="default" w:ascii="Times New Roman" w:hAnsi="Times New Roman" w:cs="Times New Roman"/>
                      <w:color w:val="auto"/>
                      <w:sz w:val="21"/>
                      <w:szCs w:val="21"/>
                      <w:u w:val="single"/>
                      <w:lang w:eastAsia="zh-CN"/>
                    </w:rPr>
                  </w:pPr>
                  <w:r>
                    <w:rPr>
                      <w:rFonts w:hint="default" w:ascii="Times New Roman" w:hAnsi="Times New Roman" w:cs="Times New Roman"/>
                      <w:color w:val="000000"/>
                      <w:sz w:val="21"/>
                      <w:szCs w:val="21"/>
                      <w:u w:val="single"/>
                      <w:lang w:eastAsia="zh-CN"/>
                    </w:rPr>
                    <w:t>仓储工程</w:t>
                  </w:r>
                </w:p>
              </w:tc>
              <w:tc>
                <w:tcPr>
                  <w:tcW w:w="977" w:type="dxa"/>
                  <w:gridSpan w:val="2"/>
                  <w:noWrap w:val="0"/>
                  <w:vAlign w:val="center"/>
                </w:tcPr>
                <w:p>
                  <w:pPr>
                    <w:pStyle w:val="37"/>
                    <w:jc w:val="center"/>
                    <w:rPr>
                      <w:rFonts w:hint="default" w:ascii="Times New Roman" w:hAnsi="Times New Roman" w:cs="Times New Roman"/>
                      <w:color w:val="000000"/>
                      <w:sz w:val="21"/>
                      <w:szCs w:val="21"/>
                      <w:u w:val="single"/>
                      <w:lang w:val="en-US" w:eastAsia="zh-CN"/>
                    </w:rPr>
                  </w:pPr>
                  <w:r>
                    <w:rPr>
                      <w:rFonts w:hint="default" w:ascii="Times New Roman" w:hAnsi="Times New Roman" w:cs="Times New Roman"/>
                      <w:color w:val="000000"/>
                      <w:sz w:val="21"/>
                      <w:szCs w:val="21"/>
                      <w:u w:val="single"/>
                      <w:lang w:val="en-US" w:eastAsia="zh-CN"/>
                    </w:rPr>
                    <w:t>辅料仓库</w:t>
                  </w:r>
                </w:p>
              </w:tc>
              <w:tc>
                <w:tcPr>
                  <w:tcW w:w="1173" w:type="dxa"/>
                  <w:noWrap w:val="0"/>
                  <w:vAlign w:val="center"/>
                </w:tcPr>
                <w:p>
                  <w:pPr>
                    <w:pStyle w:val="37"/>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建筑面积166m</w:t>
                  </w:r>
                  <w:r>
                    <w:rPr>
                      <w:rFonts w:hint="default" w:ascii="Times New Roman" w:hAnsi="Times New Roman" w:eastAsia="宋体" w:cs="Times New Roman"/>
                      <w:color w:val="auto"/>
                      <w:sz w:val="21"/>
                      <w:szCs w:val="21"/>
                      <w:u w:val="single"/>
                      <w:vertAlign w:val="superscript"/>
                      <w:lang w:val="en-US" w:eastAsia="zh-CN"/>
                    </w:rPr>
                    <w:t>2</w:t>
                  </w:r>
                </w:p>
              </w:tc>
              <w:tc>
                <w:tcPr>
                  <w:tcW w:w="1308" w:type="dxa"/>
                  <w:noWrap w:val="0"/>
                  <w:vAlign w:val="center"/>
                </w:tcPr>
                <w:p>
                  <w:pPr>
                    <w:pStyle w:val="37"/>
                    <w:jc w:val="center"/>
                    <w:rPr>
                      <w:rFonts w:hint="default" w:ascii="Times New Roman" w:hAnsi="Times New Roman" w:cs="Times New Roman"/>
                      <w:color w:val="000000"/>
                      <w:kern w:val="2"/>
                      <w:sz w:val="21"/>
                      <w:szCs w:val="21"/>
                      <w:u w:val="single"/>
                      <w:lang w:val="en-US" w:eastAsia="zh-CN" w:bidi="ar-SA"/>
                    </w:rPr>
                  </w:pPr>
                  <w:r>
                    <w:rPr>
                      <w:rFonts w:hint="default" w:ascii="Times New Roman" w:hAnsi="Times New Roman" w:cs="Times New Roman"/>
                      <w:color w:val="000000"/>
                      <w:kern w:val="2"/>
                      <w:sz w:val="21"/>
                      <w:szCs w:val="21"/>
                      <w:u w:val="single"/>
                      <w:lang w:val="en-US" w:eastAsia="zh-CN" w:bidi="ar-SA"/>
                    </w:rPr>
                    <w:t>主要储存外购的辅料</w:t>
                  </w:r>
                </w:p>
              </w:tc>
              <w:tc>
                <w:tcPr>
                  <w:tcW w:w="903" w:type="dxa"/>
                  <w:noWrap w:val="0"/>
                  <w:vAlign w:val="center"/>
                </w:tcPr>
                <w:p>
                  <w:pPr>
                    <w:pStyle w:val="37"/>
                    <w:jc w:val="center"/>
                    <w:rPr>
                      <w:rFonts w:hint="default" w:ascii="Times New Roman" w:hAnsi="Times New Roman" w:cs="Times New Roman"/>
                      <w:color w:val="000000"/>
                      <w:kern w:val="2"/>
                      <w:sz w:val="21"/>
                      <w:szCs w:val="21"/>
                      <w:u w:val="single"/>
                      <w:lang w:val="en-US" w:eastAsia="zh-CN" w:bidi="ar-SA"/>
                    </w:rPr>
                  </w:pPr>
                  <w:r>
                    <w:rPr>
                      <w:rFonts w:hint="default" w:ascii="Times New Roman" w:hAnsi="Times New Roman" w:cs="Times New Roman"/>
                      <w:color w:val="000000"/>
                      <w:sz w:val="21"/>
                      <w:szCs w:val="21"/>
                      <w:u w:val="single"/>
                      <w:lang w:val="en-US" w:eastAsia="zh-CN"/>
                    </w:rPr>
                    <w:t>辅料仓库</w:t>
                  </w:r>
                </w:p>
              </w:tc>
              <w:tc>
                <w:tcPr>
                  <w:tcW w:w="2604" w:type="dxa"/>
                  <w:gridSpan w:val="2"/>
                  <w:noWrap w:val="0"/>
                  <w:vAlign w:val="center"/>
                </w:tcPr>
                <w:p>
                  <w:pPr>
                    <w:pStyle w:val="37"/>
                    <w:jc w:val="center"/>
                    <w:rPr>
                      <w:rFonts w:hint="default" w:ascii="Times New Roman" w:hAnsi="Times New Roman"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无变化</w:t>
                  </w:r>
                </w:p>
              </w:tc>
              <w:tc>
                <w:tcPr>
                  <w:tcW w:w="715" w:type="dxa"/>
                  <w:noWrap w:val="0"/>
                  <w:vAlign w:val="center"/>
                </w:tcPr>
                <w:p>
                  <w:pPr>
                    <w:pStyle w:val="37"/>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408" w:type="dxa"/>
                  <w:vMerge w:val="restart"/>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公用工程</w:t>
                  </w:r>
                </w:p>
              </w:tc>
              <w:tc>
                <w:tcPr>
                  <w:tcW w:w="977" w:type="dxa"/>
                  <w:gridSpan w:val="2"/>
                  <w:noWrap w:val="0"/>
                  <w:vAlign w:val="center"/>
                </w:tcPr>
                <w:p>
                  <w:pPr>
                    <w:pStyle w:val="37"/>
                    <w:jc w:val="center"/>
                    <w:rPr>
                      <w:rFonts w:hint="default" w:ascii="Times New Roman" w:hAnsi="Times New Roman" w:cs="Times New Roman"/>
                      <w:color w:val="auto"/>
                      <w:kern w:val="2"/>
                      <w:sz w:val="21"/>
                      <w:szCs w:val="21"/>
                      <w:u w:val="single"/>
                      <w:lang w:val="en-US" w:eastAsia="zh-CN" w:bidi="ar-SA"/>
                    </w:rPr>
                  </w:pPr>
                  <w:r>
                    <w:rPr>
                      <w:rFonts w:hint="default" w:ascii="Times New Roman" w:hAnsi="Times New Roman" w:cs="Times New Roman"/>
                      <w:color w:val="auto"/>
                      <w:kern w:val="2"/>
                      <w:sz w:val="21"/>
                      <w:szCs w:val="21"/>
                      <w:u w:val="single"/>
                      <w:lang w:val="en-US" w:eastAsia="zh-CN" w:bidi="ar-SA"/>
                    </w:rPr>
                    <w:t>供电</w:t>
                  </w:r>
                </w:p>
              </w:tc>
              <w:tc>
                <w:tcPr>
                  <w:tcW w:w="2481" w:type="dxa"/>
                  <w:gridSpan w:val="2"/>
                  <w:noWrap w:val="0"/>
                  <w:vAlign w:val="center"/>
                </w:tcPr>
                <w:p>
                  <w:pPr>
                    <w:pStyle w:val="37"/>
                    <w:jc w:val="center"/>
                    <w:rPr>
                      <w:rFonts w:hint="default" w:ascii="Times New Roman" w:hAnsi="Times New Roman" w:cs="Times New Roman"/>
                      <w:color w:val="auto"/>
                      <w:kern w:val="2"/>
                      <w:sz w:val="21"/>
                      <w:szCs w:val="21"/>
                      <w:u w:val="single"/>
                      <w:lang w:val="en-US" w:eastAsia="zh-CN" w:bidi="ar-SA"/>
                    </w:rPr>
                  </w:pPr>
                  <w:r>
                    <w:rPr>
                      <w:rFonts w:hint="default" w:ascii="Times New Roman" w:hAnsi="Times New Roman" w:cs="Times New Roman"/>
                      <w:color w:val="auto"/>
                      <w:sz w:val="21"/>
                      <w:szCs w:val="21"/>
                      <w:u w:val="single"/>
                      <w:lang w:val="en-US" w:eastAsia="zh-CN"/>
                    </w:rPr>
                    <w:t>园区电网</w:t>
                  </w:r>
                  <w:r>
                    <w:rPr>
                      <w:rFonts w:hint="default" w:ascii="Times New Roman" w:hAnsi="Times New Roman" w:cs="Times New Roman"/>
                      <w:color w:val="auto"/>
                      <w:sz w:val="21"/>
                      <w:szCs w:val="21"/>
                      <w:u w:val="single"/>
                    </w:rPr>
                    <w:t>供电系统供给</w:t>
                  </w:r>
                </w:p>
              </w:tc>
              <w:tc>
                <w:tcPr>
                  <w:tcW w:w="903" w:type="dxa"/>
                  <w:noWrap w:val="0"/>
                  <w:vAlign w:val="center"/>
                </w:tcPr>
                <w:p>
                  <w:pPr>
                    <w:pStyle w:val="37"/>
                    <w:jc w:val="center"/>
                    <w:rPr>
                      <w:rFonts w:hint="default" w:ascii="Times New Roman" w:hAnsi="Times New Roman" w:cs="Times New Roman"/>
                      <w:color w:val="auto"/>
                      <w:kern w:val="2"/>
                      <w:sz w:val="21"/>
                      <w:szCs w:val="21"/>
                      <w:u w:val="single"/>
                      <w:lang w:val="en-US" w:eastAsia="zh-CN" w:bidi="ar-SA"/>
                    </w:rPr>
                  </w:pPr>
                  <w:r>
                    <w:rPr>
                      <w:rFonts w:hint="default" w:ascii="Times New Roman" w:hAnsi="Times New Roman" w:cs="Times New Roman"/>
                      <w:color w:val="auto"/>
                      <w:kern w:val="2"/>
                      <w:sz w:val="21"/>
                      <w:szCs w:val="21"/>
                      <w:u w:val="single"/>
                      <w:lang w:val="en-US" w:eastAsia="zh-CN" w:bidi="ar-SA"/>
                    </w:rPr>
                    <w:t>供电</w:t>
                  </w:r>
                </w:p>
              </w:tc>
              <w:tc>
                <w:tcPr>
                  <w:tcW w:w="2604" w:type="dxa"/>
                  <w:gridSpan w:val="2"/>
                  <w:noWrap w:val="0"/>
                  <w:vAlign w:val="center"/>
                </w:tcPr>
                <w:p>
                  <w:pPr>
                    <w:pStyle w:val="37"/>
                    <w:jc w:val="center"/>
                    <w:rPr>
                      <w:rFonts w:hint="default" w:ascii="Times New Roman" w:hAnsi="Times New Roman" w:cs="Times New Roman"/>
                      <w:color w:val="auto"/>
                      <w:sz w:val="21"/>
                      <w:szCs w:val="21"/>
                      <w:u w:val="single"/>
                      <w:lang w:eastAsia="zh-CN"/>
                    </w:rPr>
                  </w:pPr>
                  <w:r>
                    <w:rPr>
                      <w:rFonts w:hint="default" w:ascii="Times New Roman" w:hAnsi="Times New Roman" w:cs="Times New Roman"/>
                      <w:color w:val="auto"/>
                      <w:sz w:val="21"/>
                      <w:szCs w:val="21"/>
                      <w:u w:val="single"/>
                      <w:lang w:val="en-US" w:eastAsia="zh-CN"/>
                    </w:rPr>
                    <w:t>无变化</w:t>
                  </w:r>
                </w:p>
              </w:tc>
              <w:tc>
                <w:tcPr>
                  <w:tcW w:w="715" w:type="dxa"/>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eastAsia="宋体" w:cs="Times New Roman"/>
                      <w:color w:val="auto"/>
                      <w:kern w:val="2"/>
                      <w:sz w:val="21"/>
                      <w:szCs w:val="21"/>
                      <w:u w:val="single"/>
                      <w:lang w:val="en-US" w:eastAsia="zh-CN" w:bidi="ar-SA"/>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408" w:type="dxa"/>
                  <w:vMerge w:val="continue"/>
                  <w:noWrap w:val="0"/>
                  <w:vAlign w:val="center"/>
                </w:tcPr>
                <w:p>
                  <w:pPr>
                    <w:pStyle w:val="37"/>
                    <w:jc w:val="center"/>
                    <w:rPr>
                      <w:rFonts w:hint="default" w:ascii="Times New Roman" w:hAnsi="Times New Roman" w:cs="Times New Roman"/>
                      <w:color w:val="auto"/>
                      <w:sz w:val="21"/>
                      <w:szCs w:val="21"/>
                      <w:u w:val="single"/>
                      <w:lang w:val="en-US" w:eastAsia="zh-CN"/>
                    </w:rPr>
                  </w:pPr>
                </w:p>
              </w:tc>
              <w:tc>
                <w:tcPr>
                  <w:tcW w:w="977" w:type="dxa"/>
                  <w:gridSpan w:val="2"/>
                  <w:noWrap w:val="0"/>
                  <w:vAlign w:val="center"/>
                </w:tcPr>
                <w:p>
                  <w:pPr>
                    <w:pStyle w:val="37"/>
                    <w:jc w:val="center"/>
                    <w:rPr>
                      <w:rFonts w:hint="default" w:ascii="Times New Roman" w:hAnsi="Times New Roman" w:cs="Times New Roman"/>
                      <w:color w:val="auto"/>
                      <w:kern w:val="2"/>
                      <w:sz w:val="21"/>
                      <w:szCs w:val="21"/>
                      <w:u w:val="single"/>
                      <w:lang w:val="en-US" w:eastAsia="zh-CN" w:bidi="ar-SA"/>
                    </w:rPr>
                  </w:pPr>
                  <w:r>
                    <w:rPr>
                      <w:rFonts w:hint="default" w:ascii="Times New Roman" w:hAnsi="Times New Roman" w:cs="Times New Roman"/>
                      <w:color w:val="auto"/>
                      <w:kern w:val="2"/>
                      <w:sz w:val="21"/>
                      <w:szCs w:val="21"/>
                      <w:u w:val="single"/>
                      <w:lang w:val="en-US" w:eastAsia="zh-CN" w:bidi="ar-SA"/>
                    </w:rPr>
                    <w:t>供水</w:t>
                  </w:r>
                </w:p>
              </w:tc>
              <w:tc>
                <w:tcPr>
                  <w:tcW w:w="2481" w:type="dxa"/>
                  <w:gridSpan w:val="2"/>
                  <w:noWrap w:val="0"/>
                  <w:vAlign w:val="center"/>
                </w:tcPr>
                <w:p>
                  <w:pPr>
                    <w:pStyle w:val="37"/>
                    <w:jc w:val="center"/>
                    <w:rPr>
                      <w:rFonts w:hint="default" w:ascii="Times New Roman" w:hAnsi="Times New Roman" w:cs="Times New Roman"/>
                      <w:color w:val="auto"/>
                      <w:kern w:val="2"/>
                      <w:sz w:val="21"/>
                      <w:szCs w:val="21"/>
                      <w:u w:val="single"/>
                      <w:lang w:val="en-US" w:eastAsia="zh-CN" w:bidi="ar-SA"/>
                    </w:rPr>
                  </w:pPr>
                  <w:r>
                    <w:rPr>
                      <w:rFonts w:hint="default" w:ascii="Times New Roman" w:hAnsi="Times New Roman" w:cs="Times New Roman"/>
                      <w:color w:val="auto"/>
                      <w:sz w:val="21"/>
                      <w:szCs w:val="21"/>
                      <w:u w:val="single"/>
                      <w:lang w:val="en-US" w:eastAsia="zh-CN"/>
                    </w:rPr>
                    <w:t>生活用水由园区自来水管网供应，生产用水利用现有抽水泵从沅江抽取</w:t>
                  </w:r>
                </w:p>
              </w:tc>
              <w:tc>
                <w:tcPr>
                  <w:tcW w:w="903" w:type="dxa"/>
                  <w:noWrap w:val="0"/>
                  <w:vAlign w:val="center"/>
                </w:tcPr>
                <w:p>
                  <w:pPr>
                    <w:pStyle w:val="37"/>
                    <w:jc w:val="center"/>
                    <w:rPr>
                      <w:rFonts w:hint="default" w:ascii="Times New Roman" w:hAnsi="Times New Roman" w:cs="Times New Roman"/>
                      <w:color w:val="auto"/>
                      <w:kern w:val="2"/>
                      <w:sz w:val="21"/>
                      <w:szCs w:val="21"/>
                      <w:u w:val="single"/>
                      <w:lang w:val="en-US" w:eastAsia="zh-CN" w:bidi="ar-SA"/>
                    </w:rPr>
                  </w:pPr>
                  <w:r>
                    <w:rPr>
                      <w:rFonts w:hint="default" w:ascii="Times New Roman" w:hAnsi="Times New Roman" w:cs="Times New Roman"/>
                      <w:color w:val="auto"/>
                      <w:kern w:val="2"/>
                      <w:sz w:val="21"/>
                      <w:szCs w:val="21"/>
                      <w:u w:val="single"/>
                      <w:lang w:val="en-US" w:eastAsia="zh-CN" w:bidi="ar-SA"/>
                    </w:rPr>
                    <w:t>供水</w:t>
                  </w:r>
                </w:p>
              </w:tc>
              <w:tc>
                <w:tcPr>
                  <w:tcW w:w="2604" w:type="dxa"/>
                  <w:gridSpan w:val="2"/>
                  <w:noWrap w:val="0"/>
                  <w:vAlign w:val="center"/>
                </w:tcPr>
                <w:p>
                  <w:pPr>
                    <w:pStyle w:val="37"/>
                    <w:jc w:val="center"/>
                    <w:rPr>
                      <w:rFonts w:hint="default" w:ascii="Times New Roman" w:hAnsi="Times New Roman" w:cs="Times New Roman"/>
                      <w:color w:val="auto"/>
                      <w:sz w:val="21"/>
                      <w:szCs w:val="21"/>
                      <w:u w:val="single"/>
                      <w:lang w:eastAsia="zh-CN"/>
                    </w:rPr>
                  </w:pPr>
                  <w:r>
                    <w:rPr>
                      <w:rFonts w:hint="default" w:ascii="Times New Roman" w:hAnsi="Times New Roman" w:cs="Times New Roman"/>
                      <w:color w:val="auto"/>
                      <w:sz w:val="21"/>
                      <w:szCs w:val="21"/>
                      <w:u w:val="single"/>
                      <w:lang w:val="en-US" w:eastAsia="zh-CN"/>
                    </w:rPr>
                    <w:t>无变化</w:t>
                  </w:r>
                </w:p>
              </w:tc>
              <w:tc>
                <w:tcPr>
                  <w:tcW w:w="715" w:type="dxa"/>
                  <w:noWrap w:val="0"/>
                  <w:vAlign w:val="center"/>
                </w:tcPr>
                <w:p>
                  <w:pPr>
                    <w:pStyle w:val="37"/>
                    <w:jc w:val="center"/>
                    <w:rPr>
                      <w:rFonts w:hint="default" w:ascii="Times New Roman" w:hAnsi="Times New Roman" w:cs="Times New Roman"/>
                      <w:color w:val="auto"/>
                      <w:sz w:val="21"/>
                      <w:szCs w:val="21"/>
                      <w:u w:val="single"/>
                      <w:lang w:eastAsia="zh-CN"/>
                    </w:rPr>
                  </w:pPr>
                  <w:r>
                    <w:rPr>
                      <w:rFonts w:hint="default" w:ascii="Times New Roman" w:hAnsi="Times New Roman" w:eastAsia="宋体" w:cs="Times New Roman"/>
                      <w:color w:val="auto"/>
                      <w:kern w:val="2"/>
                      <w:sz w:val="21"/>
                      <w:szCs w:val="21"/>
                      <w:u w:val="single"/>
                      <w:lang w:val="en-US" w:eastAsia="zh-CN" w:bidi="ar-SA"/>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408" w:type="dxa"/>
                  <w:vMerge w:val="restart"/>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环保工程</w:t>
                  </w:r>
                </w:p>
              </w:tc>
              <w:tc>
                <w:tcPr>
                  <w:tcW w:w="977" w:type="dxa"/>
                  <w:gridSpan w:val="2"/>
                  <w:vMerge w:val="restart"/>
                  <w:noWrap w:val="0"/>
                  <w:vAlign w:val="center"/>
                </w:tcPr>
                <w:p>
                  <w:pPr>
                    <w:pStyle w:val="37"/>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废水</w:t>
                  </w:r>
                </w:p>
              </w:tc>
              <w:tc>
                <w:tcPr>
                  <w:tcW w:w="1173" w:type="dxa"/>
                  <w:noWrap w:val="0"/>
                  <w:vAlign w:val="center"/>
                </w:tcPr>
                <w:p>
                  <w:pPr>
                    <w:pStyle w:val="37"/>
                    <w:jc w:val="center"/>
                    <w:rPr>
                      <w:rFonts w:hint="default" w:ascii="Times New Roman" w:hAnsi="Times New Roman" w:eastAsia="宋体" w:cs="Times New Roman"/>
                      <w:snapToGrid w:val="0"/>
                      <w:color w:val="auto"/>
                      <w:sz w:val="21"/>
                      <w:szCs w:val="21"/>
                      <w:u w:val="single"/>
                      <w:lang w:val="en-US" w:eastAsia="zh-CN"/>
                    </w:rPr>
                  </w:pPr>
                  <w:r>
                    <w:rPr>
                      <w:rFonts w:hint="default" w:ascii="Times New Roman" w:hAnsi="Times New Roman" w:eastAsia="宋体" w:cs="Times New Roman"/>
                      <w:snapToGrid w:val="0"/>
                      <w:color w:val="auto"/>
                      <w:sz w:val="21"/>
                      <w:szCs w:val="21"/>
                      <w:u w:val="single"/>
                      <w:lang w:val="en-US" w:eastAsia="zh-CN"/>
                    </w:rPr>
                    <w:t>生活污水</w:t>
                  </w:r>
                </w:p>
              </w:tc>
              <w:tc>
                <w:tcPr>
                  <w:tcW w:w="1308" w:type="dxa"/>
                  <w:noWrap w:val="0"/>
                  <w:vAlign w:val="center"/>
                </w:tcPr>
                <w:p>
                  <w:pPr>
                    <w:pStyle w:val="37"/>
                    <w:jc w:val="center"/>
                    <w:rPr>
                      <w:rFonts w:hint="default" w:ascii="Times New Roman" w:hAnsi="Times New Roman" w:cs="Times New Roman"/>
                      <w:snapToGrid w:val="0"/>
                      <w:color w:val="auto"/>
                      <w:sz w:val="21"/>
                      <w:szCs w:val="21"/>
                      <w:u w:val="single"/>
                    </w:rPr>
                  </w:pPr>
                  <w:r>
                    <w:rPr>
                      <w:rFonts w:hint="default" w:ascii="Times New Roman" w:hAnsi="Times New Roman" w:cs="Times New Roman"/>
                      <w:color w:val="auto"/>
                      <w:sz w:val="21"/>
                      <w:szCs w:val="21"/>
                      <w:u w:val="single"/>
                      <w:lang w:val="en-US" w:eastAsia="zh-CN"/>
                    </w:rPr>
                    <w:t>本项目不新增生活污水</w:t>
                  </w:r>
                </w:p>
              </w:tc>
              <w:tc>
                <w:tcPr>
                  <w:tcW w:w="903" w:type="dxa"/>
                  <w:vMerge w:val="restart"/>
                  <w:noWrap w:val="0"/>
                  <w:vAlign w:val="center"/>
                </w:tcPr>
                <w:p>
                  <w:pPr>
                    <w:pStyle w:val="37"/>
                    <w:jc w:val="center"/>
                    <w:rPr>
                      <w:rFonts w:hint="default" w:ascii="Times New Roman" w:hAnsi="Times New Roman" w:eastAsia="宋体" w:cs="Times New Roman"/>
                      <w:snapToGrid w:val="0"/>
                      <w:color w:val="auto"/>
                      <w:kern w:val="2"/>
                      <w:sz w:val="21"/>
                      <w:szCs w:val="21"/>
                      <w:u w:val="single"/>
                      <w:lang w:val="en-US" w:eastAsia="zh-CN" w:bidi="ar-SA"/>
                    </w:rPr>
                  </w:pPr>
                  <w:r>
                    <w:rPr>
                      <w:rFonts w:hint="default" w:ascii="Times New Roman" w:hAnsi="Times New Roman" w:cs="Times New Roman"/>
                      <w:color w:val="auto"/>
                      <w:sz w:val="21"/>
                      <w:szCs w:val="21"/>
                      <w:u w:val="single"/>
                      <w:lang w:val="en-US" w:eastAsia="zh-CN"/>
                    </w:rPr>
                    <w:t>废水</w:t>
                  </w:r>
                </w:p>
              </w:tc>
              <w:tc>
                <w:tcPr>
                  <w:tcW w:w="2604" w:type="dxa"/>
                  <w:gridSpan w:val="2"/>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无变化</w:t>
                  </w:r>
                </w:p>
              </w:tc>
              <w:tc>
                <w:tcPr>
                  <w:tcW w:w="715" w:type="dxa"/>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kern w:val="2"/>
                      <w:sz w:val="21"/>
                      <w:szCs w:val="21"/>
                      <w:u w:val="singl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363" w:hRule="atLeast"/>
                <w:jc w:val="center"/>
              </w:trPr>
              <w:tc>
                <w:tcPr>
                  <w:tcW w:w="408" w:type="dxa"/>
                  <w:vMerge w:val="continue"/>
                  <w:noWrap w:val="0"/>
                  <w:vAlign w:val="center"/>
                </w:tcPr>
                <w:p>
                  <w:pPr>
                    <w:pStyle w:val="37"/>
                    <w:jc w:val="center"/>
                    <w:rPr>
                      <w:rFonts w:hint="default" w:ascii="Times New Roman" w:hAnsi="Times New Roman" w:cs="Times New Roman"/>
                      <w:color w:val="auto"/>
                      <w:sz w:val="21"/>
                      <w:szCs w:val="21"/>
                      <w:u w:val="single"/>
                      <w:lang w:val="en-US" w:eastAsia="zh-CN"/>
                    </w:rPr>
                  </w:pPr>
                </w:p>
              </w:tc>
              <w:tc>
                <w:tcPr>
                  <w:tcW w:w="977" w:type="dxa"/>
                  <w:gridSpan w:val="2"/>
                  <w:vMerge w:val="continue"/>
                  <w:noWrap w:val="0"/>
                  <w:vAlign w:val="center"/>
                </w:tcPr>
                <w:p>
                  <w:pPr>
                    <w:pStyle w:val="37"/>
                    <w:jc w:val="center"/>
                    <w:rPr>
                      <w:rFonts w:hint="default" w:ascii="Times New Roman" w:hAnsi="Times New Roman" w:cs="Times New Roman"/>
                      <w:color w:val="auto"/>
                      <w:sz w:val="21"/>
                      <w:szCs w:val="21"/>
                      <w:u w:val="single"/>
                      <w:lang w:val="en-US" w:eastAsia="zh-CN"/>
                    </w:rPr>
                  </w:pPr>
                </w:p>
              </w:tc>
              <w:tc>
                <w:tcPr>
                  <w:tcW w:w="1173" w:type="dxa"/>
                  <w:noWrap w:val="0"/>
                  <w:vAlign w:val="center"/>
                </w:tcPr>
                <w:p>
                  <w:pPr>
                    <w:pStyle w:val="37"/>
                    <w:jc w:val="center"/>
                    <w:rPr>
                      <w:rFonts w:hint="default" w:ascii="Times New Roman" w:hAnsi="Times New Roman" w:eastAsia="宋体" w:cs="Times New Roman"/>
                      <w:snapToGrid w:val="0"/>
                      <w:color w:val="auto"/>
                      <w:sz w:val="21"/>
                      <w:szCs w:val="21"/>
                      <w:u w:val="single"/>
                      <w:lang w:val="en-US" w:eastAsia="zh-CN"/>
                    </w:rPr>
                  </w:pPr>
                  <w:r>
                    <w:rPr>
                      <w:rFonts w:hint="default" w:ascii="Times New Roman" w:hAnsi="Times New Roman" w:cs="Times New Roman"/>
                      <w:snapToGrid w:val="0"/>
                      <w:color w:val="auto"/>
                      <w:sz w:val="21"/>
                      <w:szCs w:val="21"/>
                      <w:u w:val="single"/>
                      <w:lang w:val="en-US" w:eastAsia="zh-CN"/>
                    </w:rPr>
                    <w:t>一体化净水器反洗废水</w:t>
                  </w:r>
                </w:p>
              </w:tc>
              <w:tc>
                <w:tcPr>
                  <w:tcW w:w="1308" w:type="dxa"/>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经反洗水调节池、污泥浓缩罐、污泥脱水机处理后流入净水池回用</w:t>
                  </w:r>
                </w:p>
              </w:tc>
              <w:tc>
                <w:tcPr>
                  <w:tcW w:w="903" w:type="dxa"/>
                  <w:vMerge w:val="continue"/>
                  <w:noWrap w:val="0"/>
                  <w:vAlign w:val="center"/>
                </w:tcPr>
                <w:p>
                  <w:pPr>
                    <w:pStyle w:val="37"/>
                    <w:jc w:val="center"/>
                    <w:rPr>
                      <w:rFonts w:hint="default" w:ascii="Times New Roman" w:hAnsi="Times New Roman" w:cs="Times New Roman"/>
                      <w:color w:val="auto"/>
                      <w:sz w:val="21"/>
                      <w:szCs w:val="21"/>
                      <w:u w:val="single"/>
                      <w:lang w:val="en-US" w:eastAsia="zh-CN"/>
                    </w:rPr>
                  </w:pPr>
                </w:p>
              </w:tc>
              <w:tc>
                <w:tcPr>
                  <w:tcW w:w="1335" w:type="dxa"/>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snapToGrid w:val="0"/>
                      <w:color w:val="auto"/>
                      <w:sz w:val="21"/>
                      <w:szCs w:val="21"/>
                      <w:u w:val="single"/>
                      <w:lang w:val="en-US" w:eastAsia="zh-CN"/>
                    </w:rPr>
                    <w:t>一体化净水器反洗废水</w:t>
                  </w:r>
                </w:p>
              </w:tc>
              <w:tc>
                <w:tcPr>
                  <w:tcW w:w="1269" w:type="dxa"/>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无变化</w:t>
                  </w:r>
                </w:p>
              </w:tc>
              <w:tc>
                <w:tcPr>
                  <w:tcW w:w="715" w:type="dxa"/>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eastAsia="宋体" w:cs="Times New Roman"/>
                      <w:color w:val="auto"/>
                      <w:kern w:val="2"/>
                      <w:sz w:val="21"/>
                      <w:szCs w:val="21"/>
                      <w:u w:val="single"/>
                      <w:lang w:val="en-US" w:eastAsia="zh-CN" w:bidi="ar-SA"/>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363" w:hRule="atLeast"/>
                <w:jc w:val="center"/>
              </w:trPr>
              <w:tc>
                <w:tcPr>
                  <w:tcW w:w="408" w:type="dxa"/>
                  <w:vMerge w:val="continue"/>
                  <w:noWrap w:val="0"/>
                  <w:vAlign w:val="center"/>
                </w:tcPr>
                <w:p>
                  <w:pPr>
                    <w:pStyle w:val="37"/>
                    <w:jc w:val="center"/>
                    <w:rPr>
                      <w:rFonts w:hint="default" w:ascii="Times New Roman" w:hAnsi="Times New Roman" w:cs="Times New Roman"/>
                      <w:color w:val="auto"/>
                      <w:sz w:val="21"/>
                      <w:szCs w:val="21"/>
                      <w:u w:val="single"/>
                      <w:lang w:val="en-US" w:eastAsia="zh-CN"/>
                    </w:rPr>
                  </w:pPr>
                </w:p>
              </w:tc>
              <w:tc>
                <w:tcPr>
                  <w:tcW w:w="977" w:type="dxa"/>
                  <w:gridSpan w:val="2"/>
                  <w:vMerge w:val="continue"/>
                  <w:noWrap w:val="0"/>
                  <w:vAlign w:val="center"/>
                </w:tcPr>
                <w:p>
                  <w:pPr>
                    <w:pStyle w:val="37"/>
                    <w:jc w:val="center"/>
                    <w:rPr>
                      <w:rFonts w:hint="default" w:ascii="Times New Roman" w:hAnsi="Times New Roman" w:cs="Times New Roman"/>
                      <w:color w:val="auto"/>
                      <w:sz w:val="21"/>
                      <w:szCs w:val="21"/>
                      <w:u w:val="single"/>
                      <w:lang w:val="en-US" w:eastAsia="zh-CN"/>
                    </w:rPr>
                  </w:pPr>
                </w:p>
              </w:tc>
              <w:tc>
                <w:tcPr>
                  <w:tcW w:w="1173" w:type="dxa"/>
                  <w:noWrap w:val="0"/>
                  <w:vAlign w:val="center"/>
                </w:tcPr>
                <w:p>
                  <w:pPr>
                    <w:pStyle w:val="37"/>
                    <w:jc w:val="center"/>
                    <w:rPr>
                      <w:rFonts w:hint="default" w:ascii="Times New Roman" w:hAnsi="Times New Roman" w:eastAsia="宋体" w:cs="Times New Roman"/>
                      <w:snapToGrid w:val="0"/>
                      <w:color w:val="auto"/>
                      <w:sz w:val="21"/>
                      <w:szCs w:val="21"/>
                      <w:u w:val="single"/>
                      <w:lang w:val="en-US" w:eastAsia="zh-CN"/>
                    </w:rPr>
                  </w:pPr>
                  <w:r>
                    <w:rPr>
                      <w:rFonts w:hint="default" w:ascii="Times New Roman" w:hAnsi="Times New Roman" w:cs="Times New Roman"/>
                      <w:snapToGrid w:val="0"/>
                      <w:color w:val="auto"/>
                      <w:sz w:val="21"/>
                      <w:szCs w:val="21"/>
                      <w:u w:val="single"/>
                      <w:lang w:val="en-US" w:eastAsia="zh-CN"/>
                    </w:rPr>
                    <w:t>原纯水设备浓水、反冲洗废水</w:t>
                  </w:r>
                </w:p>
              </w:tc>
              <w:tc>
                <w:tcPr>
                  <w:tcW w:w="1308" w:type="dxa"/>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直接通过厂区现有废水排口流入洪江高新区污水处理厂处理</w:t>
                  </w:r>
                </w:p>
              </w:tc>
              <w:tc>
                <w:tcPr>
                  <w:tcW w:w="903" w:type="dxa"/>
                  <w:vMerge w:val="continue"/>
                  <w:noWrap w:val="0"/>
                  <w:vAlign w:val="center"/>
                </w:tcPr>
                <w:p>
                  <w:pPr>
                    <w:pStyle w:val="37"/>
                    <w:jc w:val="center"/>
                    <w:rPr>
                      <w:rFonts w:hint="default" w:ascii="Times New Roman" w:hAnsi="Times New Roman" w:cs="Times New Roman"/>
                      <w:color w:val="auto"/>
                      <w:sz w:val="21"/>
                      <w:szCs w:val="21"/>
                      <w:u w:val="single"/>
                      <w:lang w:val="en-US" w:eastAsia="zh-CN"/>
                    </w:rPr>
                  </w:pPr>
                </w:p>
              </w:tc>
              <w:tc>
                <w:tcPr>
                  <w:tcW w:w="1335" w:type="dxa"/>
                  <w:noWrap w:val="0"/>
                  <w:vAlign w:val="center"/>
                </w:tcPr>
                <w:p>
                  <w:pPr>
                    <w:pStyle w:val="37"/>
                    <w:jc w:val="center"/>
                    <w:rPr>
                      <w:rFonts w:hint="default" w:ascii="Times New Roman" w:hAnsi="Times New Roman" w:cs="Times New Roman"/>
                      <w:color w:val="auto"/>
                      <w:sz w:val="21"/>
                      <w:szCs w:val="21"/>
                      <w:u w:val="single"/>
                      <w:lang w:eastAsia="zh-CN"/>
                    </w:rPr>
                  </w:pPr>
                  <w:r>
                    <w:rPr>
                      <w:rFonts w:hint="default" w:ascii="Times New Roman" w:hAnsi="Times New Roman" w:cs="Times New Roman"/>
                      <w:snapToGrid w:val="0"/>
                      <w:color w:val="auto"/>
                      <w:sz w:val="21"/>
                      <w:szCs w:val="21"/>
                      <w:u w:val="single"/>
                      <w:lang w:val="en-US" w:eastAsia="zh-CN"/>
                    </w:rPr>
                    <w:t>新</w:t>
                  </w:r>
                  <w:r>
                    <w:rPr>
                      <w:rFonts w:hint="default" w:ascii="Times New Roman" w:hAnsi="Times New Roman" w:eastAsia="宋体" w:cs="Times New Roman"/>
                      <w:snapToGrid w:val="0"/>
                      <w:color w:val="auto"/>
                      <w:sz w:val="21"/>
                      <w:szCs w:val="21"/>
                      <w:u w:val="single"/>
                      <w:lang w:val="en-US" w:eastAsia="zh-CN"/>
                    </w:rPr>
                    <w:t>纯水制备浓水、反冲洗废水</w:t>
                  </w:r>
                </w:p>
              </w:tc>
              <w:tc>
                <w:tcPr>
                  <w:tcW w:w="1269" w:type="dxa"/>
                  <w:noWrap w:val="0"/>
                  <w:vAlign w:val="center"/>
                </w:tcPr>
                <w:p>
                  <w:pPr>
                    <w:pStyle w:val="37"/>
                    <w:jc w:val="center"/>
                    <w:rPr>
                      <w:rFonts w:hint="default" w:ascii="Times New Roman" w:hAnsi="Times New Roman" w:cs="Times New Roman"/>
                      <w:color w:val="auto"/>
                      <w:sz w:val="21"/>
                      <w:szCs w:val="21"/>
                      <w:u w:val="single"/>
                      <w:lang w:eastAsia="zh-CN"/>
                    </w:rPr>
                  </w:pPr>
                  <w:r>
                    <w:rPr>
                      <w:rFonts w:hint="default" w:ascii="Times New Roman" w:hAnsi="Times New Roman" w:cs="Times New Roman"/>
                      <w:color w:val="auto"/>
                      <w:sz w:val="21"/>
                      <w:szCs w:val="21"/>
                      <w:u w:val="single"/>
                      <w:lang w:val="en-US" w:eastAsia="zh-CN"/>
                    </w:rPr>
                    <w:t>直接通过厂区现有废水排口流入洪江高新区污水处理厂处理</w:t>
                  </w:r>
                </w:p>
              </w:tc>
              <w:tc>
                <w:tcPr>
                  <w:tcW w:w="715" w:type="dxa"/>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eastAsia="宋体" w:cs="Times New Roman"/>
                      <w:color w:val="auto"/>
                      <w:kern w:val="2"/>
                      <w:sz w:val="21"/>
                      <w:szCs w:val="21"/>
                      <w:u w:val="single"/>
                      <w:lang w:val="en-US" w:eastAsia="zh-CN" w:bidi="ar-SA"/>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76" w:hRule="atLeast"/>
                <w:jc w:val="center"/>
              </w:trPr>
              <w:tc>
                <w:tcPr>
                  <w:tcW w:w="408" w:type="dxa"/>
                  <w:vMerge w:val="continue"/>
                  <w:noWrap w:val="0"/>
                  <w:vAlign w:val="center"/>
                </w:tcPr>
                <w:p>
                  <w:pPr>
                    <w:pStyle w:val="37"/>
                    <w:jc w:val="center"/>
                    <w:rPr>
                      <w:rFonts w:hint="default" w:ascii="Times New Roman" w:hAnsi="Times New Roman" w:cs="Times New Roman"/>
                      <w:color w:val="auto"/>
                      <w:sz w:val="21"/>
                      <w:szCs w:val="21"/>
                      <w:u w:val="single"/>
                      <w:lang w:val="en-US" w:eastAsia="zh-CN"/>
                    </w:rPr>
                  </w:pPr>
                </w:p>
              </w:tc>
              <w:tc>
                <w:tcPr>
                  <w:tcW w:w="977" w:type="dxa"/>
                  <w:gridSpan w:val="2"/>
                  <w:vMerge w:val="continue"/>
                  <w:noWrap w:val="0"/>
                  <w:vAlign w:val="center"/>
                </w:tcPr>
                <w:p>
                  <w:pPr>
                    <w:pStyle w:val="37"/>
                    <w:jc w:val="center"/>
                    <w:rPr>
                      <w:rFonts w:hint="default" w:ascii="Times New Roman" w:hAnsi="Times New Roman" w:cs="Times New Roman"/>
                      <w:color w:val="auto"/>
                      <w:sz w:val="21"/>
                      <w:szCs w:val="21"/>
                      <w:u w:val="single"/>
                      <w:lang w:val="en-US" w:eastAsia="zh-CN"/>
                    </w:rPr>
                  </w:pPr>
                </w:p>
              </w:tc>
              <w:tc>
                <w:tcPr>
                  <w:tcW w:w="1173" w:type="dxa"/>
                  <w:noWrap w:val="0"/>
                  <w:vAlign w:val="center"/>
                </w:tcPr>
                <w:p>
                  <w:pPr>
                    <w:pStyle w:val="37"/>
                    <w:jc w:val="center"/>
                    <w:rPr>
                      <w:rFonts w:hint="default" w:ascii="Times New Roman" w:hAnsi="Times New Roman" w:eastAsia="宋体" w:cs="Times New Roman"/>
                      <w:snapToGrid w:val="0"/>
                      <w:color w:val="auto"/>
                      <w:sz w:val="21"/>
                      <w:szCs w:val="21"/>
                      <w:u w:val="single"/>
                      <w:lang w:val="en-US" w:eastAsia="zh-CN"/>
                    </w:rPr>
                  </w:pPr>
                  <w:r>
                    <w:rPr>
                      <w:rFonts w:hint="default" w:ascii="Times New Roman" w:hAnsi="Times New Roman" w:cs="Times New Roman"/>
                      <w:snapToGrid w:val="0"/>
                      <w:color w:val="auto"/>
                      <w:sz w:val="21"/>
                      <w:szCs w:val="21"/>
                      <w:u w:val="single"/>
                      <w:lang w:val="en-US" w:eastAsia="zh-CN"/>
                    </w:rPr>
                    <w:t>软水再生废水</w:t>
                  </w:r>
                </w:p>
              </w:tc>
              <w:tc>
                <w:tcPr>
                  <w:tcW w:w="1308" w:type="dxa"/>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排入污水收集池后通过厂区现有废水排口流入洪江高新区污水处理厂处理</w:t>
                  </w:r>
                </w:p>
              </w:tc>
              <w:tc>
                <w:tcPr>
                  <w:tcW w:w="903" w:type="dxa"/>
                  <w:vMerge w:val="continue"/>
                  <w:noWrap w:val="0"/>
                  <w:vAlign w:val="center"/>
                </w:tcPr>
                <w:p>
                  <w:pPr>
                    <w:pStyle w:val="37"/>
                    <w:jc w:val="center"/>
                    <w:rPr>
                      <w:rFonts w:hint="default" w:ascii="Times New Roman" w:hAnsi="Times New Roman" w:cs="Times New Roman"/>
                      <w:color w:val="auto"/>
                      <w:sz w:val="21"/>
                      <w:szCs w:val="21"/>
                      <w:u w:val="single"/>
                      <w:lang w:val="en-US" w:eastAsia="zh-CN"/>
                    </w:rPr>
                  </w:pPr>
                </w:p>
              </w:tc>
              <w:tc>
                <w:tcPr>
                  <w:tcW w:w="1335" w:type="dxa"/>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snapToGrid w:val="0"/>
                      <w:color w:val="auto"/>
                      <w:sz w:val="21"/>
                      <w:szCs w:val="21"/>
                      <w:u w:val="single"/>
                      <w:lang w:val="en-US" w:eastAsia="zh-CN"/>
                    </w:rPr>
                    <w:t>软水再生废水</w:t>
                  </w:r>
                </w:p>
              </w:tc>
              <w:tc>
                <w:tcPr>
                  <w:tcW w:w="1269" w:type="dxa"/>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无变化</w:t>
                  </w:r>
                </w:p>
              </w:tc>
              <w:tc>
                <w:tcPr>
                  <w:tcW w:w="715" w:type="dxa"/>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eastAsia="宋体" w:cs="Times New Roman"/>
                      <w:color w:val="auto"/>
                      <w:kern w:val="2"/>
                      <w:sz w:val="21"/>
                      <w:szCs w:val="21"/>
                      <w:u w:val="single"/>
                      <w:lang w:val="en-US" w:eastAsia="zh-CN" w:bidi="ar-SA"/>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88" w:hRule="atLeast"/>
                <w:jc w:val="center"/>
              </w:trPr>
              <w:tc>
                <w:tcPr>
                  <w:tcW w:w="408" w:type="dxa"/>
                  <w:vMerge w:val="continue"/>
                  <w:noWrap w:val="0"/>
                  <w:vAlign w:val="center"/>
                </w:tcPr>
                <w:p>
                  <w:pPr>
                    <w:pStyle w:val="37"/>
                    <w:jc w:val="center"/>
                    <w:rPr>
                      <w:rFonts w:hint="default" w:ascii="Times New Roman" w:hAnsi="Times New Roman" w:cs="Times New Roman"/>
                      <w:sz w:val="21"/>
                      <w:szCs w:val="21"/>
                      <w:u w:val="single"/>
                    </w:rPr>
                  </w:pPr>
                </w:p>
              </w:tc>
              <w:tc>
                <w:tcPr>
                  <w:tcW w:w="977" w:type="dxa"/>
                  <w:gridSpan w:val="2"/>
                  <w:vMerge w:val="continue"/>
                  <w:noWrap w:val="0"/>
                  <w:vAlign w:val="center"/>
                </w:tcPr>
                <w:p>
                  <w:pPr>
                    <w:pStyle w:val="37"/>
                    <w:jc w:val="center"/>
                    <w:rPr>
                      <w:rFonts w:hint="default" w:ascii="Times New Roman" w:hAnsi="Times New Roman" w:cs="Times New Roman"/>
                      <w:sz w:val="21"/>
                      <w:szCs w:val="21"/>
                      <w:u w:val="single"/>
                    </w:rPr>
                  </w:pPr>
                </w:p>
              </w:tc>
              <w:tc>
                <w:tcPr>
                  <w:tcW w:w="1173" w:type="dxa"/>
                  <w:noWrap w:val="0"/>
                  <w:vAlign w:val="center"/>
                </w:tcPr>
                <w:p>
                  <w:pPr>
                    <w:pStyle w:val="37"/>
                    <w:jc w:val="center"/>
                    <w:rPr>
                      <w:rFonts w:hint="default" w:ascii="Times New Roman" w:hAnsi="Times New Roman" w:eastAsia="宋体" w:cs="Times New Roman"/>
                      <w:snapToGrid w:val="0"/>
                      <w:color w:val="auto"/>
                      <w:sz w:val="21"/>
                      <w:szCs w:val="21"/>
                      <w:u w:val="single"/>
                      <w:lang w:val="en-US" w:eastAsia="zh-CN"/>
                    </w:rPr>
                  </w:pPr>
                  <w:r>
                    <w:rPr>
                      <w:rFonts w:hint="default" w:ascii="Times New Roman" w:hAnsi="Times New Roman" w:cs="Times New Roman"/>
                      <w:snapToGrid w:val="0"/>
                      <w:color w:val="auto"/>
                      <w:sz w:val="21"/>
                      <w:szCs w:val="21"/>
                      <w:u w:val="single"/>
                      <w:lang w:val="en-US" w:eastAsia="zh-CN"/>
                    </w:rPr>
                    <w:t>原纯水再生废水、</w:t>
                  </w:r>
                  <w:r>
                    <w:rPr>
                      <w:rFonts w:hint="default" w:ascii="Times New Roman" w:hAnsi="Times New Roman" w:eastAsia="宋体" w:cs="Times New Roman"/>
                      <w:snapToGrid w:val="0"/>
                      <w:color w:val="auto"/>
                      <w:sz w:val="21"/>
                      <w:szCs w:val="21"/>
                      <w:u w:val="single"/>
                      <w:lang w:val="en-US" w:eastAsia="zh-CN"/>
                    </w:rPr>
                    <w:t>酸碱废水</w:t>
                  </w:r>
                </w:p>
              </w:tc>
              <w:tc>
                <w:tcPr>
                  <w:tcW w:w="1308" w:type="dxa"/>
                  <w:noWrap w:val="0"/>
                  <w:vAlign w:val="center"/>
                </w:tcPr>
                <w:p>
                  <w:pPr>
                    <w:pStyle w:val="37"/>
                    <w:jc w:val="center"/>
                    <w:rPr>
                      <w:rFonts w:hint="default" w:ascii="Times New Roman" w:hAnsi="Times New Roman" w:eastAsia="宋体" w:cs="Times New Roman"/>
                      <w:snapToGrid w:val="0"/>
                      <w:color w:val="auto"/>
                      <w:sz w:val="21"/>
                      <w:szCs w:val="21"/>
                      <w:u w:val="single"/>
                      <w:lang w:val="en-US" w:eastAsia="zh-CN"/>
                    </w:rPr>
                  </w:pPr>
                  <w:r>
                    <w:rPr>
                      <w:rFonts w:hint="default" w:ascii="Times New Roman" w:hAnsi="Times New Roman" w:cs="Times New Roman"/>
                      <w:color w:val="auto"/>
                      <w:sz w:val="21"/>
                      <w:szCs w:val="21"/>
                      <w:u w:val="single"/>
                      <w:lang w:val="en-US" w:eastAsia="zh-CN"/>
                    </w:rPr>
                    <w:t>排入中和池酸碱中和后通过厂区现有废水排口流入洪江高新区污水处理厂处理</w:t>
                  </w:r>
                </w:p>
              </w:tc>
              <w:tc>
                <w:tcPr>
                  <w:tcW w:w="903" w:type="dxa"/>
                  <w:vMerge w:val="continue"/>
                  <w:noWrap w:val="0"/>
                  <w:vAlign w:val="center"/>
                </w:tcPr>
                <w:p>
                  <w:pPr>
                    <w:pStyle w:val="37"/>
                    <w:jc w:val="center"/>
                    <w:rPr>
                      <w:rFonts w:hint="default" w:ascii="Times New Roman" w:hAnsi="Times New Roman" w:eastAsia="宋体" w:cs="Times New Roman"/>
                      <w:snapToGrid w:val="0"/>
                      <w:color w:val="auto"/>
                      <w:sz w:val="21"/>
                      <w:szCs w:val="21"/>
                      <w:u w:val="single"/>
                      <w:lang w:val="en-US" w:eastAsia="zh-CN"/>
                    </w:rPr>
                  </w:pPr>
                </w:p>
              </w:tc>
              <w:tc>
                <w:tcPr>
                  <w:tcW w:w="1335" w:type="dxa"/>
                  <w:noWrap w:val="0"/>
                  <w:vAlign w:val="center"/>
                </w:tcPr>
                <w:p>
                  <w:pPr>
                    <w:pStyle w:val="37"/>
                    <w:jc w:val="center"/>
                    <w:rPr>
                      <w:rFonts w:hint="default" w:ascii="Times New Roman" w:hAnsi="Times New Roman" w:eastAsia="宋体" w:cs="Times New Roman"/>
                      <w:snapToGrid w:val="0"/>
                      <w:color w:val="auto"/>
                      <w:sz w:val="21"/>
                      <w:szCs w:val="21"/>
                      <w:u w:val="single"/>
                      <w:lang w:val="en-US" w:eastAsia="zh-CN"/>
                    </w:rPr>
                  </w:pPr>
                  <w:r>
                    <w:rPr>
                      <w:rFonts w:hint="default" w:ascii="Times New Roman" w:hAnsi="Times New Roman" w:cs="Times New Roman"/>
                      <w:snapToGrid w:val="0"/>
                      <w:color w:val="auto"/>
                      <w:sz w:val="21"/>
                      <w:szCs w:val="21"/>
                      <w:u w:val="single"/>
                      <w:lang w:val="en-US" w:eastAsia="zh-CN"/>
                    </w:rPr>
                    <w:t>新纯水再生废水、</w:t>
                  </w:r>
                  <w:r>
                    <w:rPr>
                      <w:rFonts w:hint="default" w:ascii="Times New Roman" w:hAnsi="Times New Roman" w:eastAsia="宋体" w:cs="Times New Roman"/>
                      <w:snapToGrid w:val="0"/>
                      <w:color w:val="auto"/>
                      <w:sz w:val="21"/>
                      <w:szCs w:val="21"/>
                      <w:u w:val="single"/>
                      <w:lang w:val="en-US" w:eastAsia="zh-CN"/>
                    </w:rPr>
                    <w:t>酸碱废水</w:t>
                  </w:r>
                </w:p>
              </w:tc>
              <w:tc>
                <w:tcPr>
                  <w:tcW w:w="1269" w:type="dxa"/>
                  <w:noWrap w:val="0"/>
                  <w:vAlign w:val="center"/>
                </w:tcPr>
                <w:p>
                  <w:pPr>
                    <w:pStyle w:val="37"/>
                    <w:jc w:val="center"/>
                    <w:rPr>
                      <w:rFonts w:hint="default" w:ascii="Times New Roman" w:hAnsi="Times New Roman" w:eastAsia="宋体" w:cs="Times New Roman"/>
                      <w:snapToGrid w:val="0"/>
                      <w:color w:val="auto"/>
                      <w:sz w:val="21"/>
                      <w:szCs w:val="21"/>
                      <w:u w:val="single"/>
                      <w:lang w:val="en-US" w:eastAsia="zh-CN"/>
                    </w:rPr>
                  </w:pPr>
                  <w:r>
                    <w:rPr>
                      <w:rFonts w:hint="default" w:ascii="Times New Roman" w:hAnsi="Times New Roman" w:cs="Times New Roman"/>
                      <w:color w:val="auto"/>
                      <w:sz w:val="21"/>
                      <w:szCs w:val="21"/>
                      <w:u w:val="single"/>
                      <w:lang w:val="en-US" w:eastAsia="zh-CN"/>
                    </w:rPr>
                    <w:t>排入中和池酸碱中和后通过厂区现有废水排口流入洪江高新区污水处理厂处理</w:t>
                  </w:r>
                </w:p>
              </w:tc>
              <w:tc>
                <w:tcPr>
                  <w:tcW w:w="715" w:type="dxa"/>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eastAsia="宋体" w:cs="Times New Roman"/>
                      <w:color w:val="auto"/>
                      <w:kern w:val="2"/>
                      <w:sz w:val="21"/>
                      <w:szCs w:val="21"/>
                      <w:u w:val="single"/>
                      <w:lang w:val="en-US" w:eastAsia="zh-CN" w:bidi="ar-SA"/>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408" w:type="dxa"/>
                  <w:vMerge w:val="continue"/>
                  <w:noWrap w:val="0"/>
                  <w:vAlign w:val="center"/>
                </w:tcPr>
                <w:p>
                  <w:pPr>
                    <w:pStyle w:val="37"/>
                    <w:jc w:val="center"/>
                    <w:rPr>
                      <w:rFonts w:hint="default" w:ascii="Times New Roman" w:hAnsi="Times New Roman" w:cs="Times New Roman"/>
                      <w:color w:val="auto"/>
                      <w:sz w:val="21"/>
                      <w:szCs w:val="21"/>
                      <w:u w:val="single"/>
                      <w:lang w:val="en-US" w:eastAsia="zh-CN"/>
                    </w:rPr>
                  </w:pPr>
                </w:p>
              </w:tc>
              <w:tc>
                <w:tcPr>
                  <w:tcW w:w="378" w:type="dxa"/>
                  <w:noWrap w:val="0"/>
                  <w:vAlign w:val="center"/>
                </w:tcPr>
                <w:p>
                  <w:pPr>
                    <w:pStyle w:val="37"/>
                    <w:jc w:val="center"/>
                    <w:rPr>
                      <w:rFonts w:hint="default" w:ascii="Times New Roman" w:hAnsi="Times New Roman" w:cs="Times New Roman"/>
                      <w:color w:val="auto"/>
                      <w:kern w:val="2"/>
                      <w:sz w:val="21"/>
                      <w:szCs w:val="21"/>
                      <w:u w:val="single"/>
                      <w:lang w:val="en-US" w:eastAsia="zh-CN" w:bidi="ar-SA"/>
                    </w:rPr>
                  </w:pPr>
                  <w:r>
                    <w:rPr>
                      <w:rFonts w:hint="default" w:ascii="Times New Roman" w:hAnsi="Times New Roman" w:cs="Times New Roman"/>
                      <w:color w:val="auto"/>
                      <w:kern w:val="2"/>
                      <w:sz w:val="21"/>
                      <w:szCs w:val="21"/>
                      <w:u w:val="single"/>
                      <w:lang w:val="en-US" w:eastAsia="zh-CN" w:bidi="ar-SA"/>
                    </w:rPr>
                    <w:t>噪声治理设施</w:t>
                  </w:r>
                </w:p>
              </w:tc>
              <w:tc>
                <w:tcPr>
                  <w:tcW w:w="3080" w:type="dxa"/>
                  <w:gridSpan w:val="3"/>
                  <w:noWrap w:val="0"/>
                  <w:vAlign w:val="center"/>
                </w:tcPr>
                <w:p>
                  <w:pPr>
                    <w:pStyle w:val="37"/>
                    <w:jc w:val="center"/>
                    <w:rPr>
                      <w:rFonts w:hint="default" w:ascii="Times New Roman" w:hAnsi="Times New Roman" w:cs="Times New Roman"/>
                      <w:color w:val="auto"/>
                      <w:kern w:val="2"/>
                      <w:sz w:val="21"/>
                      <w:szCs w:val="21"/>
                      <w:u w:val="single"/>
                      <w:lang w:val="en-US" w:eastAsia="zh-CN" w:bidi="ar-SA"/>
                    </w:rPr>
                  </w:pPr>
                  <w:r>
                    <w:rPr>
                      <w:rFonts w:hint="default" w:ascii="Times New Roman" w:hAnsi="Times New Roman" w:cs="Times New Roman"/>
                      <w:color w:val="auto"/>
                      <w:kern w:val="2"/>
                      <w:sz w:val="21"/>
                      <w:szCs w:val="21"/>
                      <w:u w:val="single"/>
                      <w:lang w:val="en-US" w:eastAsia="zh-CN" w:bidi="ar-SA"/>
                    </w:rPr>
                    <w:t>设备减震、隔声、绿化</w:t>
                  </w:r>
                </w:p>
              </w:tc>
              <w:tc>
                <w:tcPr>
                  <w:tcW w:w="903" w:type="dxa"/>
                  <w:noWrap w:val="0"/>
                  <w:vAlign w:val="center"/>
                </w:tcPr>
                <w:p>
                  <w:pPr>
                    <w:pStyle w:val="37"/>
                    <w:jc w:val="center"/>
                    <w:rPr>
                      <w:rFonts w:hint="default" w:ascii="Times New Roman" w:hAnsi="Times New Roman" w:cs="Times New Roman"/>
                      <w:color w:val="auto"/>
                      <w:kern w:val="2"/>
                      <w:sz w:val="21"/>
                      <w:szCs w:val="21"/>
                      <w:u w:val="single"/>
                      <w:lang w:val="en-US" w:eastAsia="zh-CN" w:bidi="ar-SA"/>
                    </w:rPr>
                  </w:pPr>
                  <w:r>
                    <w:rPr>
                      <w:rFonts w:hint="default" w:ascii="Times New Roman" w:hAnsi="Times New Roman" w:cs="Times New Roman"/>
                      <w:color w:val="auto"/>
                      <w:kern w:val="2"/>
                      <w:sz w:val="21"/>
                      <w:szCs w:val="21"/>
                      <w:u w:val="single"/>
                      <w:lang w:val="en-US" w:eastAsia="zh-CN" w:bidi="ar-SA"/>
                    </w:rPr>
                    <w:t>噪声治理设施</w:t>
                  </w:r>
                </w:p>
              </w:tc>
              <w:tc>
                <w:tcPr>
                  <w:tcW w:w="2604" w:type="dxa"/>
                  <w:gridSpan w:val="2"/>
                  <w:noWrap w:val="0"/>
                  <w:vAlign w:val="center"/>
                </w:tcPr>
                <w:p>
                  <w:pPr>
                    <w:pStyle w:val="37"/>
                    <w:jc w:val="center"/>
                    <w:rPr>
                      <w:rFonts w:hint="default" w:ascii="Times New Roman" w:hAnsi="Times New Roman" w:cs="Times New Roman"/>
                      <w:color w:val="auto"/>
                      <w:kern w:val="2"/>
                      <w:sz w:val="21"/>
                      <w:szCs w:val="21"/>
                      <w:u w:val="single"/>
                      <w:lang w:val="en-US" w:eastAsia="zh-CN" w:bidi="ar-SA"/>
                    </w:rPr>
                  </w:pPr>
                  <w:r>
                    <w:rPr>
                      <w:rFonts w:hint="default" w:ascii="Times New Roman" w:hAnsi="Times New Roman" w:cs="Times New Roman"/>
                      <w:color w:val="auto"/>
                      <w:kern w:val="2"/>
                      <w:sz w:val="21"/>
                      <w:szCs w:val="21"/>
                      <w:u w:val="single"/>
                      <w:lang w:val="en-US" w:eastAsia="zh-CN" w:bidi="ar-SA"/>
                    </w:rPr>
                    <w:t>设备减震、隔声、绿化</w:t>
                  </w:r>
                </w:p>
              </w:tc>
              <w:tc>
                <w:tcPr>
                  <w:tcW w:w="715" w:type="dxa"/>
                  <w:noWrap w:val="0"/>
                  <w:vAlign w:val="center"/>
                </w:tcPr>
                <w:p>
                  <w:pPr>
                    <w:pStyle w:val="37"/>
                    <w:jc w:val="center"/>
                    <w:rPr>
                      <w:rFonts w:hint="default" w:ascii="Times New Roman" w:hAnsi="Times New Roman" w:cs="Times New Roman"/>
                      <w:color w:val="auto"/>
                      <w:kern w:val="2"/>
                      <w:sz w:val="21"/>
                      <w:szCs w:val="21"/>
                      <w:u w:val="single"/>
                      <w:lang w:val="en-US" w:eastAsia="zh-CN" w:bidi="ar-SA"/>
                    </w:rPr>
                  </w:pPr>
                  <w:r>
                    <w:rPr>
                      <w:rFonts w:hint="default" w:ascii="Times New Roman" w:hAnsi="Times New Roman" w:cs="Times New Roman"/>
                      <w:color w:val="auto"/>
                      <w:kern w:val="2"/>
                      <w:sz w:val="21"/>
                      <w:szCs w:val="21"/>
                      <w:u w:val="single"/>
                      <w:lang w:val="en-US" w:eastAsia="zh-CN" w:bidi="ar-SA"/>
                    </w:rPr>
                    <w:t>部分新建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80" w:hRule="atLeast"/>
                <w:jc w:val="center"/>
              </w:trPr>
              <w:tc>
                <w:tcPr>
                  <w:tcW w:w="408" w:type="dxa"/>
                  <w:vMerge w:val="continue"/>
                  <w:noWrap w:val="0"/>
                  <w:vAlign w:val="center"/>
                </w:tcPr>
                <w:p>
                  <w:pPr>
                    <w:pStyle w:val="37"/>
                    <w:jc w:val="center"/>
                    <w:rPr>
                      <w:rFonts w:hint="default" w:ascii="Times New Roman" w:hAnsi="Times New Roman" w:cs="Times New Roman"/>
                      <w:color w:val="auto"/>
                      <w:sz w:val="21"/>
                      <w:szCs w:val="21"/>
                      <w:u w:val="single"/>
                      <w:lang w:val="en-US" w:eastAsia="zh-CN"/>
                    </w:rPr>
                  </w:pPr>
                </w:p>
              </w:tc>
              <w:tc>
                <w:tcPr>
                  <w:tcW w:w="378" w:type="dxa"/>
                  <w:vMerge w:val="restart"/>
                  <w:noWrap w:val="0"/>
                  <w:vAlign w:val="center"/>
                </w:tcPr>
                <w:p>
                  <w:pPr>
                    <w:pStyle w:val="37"/>
                    <w:jc w:val="center"/>
                    <w:rPr>
                      <w:rFonts w:hint="default" w:ascii="Times New Roman" w:hAnsi="Times New Roman" w:cs="Times New Roman"/>
                      <w:color w:val="auto"/>
                      <w:kern w:val="2"/>
                      <w:sz w:val="21"/>
                      <w:szCs w:val="21"/>
                      <w:u w:val="single"/>
                      <w:lang w:val="en-US" w:eastAsia="zh-CN" w:bidi="ar-SA"/>
                    </w:rPr>
                  </w:pPr>
                  <w:r>
                    <w:rPr>
                      <w:rFonts w:hint="default" w:ascii="Times New Roman" w:hAnsi="Times New Roman" w:cs="Times New Roman"/>
                      <w:color w:val="auto"/>
                      <w:kern w:val="2"/>
                      <w:sz w:val="21"/>
                      <w:szCs w:val="21"/>
                      <w:u w:val="single"/>
                      <w:lang w:val="en-US" w:eastAsia="zh-CN" w:bidi="ar-SA"/>
                    </w:rPr>
                    <w:t>固废治理设施</w:t>
                  </w:r>
                </w:p>
              </w:tc>
              <w:tc>
                <w:tcPr>
                  <w:tcW w:w="1772" w:type="dxa"/>
                  <w:gridSpan w:val="2"/>
                  <w:noWrap w:val="0"/>
                  <w:vAlign w:val="center"/>
                </w:tcPr>
                <w:p>
                  <w:pPr>
                    <w:pStyle w:val="37"/>
                    <w:jc w:val="center"/>
                    <w:rPr>
                      <w:rFonts w:hint="default" w:ascii="Times New Roman" w:hAnsi="Times New Roman" w:cs="Times New Roman"/>
                      <w:color w:val="auto"/>
                      <w:kern w:val="2"/>
                      <w:sz w:val="21"/>
                      <w:szCs w:val="21"/>
                      <w:u w:val="single"/>
                      <w:lang w:val="en-US" w:eastAsia="zh-CN" w:bidi="ar-SA"/>
                    </w:rPr>
                  </w:pPr>
                  <w:r>
                    <w:rPr>
                      <w:rFonts w:hint="default" w:ascii="Times New Roman" w:hAnsi="Times New Roman" w:cs="Times New Roman"/>
                      <w:color w:val="auto"/>
                      <w:kern w:val="2"/>
                      <w:sz w:val="21"/>
                      <w:szCs w:val="21"/>
                      <w:u w:val="single"/>
                      <w:lang w:val="en-US" w:eastAsia="zh-CN" w:bidi="ar-SA"/>
                    </w:rPr>
                    <w:t>生活垃圾</w:t>
                  </w:r>
                </w:p>
              </w:tc>
              <w:tc>
                <w:tcPr>
                  <w:tcW w:w="1308" w:type="dxa"/>
                  <w:noWrap w:val="0"/>
                  <w:vAlign w:val="center"/>
                </w:tcPr>
                <w:p>
                  <w:pPr>
                    <w:pStyle w:val="37"/>
                    <w:jc w:val="center"/>
                    <w:rPr>
                      <w:rFonts w:hint="default" w:ascii="Times New Roman" w:hAnsi="Times New Roman" w:cs="Times New Roman"/>
                      <w:color w:val="auto"/>
                      <w:kern w:val="2"/>
                      <w:sz w:val="21"/>
                      <w:szCs w:val="21"/>
                      <w:u w:val="single"/>
                      <w:lang w:val="en-US" w:eastAsia="zh-CN" w:bidi="ar-SA"/>
                    </w:rPr>
                  </w:pPr>
                  <w:r>
                    <w:rPr>
                      <w:rFonts w:hint="default" w:ascii="Times New Roman" w:hAnsi="Times New Roman" w:cs="Times New Roman"/>
                      <w:color w:val="auto"/>
                      <w:kern w:val="2"/>
                      <w:sz w:val="21"/>
                      <w:szCs w:val="21"/>
                      <w:u w:val="single"/>
                      <w:lang w:val="en-US" w:eastAsia="zh-CN" w:bidi="ar-SA"/>
                    </w:rPr>
                    <w:t>本项目不新增生活垃圾</w:t>
                  </w:r>
                </w:p>
              </w:tc>
              <w:tc>
                <w:tcPr>
                  <w:tcW w:w="903" w:type="dxa"/>
                  <w:vMerge w:val="restart"/>
                  <w:noWrap w:val="0"/>
                  <w:vAlign w:val="center"/>
                </w:tcPr>
                <w:p>
                  <w:pPr>
                    <w:pStyle w:val="37"/>
                    <w:jc w:val="center"/>
                    <w:rPr>
                      <w:rFonts w:hint="default" w:ascii="Times New Roman" w:hAnsi="Times New Roman" w:cs="Times New Roman"/>
                      <w:color w:val="auto"/>
                      <w:kern w:val="2"/>
                      <w:sz w:val="21"/>
                      <w:szCs w:val="21"/>
                      <w:u w:val="single"/>
                      <w:lang w:val="en-US" w:eastAsia="zh-CN" w:bidi="ar-SA"/>
                    </w:rPr>
                  </w:pPr>
                  <w:r>
                    <w:rPr>
                      <w:rFonts w:hint="default" w:ascii="Times New Roman" w:hAnsi="Times New Roman" w:cs="Times New Roman"/>
                      <w:color w:val="auto"/>
                      <w:kern w:val="2"/>
                      <w:sz w:val="21"/>
                      <w:szCs w:val="21"/>
                      <w:u w:val="single"/>
                      <w:lang w:val="en-US" w:eastAsia="zh-CN" w:bidi="ar-SA"/>
                    </w:rPr>
                    <w:t>固废治理设施</w:t>
                  </w:r>
                </w:p>
              </w:tc>
              <w:tc>
                <w:tcPr>
                  <w:tcW w:w="2604" w:type="dxa"/>
                  <w:gridSpan w:val="2"/>
                  <w:vMerge w:val="restart"/>
                  <w:noWrap w:val="0"/>
                  <w:vAlign w:val="center"/>
                </w:tcPr>
                <w:p>
                  <w:pPr>
                    <w:pStyle w:val="37"/>
                    <w:jc w:val="center"/>
                    <w:rPr>
                      <w:rFonts w:hint="default" w:ascii="Times New Roman" w:hAnsi="Times New Roman" w:cs="Times New Roman"/>
                      <w:color w:val="auto"/>
                      <w:kern w:val="2"/>
                      <w:sz w:val="21"/>
                      <w:szCs w:val="21"/>
                      <w:u w:val="single"/>
                      <w:lang w:val="en-US" w:eastAsia="zh-CN" w:bidi="ar-SA"/>
                    </w:rPr>
                  </w:pPr>
                  <w:r>
                    <w:rPr>
                      <w:rFonts w:hint="default" w:ascii="Times New Roman" w:hAnsi="Times New Roman" w:cs="Times New Roman"/>
                      <w:color w:val="auto"/>
                      <w:kern w:val="2"/>
                      <w:sz w:val="21"/>
                      <w:szCs w:val="21"/>
                      <w:u w:val="single"/>
                      <w:lang w:val="en-US" w:eastAsia="zh-CN" w:bidi="ar-SA"/>
                    </w:rPr>
                    <w:t>无变化</w:t>
                  </w:r>
                </w:p>
              </w:tc>
              <w:tc>
                <w:tcPr>
                  <w:tcW w:w="715" w:type="dxa"/>
                  <w:vMerge w:val="restart"/>
                  <w:noWrap w:val="0"/>
                  <w:vAlign w:val="center"/>
                </w:tcPr>
                <w:p>
                  <w:pPr>
                    <w:pStyle w:val="37"/>
                    <w:jc w:val="center"/>
                    <w:rPr>
                      <w:rFonts w:hint="default" w:ascii="Times New Roman" w:hAnsi="Times New Roman" w:cs="Times New Roman"/>
                      <w:color w:val="auto"/>
                      <w:kern w:val="2"/>
                      <w:sz w:val="21"/>
                      <w:szCs w:val="21"/>
                      <w:u w:val="single"/>
                      <w:lang w:val="en-US" w:eastAsia="zh-CN" w:bidi="ar-SA"/>
                    </w:rPr>
                  </w:pPr>
                  <w:r>
                    <w:rPr>
                      <w:rFonts w:hint="default" w:ascii="Times New Roman" w:hAnsi="Times New Roman" w:cs="Times New Roman"/>
                      <w:color w:val="auto"/>
                      <w:kern w:val="2"/>
                      <w:sz w:val="21"/>
                      <w:szCs w:val="21"/>
                      <w:u w:val="single"/>
                      <w:lang w:val="en-US" w:eastAsia="zh-CN" w:bidi="ar-SA"/>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72" w:hRule="atLeast"/>
                <w:jc w:val="center"/>
              </w:trPr>
              <w:tc>
                <w:tcPr>
                  <w:tcW w:w="408" w:type="dxa"/>
                  <w:vMerge w:val="continue"/>
                  <w:noWrap w:val="0"/>
                  <w:vAlign w:val="center"/>
                </w:tcPr>
                <w:p>
                  <w:pPr>
                    <w:pStyle w:val="37"/>
                    <w:jc w:val="center"/>
                    <w:rPr>
                      <w:rFonts w:hint="default" w:ascii="Times New Roman" w:hAnsi="Times New Roman" w:cs="Times New Roman"/>
                      <w:color w:val="auto"/>
                      <w:sz w:val="21"/>
                      <w:szCs w:val="21"/>
                      <w:u w:val="single"/>
                      <w:lang w:val="en-US" w:eastAsia="zh-CN"/>
                    </w:rPr>
                  </w:pPr>
                </w:p>
              </w:tc>
              <w:tc>
                <w:tcPr>
                  <w:tcW w:w="378" w:type="dxa"/>
                  <w:vMerge w:val="continue"/>
                  <w:noWrap w:val="0"/>
                  <w:vAlign w:val="center"/>
                </w:tcPr>
                <w:p>
                  <w:pPr>
                    <w:pStyle w:val="37"/>
                    <w:jc w:val="center"/>
                    <w:rPr>
                      <w:rFonts w:hint="default" w:ascii="Times New Roman" w:hAnsi="Times New Roman" w:cs="Times New Roman"/>
                      <w:color w:val="auto"/>
                      <w:sz w:val="21"/>
                      <w:szCs w:val="21"/>
                      <w:u w:val="single"/>
                    </w:rPr>
                  </w:pPr>
                </w:p>
              </w:tc>
              <w:tc>
                <w:tcPr>
                  <w:tcW w:w="1772" w:type="dxa"/>
                  <w:gridSpan w:val="2"/>
                  <w:noWrap w:val="0"/>
                  <w:vAlign w:val="center"/>
                </w:tcPr>
                <w:p>
                  <w:pPr>
                    <w:pStyle w:val="37"/>
                    <w:jc w:val="center"/>
                    <w:rPr>
                      <w:rFonts w:hint="default" w:ascii="Times New Roman" w:hAnsi="Times New Roman" w:cs="Times New Roman"/>
                      <w:color w:val="000000"/>
                      <w:kern w:val="2"/>
                      <w:sz w:val="21"/>
                      <w:szCs w:val="21"/>
                      <w:u w:val="single"/>
                      <w:lang w:val="en-US" w:eastAsia="zh-CN" w:bidi="ar-SA"/>
                    </w:rPr>
                  </w:pPr>
                  <w:r>
                    <w:rPr>
                      <w:rFonts w:hint="default" w:ascii="Times New Roman" w:hAnsi="Times New Roman" w:cs="Times New Roman"/>
                      <w:color w:val="000000"/>
                      <w:kern w:val="2"/>
                      <w:sz w:val="21"/>
                      <w:szCs w:val="21"/>
                      <w:u w:val="single"/>
                      <w:lang w:val="en-US" w:eastAsia="zh-CN" w:bidi="ar-SA"/>
                    </w:rPr>
                    <w:t>一般固废间</w:t>
                  </w:r>
                </w:p>
              </w:tc>
              <w:tc>
                <w:tcPr>
                  <w:tcW w:w="1308" w:type="dxa"/>
                  <w:noWrap w:val="0"/>
                  <w:vAlign w:val="center"/>
                </w:tcPr>
                <w:p>
                  <w:pPr>
                    <w:pStyle w:val="37"/>
                    <w:jc w:val="center"/>
                    <w:rPr>
                      <w:rFonts w:hint="default" w:ascii="Times New Roman" w:hAnsi="Times New Roman" w:cs="Times New Roman"/>
                      <w:color w:val="000000"/>
                      <w:kern w:val="2"/>
                      <w:sz w:val="21"/>
                      <w:szCs w:val="21"/>
                      <w:u w:val="single"/>
                      <w:lang w:val="en-US" w:eastAsia="zh-CN" w:bidi="ar-SA"/>
                    </w:rPr>
                  </w:pPr>
                  <w:r>
                    <w:rPr>
                      <w:rFonts w:hint="default" w:ascii="Times New Roman" w:hAnsi="Times New Roman" w:cs="Times New Roman"/>
                      <w:color w:val="000000"/>
                      <w:kern w:val="2"/>
                      <w:sz w:val="21"/>
                      <w:szCs w:val="21"/>
                      <w:u w:val="single"/>
                      <w:lang w:val="en-US" w:eastAsia="zh-CN" w:bidi="ar-SA"/>
                    </w:rPr>
                    <w:t>建筑面积630m</w:t>
                  </w:r>
                  <w:r>
                    <w:rPr>
                      <w:rFonts w:hint="default" w:ascii="Times New Roman" w:hAnsi="Times New Roman" w:cs="Times New Roman"/>
                      <w:color w:val="000000"/>
                      <w:kern w:val="2"/>
                      <w:sz w:val="21"/>
                      <w:szCs w:val="21"/>
                      <w:u w:val="single"/>
                      <w:vertAlign w:val="superscript"/>
                      <w:lang w:val="en-US" w:eastAsia="zh-CN" w:bidi="ar-SA"/>
                    </w:rPr>
                    <w:t>2</w:t>
                  </w:r>
                </w:p>
              </w:tc>
              <w:tc>
                <w:tcPr>
                  <w:tcW w:w="903" w:type="dxa"/>
                  <w:vMerge w:val="continue"/>
                  <w:noWrap w:val="0"/>
                  <w:vAlign w:val="center"/>
                </w:tcPr>
                <w:p>
                  <w:pPr>
                    <w:pStyle w:val="37"/>
                    <w:jc w:val="center"/>
                    <w:rPr>
                      <w:rFonts w:hint="default" w:ascii="Times New Roman" w:hAnsi="Times New Roman" w:cs="Times New Roman"/>
                      <w:color w:val="000000"/>
                      <w:kern w:val="2"/>
                      <w:sz w:val="21"/>
                      <w:szCs w:val="21"/>
                      <w:u w:val="single"/>
                      <w:lang w:val="en-US" w:eastAsia="zh-CN" w:bidi="ar-SA"/>
                    </w:rPr>
                  </w:pPr>
                </w:p>
              </w:tc>
              <w:tc>
                <w:tcPr>
                  <w:tcW w:w="2604" w:type="dxa"/>
                  <w:gridSpan w:val="2"/>
                  <w:vMerge w:val="continue"/>
                  <w:noWrap w:val="0"/>
                  <w:vAlign w:val="center"/>
                </w:tcPr>
                <w:p>
                  <w:pPr>
                    <w:pStyle w:val="37"/>
                    <w:jc w:val="center"/>
                    <w:rPr>
                      <w:rFonts w:hint="default" w:ascii="Times New Roman" w:hAnsi="Times New Roman" w:cs="Times New Roman"/>
                      <w:color w:val="auto"/>
                      <w:sz w:val="21"/>
                      <w:szCs w:val="21"/>
                      <w:u w:val="single"/>
                      <w:lang w:eastAsia="zh-CN"/>
                    </w:rPr>
                  </w:pPr>
                </w:p>
              </w:tc>
              <w:tc>
                <w:tcPr>
                  <w:tcW w:w="715" w:type="dxa"/>
                  <w:vMerge w:val="continue"/>
                  <w:noWrap w:val="0"/>
                  <w:vAlign w:val="center"/>
                </w:tcPr>
                <w:p>
                  <w:pPr>
                    <w:pStyle w:val="37"/>
                    <w:jc w:val="center"/>
                    <w:rPr>
                      <w:rFonts w:hint="default" w:ascii="Times New Roman" w:hAnsi="Times New Roman" w:cs="Times New Roman"/>
                      <w:color w:val="auto"/>
                      <w:sz w:val="21"/>
                      <w:szCs w:val="21"/>
                      <w:u w:val="singl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72" w:hRule="atLeast"/>
                <w:jc w:val="center"/>
              </w:trPr>
              <w:tc>
                <w:tcPr>
                  <w:tcW w:w="408" w:type="dxa"/>
                  <w:vMerge w:val="continue"/>
                  <w:noWrap w:val="0"/>
                  <w:vAlign w:val="center"/>
                </w:tcPr>
                <w:p>
                  <w:pPr>
                    <w:pStyle w:val="37"/>
                    <w:jc w:val="center"/>
                    <w:rPr>
                      <w:rFonts w:hint="default" w:ascii="Times New Roman" w:hAnsi="Times New Roman" w:cs="Times New Roman"/>
                      <w:color w:val="auto"/>
                      <w:sz w:val="21"/>
                      <w:szCs w:val="21"/>
                      <w:u w:val="single"/>
                      <w:lang w:val="en-US" w:eastAsia="zh-CN"/>
                    </w:rPr>
                  </w:pPr>
                </w:p>
              </w:tc>
              <w:tc>
                <w:tcPr>
                  <w:tcW w:w="378" w:type="dxa"/>
                  <w:vMerge w:val="continue"/>
                  <w:noWrap w:val="0"/>
                  <w:vAlign w:val="center"/>
                </w:tcPr>
                <w:p>
                  <w:pPr>
                    <w:pStyle w:val="37"/>
                    <w:jc w:val="center"/>
                    <w:rPr>
                      <w:rFonts w:hint="default" w:ascii="Times New Roman" w:hAnsi="Times New Roman" w:cs="Times New Roman"/>
                      <w:color w:val="auto"/>
                      <w:sz w:val="21"/>
                      <w:szCs w:val="21"/>
                      <w:u w:val="single"/>
                    </w:rPr>
                  </w:pPr>
                </w:p>
              </w:tc>
              <w:tc>
                <w:tcPr>
                  <w:tcW w:w="1772" w:type="dxa"/>
                  <w:gridSpan w:val="2"/>
                  <w:noWrap w:val="0"/>
                  <w:vAlign w:val="center"/>
                </w:tcPr>
                <w:p>
                  <w:pPr>
                    <w:pStyle w:val="37"/>
                    <w:jc w:val="center"/>
                    <w:rPr>
                      <w:rFonts w:hint="default" w:ascii="Times New Roman" w:hAnsi="Times New Roman" w:cs="Times New Roman"/>
                      <w:color w:val="000000"/>
                      <w:kern w:val="2"/>
                      <w:sz w:val="21"/>
                      <w:szCs w:val="21"/>
                      <w:u w:val="single"/>
                      <w:lang w:val="en-US" w:eastAsia="zh-CN" w:bidi="ar-SA"/>
                    </w:rPr>
                  </w:pPr>
                  <w:r>
                    <w:rPr>
                      <w:rFonts w:hint="default" w:ascii="Times New Roman" w:hAnsi="Times New Roman" w:cs="Times New Roman"/>
                      <w:color w:val="000000"/>
                      <w:kern w:val="2"/>
                      <w:sz w:val="21"/>
                      <w:szCs w:val="21"/>
                      <w:u w:val="single"/>
                      <w:lang w:val="en-US" w:eastAsia="zh-CN" w:bidi="ar-SA"/>
                    </w:rPr>
                    <w:t>危废暂存间</w:t>
                  </w:r>
                </w:p>
              </w:tc>
              <w:tc>
                <w:tcPr>
                  <w:tcW w:w="1308" w:type="dxa"/>
                  <w:noWrap w:val="0"/>
                  <w:vAlign w:val="center"/>
                </w:tcPr>
                <w:p>
                  <w:pPr>
                    <w:pStyle w:val="37"/>
                    <w:jc w:val="center"/>
                    <w:rPr>
                      <w:rFonts w:hint="default" w:ascii="Times New Roman" w:hAnsi="Times New Roman" w:cs="Times New Roman"/>
                      <w:color w:val="000000"/>
                      <w:kern w:val="2"/>
                      <w:sz w:val="21"/>
                      <w:szCs w:val="21"/>
                      <w:u w:val="single"/>
                      <w:lang w:val="en-US" w:eastAsia="zh-CN" w:bidi="ar-SA"/>
                    </w:rPr>
                  </w:pPr>
                  <w:r>
                    <w:rPr>
                      <w:rFonts w:hint="default" w:ascii="Times New Roman" w:hAnsi="Times New Roman" w:cs="Times New Roman"/>
                      <w:color w:val="000000"/>
                      <w:kern w:val="2"/>
                      <w:sz w:val="21"/>
                      <w:szCs w:val="21"/>
                      <w:u w:val="single"/>
                      <w:lang w:val="en-US" w:eastAsia="zh-CN" w:bidi="ar-SA"/>
                    </w:rPr>
                    <w:t>建筑面积50m</w:t>
                  </w:r>
                  <w:r>
                    <w:rPr>
                      <w:rFonts w:hint="default" w:ascii="Times New Roman" w:hAnsi="Times New Roman" w:cs="Times New Roman"/>
                      <w:color w:val="000000"/>
                      <w:kern w:val="2"/>
                      <w:sz w:val="21"/>
                      <w:szCs w:val="21"/>
                      <w:u w:val="single"/>
                      <w:vertAlign w:val="superscript"/>
                      <w:lang w:val="en-US" w:eastAsia="zh-CN" w:bidi="ar-SA"/>
                    </w:rPr>
                    <w:t>2</w:t>
                  </w:r>
                </w:p>
              </w:tc>
              <w:tc>
                <w:tcPr>
                  <w:tcW w:w="903" w:type="dxa"/>
                  <w:vMerge w:val="continue"/>
                  <w:noWrap w:val="0"/>
                  <w:vAlign w:val="center"/>
                </w:tcPr>
                <w:p>
                  <w:pPr>
                    <w:pStyle w:val="37"/>
                    <w:jc w:val="center"/>
                    <w:rPr>
                      <w:rFonts w:hint="default" w:ascii="Times New Roman" w:hAnsi="Times New Roman" w:cs="Times New Roman"/>
                      <w:color w:val="000000"/>
                      <w:kern w:val="2"/>
                      <w:sz w:val="21"/>
                      <w:szCs w:val="21"/>
                      <w:u w:val="single"/>
                      <w:lang w:val="en-US" w:eastAsia="zh-CN" w:bidi="ar-SA"/>
                    </w:rPr>
                  </w:pPr>
                </w:p>
              </w:tc>
              <w:tc>
                <w:tcPr>
                  <w:tcW w:w="2604" w:type="dxa"/>
                  <w:gridSpan w:val="2"/>
                  <w:vMerge w:val="continue"/>
                  <w:noWrap w:val="0"/>
                  <w:vAlign w:val="center"/>
                </w:tcPr>
                <w:p>
                  <w:pPr>
                    <w:pStyle w:val="37"/>
                    <w:jc w:val="center"/>
                    <w:rPr>
                      <w:rFonts w:hint="default" w:ascii="Times New Roman" w:hAnsi="Times New Roman" w:cs="Times New Roman"/>
                      <w:color w:val="auto"/>
                      <w:kern w:val="2"/>
                      <w:sz w:val="21"/>
                      <w:szCs w:val="21"/>
                      <w:u w:val="single"/>
                      <w:lang w:val="en-US" w:eastAsia="zh-CN" w:bidi="ar-SA"/>
                    </w:rPr>
                  </w:pPr>
                </w:p>
              </w:tc>
              <w:tc>
                <w:tcPr>
                  <w:tcW w:w="715" w:type="dxa"/>
                  <w:vMerge w:val="continue"/>
                  <w:noWrap w:val="0"/>
                  <w:vAlign w:val="center"/>
                </w:tcPr>
                <w:p>
                  <w:pPr>
                    <w:pStyle w:val="37"/>
                    <w:jc w:val="center"/>
                    <w:rPr>
                      <w:rFonts w:hint="default" w:ascii="Times New Roman" w:hAnsi="Times New Roman" w:cs="Times New Roman"/>
                      <w:color w:val="auto"/>
                      <w:kern w:val="2"/>
                      <w:sz w:val="21"/>
                      <w:szCs w:val="21"/>
                      <w:u w:val="singl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72" w:hRule="atLeast"/>
                <w:jc w:val="center"/>
              </w:trPr>
              <w:tc>
                <w:tcPr>
                  <w:tcW w:w="408" w:type="dxa"/>
                  <w:vMerge w:val="continue"/>
                  <w:noWrap w:val="0"/>
                  <w:vAlign w:val="center"/>
                </w:tcPr>
                <w:p>
                  <w:pPr>
                    <w:pStyle w:val="37"/>
                    <w:jc w:val="center"/>
                    <w:rPr>
                      <w:rFonts w:hint="default" w:ascii="Times New Roman" w:hAnsi="Times New Roman" w:cs="Times New Roman"/>
                      <w:color w:val="auto"/>
                      <w:sz w:val="21"/>
                      <w:szCs w:val="21"/>
                      <w:u w:val="single"/>
                      <w:lang w:val="en-US" w:eastAsia="zh-CN"/>
                    </w:rPr>
                  </w:pPr>
                </w:p>
              </w:tc>
              <w:tc>
                <w:tcPr>
                  <w:tcW w:w="378" w:type="dxa"/>
                  <w:vMerge w:val="continue"/>
                  <w:noWrap w:val="0"/>
                  <w:vAlign w:val="center"/>
                </w:tcPr>
                <w:p>
                  <w:pPr>
                    <w:pStyle w:val="37"/>
                    <w:jc w:val="center"/>
                    <w:rPr>
                      <w:rFonts w:hint="default" w:ascii="Times New Roman" w:hAnsi="Times New Roman" w:cs="Times New Roman"/>
                      <w:color w:val="auto"/>
                      <w:sz w:val="21"/>
                      <w:szCs w:val="21"/>
                      <w:u w:val="single"/>
                    </w:rPr>
                  </w:pPr>
                </w:p>
              </w:tc>
              <w:tc>
                <w:tcPr>
                  <w:tcW w:w="3080" w:type="dxa"/>
                  <w:gridSpan w:val="3"/>
                  <w:noWrap w:val="0"/>
                  <w:vAlign w:val="center"/>
                </w:tcPr>
                <w:p>
                  <w:pPr>
                    <w:pStyle w:val="37"/>
                    <w:jc w:val="center"/>
                    <w:rPr>
                      <w:rFonts w:hint="default" w:ascii="Times New Roman" w:hAnsi="Times New Roman" w:cs="Times New Roman"/>
                      <w:color w:val="000000"/>
                      <w:kern w:val="2"/>
                      <w:sz w:val="21"/>
                      <w:szCs w:val="21"/>
                      <w:u w:val="single"/>
                      <w:lang w:val="en-US" w:eastAsia="zh-CN" w:bidi="ar-SA"/>
                    </w:rPr>
                  </w:pPr>
                  <w:r>
                    <w:rPr>
                      <w:rFonts w:hint="default" w:ascii="Times New Roman" w:hAnsi="Times New Roman" w:cs="Times New Roman"/>
                      <w:color w:val="000000"/>
                      <w:kern w:val="2"/>
                      <w:sz w:val="21"/>
                      <w:szCs w:val="21"/>
                      <w:u w:val="single"/>
                      <w:lang w:val="en-US" w:eastAsia="zh-CN" w:bidi="ar-SA"/>
                    </w:rPr>
                    <w:t>/</w:t>
                  </w:r>
                </w:p>
              </w:tc>
              <w:tc>
                <w:tcPr>
                  <w:tcW w:w="903" w:type="dxa"/>
                  <w:noWrap w:val="0"/>
                  <w:vAlign w:val="center"/>
                </w:tcPr>
                <w:p>
                  <w:pPr>
                    <w:pStyle w:val="37"/>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污泥处理区</w:t>
                  </w:r>
                </w:p>
              </w:tc>
              <w:tc>
                <w:tcPr>
                  <w:tcW w:w="2604" w:type="dxa"/>
                  <w:gridSpan w:val="2"/>
                  <w:noWrap w:val="0"/>
                  <w:vAlign w:val="center"/>
                </w:tcPr>
                <w:p>
                  <w:pPr>
                    <w:pStyle w:val="37"/>
                    <w:jc w:val="center"/>
                    <w:rPr>
                      <w:rFonts w:hint="default" w:ascii="Times New Roman" w:hAnsi="Times New Roman" w:cs="Times New Roman"/>
                      <w:color w:val="auto"/>
                      <w:kern w:val="2"/>
                      <w:sz w:val="21"/>
                      <w:szCs w:val="21"/>
                      <w:u w:val="single"/>
                      <w:lang w:val="en-US" w:eastAsia="zh-CN" w:bidi="ar-SA"/>
                    </w:rPr>
                  </w:pPr>
                  <w:r>
                    <w:rPr>
                      <w:rFonts w:hint="default" w:ascii="Times New Roman" w:hAnsi="Times New Roman" w:cs="Times New Roman"/>
                      <w:color w:val="auto"/>
                      <w:sz w:val="21"/>
                      <w:szCs w:val="21"/>
                      <w:u w:val="single"/>
                      <w:lang w:val="en-US" w:eastAsia="zh-CN"/>
                    </w:rPr>
                    <w:t>位于清水池南侧，占地面积55m</w:t>
                  </w:r>
                  <w:r>
                    <w:rPr>
                      <w:rFonts w:hint="default" w:ascii="Times New Roman" w:hAnsi="Times New Roman" w:cs="Times New Roman"/>
                      <w:color w:val="auto"/>
                      <w:sz w:val="21"/>
                      <w:szCs w:val="21"/>
                      <w:u w:val="single"/>
                      <w:vertAlign w:val="superscript"/>
                      <w:lang w:val="en-US" w:eastAsia="zh-CN"/>
                    </w:rPr>
                    <w:t>2</w:t>
                  </w:r>
                </w:p>
              </w:tc>
              <w:tc>
                <w:tcPr>
                  <w:tcW w:w="715" w:type="dxa"/>
                  <w:noWrap w:val="0"/>
                  <w:vAlign w:val="center"/>
                </w:tcPr>
                <w:p>
                  <w:pPr>
                    <w:pStyle w:val="37"/>
                    <w:jc w:val="center"/>
                    <w:rPr>
                      <w:rFonts w:hint="default" w:ascii="Times New Roman" w:hAnsi="Times New Roman" w:cs="Times New Roman"/>
                      <w:color w:val="auto"/>
                      <w:kern w:val="2"/>
                      <w:sz w:val="21"/>
                      <w:szCs w:val="21"/>
                      <w:u w:val="single"/>
                      <w:lang w:val="en-US" w:eastAsia="zh-CN" w:bidi="ar-SA"/>
                    </w:rPr>
                  </w:pPr>
                  <w:r>
                    <w:rPr>
                      <w:rFonts w:hint="default" w:ascii="Times New Roman" w:hAnsi="Times New Roman" w:cs="Times New Roman"/>
                      <w:color w:val="auto"/>
                      <w:kern w:val="2"/>
                      <w:sz w:val="21"/>
                      <w:szCs w:val="21"/>
                      <w:u w:val="single"/>
                      <w:lang w:val="en-US" w:eastAsia="zh-CN" w:bidi="ar-SA"/>
                    </w:rPr>
                    <w:t>新建</w:t>
                  </w:r>
                </w:p>
              </w:tc>
            </w:tr>
          </w:tbl>
          <w:p>
            <w:pPr>
              <w:pStyle w:val="36"/>
              <w:numPr>
                <w:ilvl w:val="0"/>
                <w:numId w:val="2"/>
              </w:numPr>
              <w:bidi w:val="0"/>
              <w:ind w:left="-2" w:leftChars="0" w:firstLineChars="0"/>
              <w:rPr>
                <w:rFonts w:hint="default" w:ascii="Times New Roman" w:hAnsi="Times New Roman" w:cs="Times New Roman"/>
                <w:b/>
                <w:bCs/>
              </w:rPr>
            </w:pPr>
            <w:r>
              <w:rPr>
                <w:rFonts w:hint="default" w:ascii="Times New Roman" w:hAnsi="Times New Roman" w:cs="Times New Roman"/>
                <w:b/>
                <w:bCs/>
                <w:lang w:val="en-US" w:eastAsia="zh-CN"/>
              </w:rPr>
              <w:t>供水</w:t>
            </w:r>
            <w:r>
              <w:rPr>
                <w:rFonts w:hint="default" w:ascii="Times New Roman" w:hAnsi="Times New Roman" w:cs="Times New Roman"/>
                <w:b/>
                <w:bCs/>
              </w:rPr>
              <w:t>方案</w:t>
            </w:r>
          </w:p>
          <w:p>
            <w:pPr>
              <w:pStyle w:val="36"/>
              <w:bidi w:val="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w:t>
            </w:r>
            <w:r>
              <w:rPr>
                <w:rFonts w:hint="default" w:ascii="Times New Roman" w:hAnsi="Times New Roman" w:cs="Times New Roman"/>
              </w:rPr>
              <w:t>企业具体</w:t>
            </w:r>
            <w:r>
              <w:rPr>
                <w:rFonts w:hint="default" w:ascii="Times New Roman" w:hAnsi="Times New Roman" w:cs="Times New Roman"/>
                <w:lang w:val="en-US" w:eastAsia="zh-CN"/>
              </w:rPr>
              <w:t>供水</w:t>
            </w:r>
            <w:r>
              <w:rPr>
                <w:rFonts w:hint="default" w:ascii="Times New Roman" w:hAnsi="Times New Roman" w:cs="Times New Roman"/>
              </w:rPr>
              <w:t>方案和规模见表</w:t>
            </w:r>
            <w:r>
              <w:rPr>
                <w:rFonts w:hint="default" w:ascii="Times New Roman" w:hAnsi="Times New Roman" w:cs="Times New Roman"/>
                <w:lang w:val="en-US" w:eastAsia="zh-CN"/>
              </w:rPr>
              <w:t>2</w:t>
            </w:r>
            <w:r>
              <w:rPr>
                <w:rFonts w:hint="default" w:ascii="Times New Roman" w:hAnsi="Times New Roman" w:cs="Times New Roman"/>
              </w:rPr>
              <w:t>-</w:t>
            </w:r>
            <w:r>
              <w:rPr>
                <w:rFonts w:hint="default" w:ascii="Times New Roman" w:hAnsi="Times New Roman" w:cs="Times New Roman"/>
                <w:lang w:val="en-US" w:eastAsia="zh-CN"/>
              </w:rPr>
              <w:t>2</w:t>
            </w:r>
            <w:r>
              <w:rPr>
                <w:rFonts w:hint="default" w:ascii="Times New Roman" w:hAnsi="Times New Roman" w:cs="Times New Roman"/>
              </w:rPr>
              <w:t>。</w:t>
            </w:r>
          </w:p>
          <w:p>
            <w:pPr>
              <w:pStyle w:val="33"/>
              <w:rPr>
                <w:rFonts w:hint="default" w:ascii="Times New Roman" w:hAnsi="Times New Roman" w:eastAsia="宋体" w:cs="Times New Roman"/>
                <w:color w:val="000000"/>
                <w:lang w:eastAsia="zh-CN"/>
              </w:rPr>
            </w:pPr>
            <w:r>
              <w:rPr>
                <w:rFonts w:hint="default" w:ascii="Times New Roman" w:hAnsi="Times New Roman" w:cs="Times New Roman"/>
                <w:color w:val="000000"/>
              </w:rPr>
              <w:t>表</w:t>
            </w:r>
            <w:r>
              <w:rPr>
                <w:rFonts w:hint="default" w:ascii="Times New Roman" w:hAnsi="Times New Roman" w:cs="Times New Roman"/>
                <w:color w:val="000000"/>
                <w:lang w:val="en-US" w:eastAsia="zh-CN"/>
              </w:rPr>
              <w:t>2</w:t>
            </w:r>
            <w:r>
              <w:rPr>
                <w:rFonts w:hint="default" w:ascii="Times New Roman" w:hAnsi="Times New Roman" w:cs="Times New Roman"/>
                <w:color w:val="000000"/>
              </w:rPr>
              <w:t>-</w:t>
            </w:r>
            <w:r>
              <w:rPr>
                <w:rFonts w:hint="default" w:ascii="Times New Roman" w:hAnsi="Times New Roman" w:cs="Times New Roman"/>
                <w:color w:val="000000"/>
                <w:lang w:val="en-US" w:eastAsia="zh-CN"/>
              </w:rPr>
              <w:t>2 供水</w:t>
            </w:r>
            <w:r>
              <w:rPr>
                <w:rFonts w:hint="default" w:ascii="Times New Roman" w:hAnsi="Times New Roman" w:cs="Times New Roman"/>
                <w:color w:val="000000"/>
              </w:rPr>
              <w:t>清单</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99"/>
              <w:gridCol w:w="951"/>
              <w:gridCol w:w="1200"/>
              <w:gridCol w:w="1713"/>
              <w:gridCol w:w="937"/>
              <w:gridCol w:w="1213"/>
              <w:gridCol w:w="16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399" w:type="dxa"/>
                  <w:vMerge w:val="restart"/>
                  <w:noWrap w:val="0"/>
                  <w:vAlign w:val="center"/>
                </w:tcPr>
                <w:p>
                  <w:pPr>
                    <w:pStyle w:val="37"/>
                    <w:bidi w:val="0"/>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序号</w:t>
                  </w:r>
                </w:p>
              </w:tc>
              <w:tc>
                <w:tcPr>
                  <w:tcW w:w="2151" w:type="dxa"/>
                  <w:gridSpan w:val="2"/>
                  <w:noWrap w:val="0"/>
                  <w:vAlign w:val="center"/>
                </w:tcPr>
                <w:p>
                  <w:pPr>
                    <w:pStyle w:val="37"/>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改扩建前</w:t>
                  </w:r>
                </w:p>
              </w:tc>
              <w:tc>
                <w:tcPr>
                  <w:tcW w:w="1713" w:type="dxa"/>
                  <w:vMerge w:val="restart"/>
                  <w:noWrap w:val="0"/>
                  <w:vAlign w:val="center"/>
                </w:tcPr>
                <w:p>
                  <w:pPr>
                    <w:pStyle w:val="37"/>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备注</w:t>
                  </w:r>
                </w:p>
              </w:tc>
              <w:tc>
                <w:tcPr>
                  <w:tcW w:w="2150" w:type="dxa"/>
                  <w:gridSpan w:val="2"/>
                  <w:noWrap w:val="0"/>
                  <w:vAlign w:val="center"/>
                </w:tcPr>
                <w:p>
                  <w:pPr>
                    <w:pStyle w:val="37"/>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改扩建后</w:t>
                  </w:r>
                </w:p>
              </w:tc>
              <w:tc>
                <w:tcPr>
                  <w:tcW w:w="1675" w:type="dxa"/>
                  <w:vMerge w:val="restart"/>
                  <w:noWrap w:val="0"/>
                  <w:vAlign w:val="center"/>
                </w:tcPr>
                <w:p>
                  <w:pPr>
                    <w:pStyle w:val="37"/>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9" w:type="dxa"/>
                  <w:vMerge w:val="continue"/>
                  <w:noWrap w:val="0"/>
                  <w:vAlign w:val="center"/>
                </w:tcPr>
                <w:p>
                  <w:pPr>
                    <w:pStyle w:val="37"/>
                    <w:bidi w:val="0"/>
                    <w:rPr>
                      <w:rFonts w:hint="default" w:ascii="Times New Roman" w:hAnsi="Times New Roman" w:cs="Times New Roman"/>
                      <w:sz w:val="21"/>
                      <w:szCs w:val="21"/>
                      <w:lang w:eastAsia="zh-CN"/>
                    </w:rPr>
                  </w:pPr>
                </w:p>
              </w:tc>
              <w:tc>
                <w:tcPr>
                  <w:tcW w:w="951" w:type="dxa"/>
                  <w:noWrap w:val="0"/>
                  <w:vAlign w:val="center"/>
                </w:tcPr>
                <w:p>
                  <w:pPr>
                    <w:pStyle w:val="37"/>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rPr>
                    <w:t>产品</w:t>
                  </w:r>
                </w:p>
              </w:tc>
              <w:tc>
                <w:tcPr>
                  <w:tcW w:w="1200" w:type="dxa"/>
                  <w:noWrap w:val="0"/>
                  <w:vAlign w:val="center"/>
                </w:tcPr>
                <w:p>
                  <w:pPr>
                    <w:pStyle w:val="37"/>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产水量</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a</w:t>
                  </w:r>
                  <w:r>
                    <w:rPr>
                      <w:rFonts w:hint="default" w:ascii="Times New Roman" w:hAnsi="Times New Roman" w:cs="Times New Roman"/>
                      <w:sz w:val="21"/>
                      <w:szCs w:val="21"/>
                      <w:lang w:eastAsia="zh-CN"/>
                    </w:rPr>
                    <w:t>）</w:t>
                  </w:r>
                </w:p>
              </w:tc>
              <w:tc>
                <w:tcPr>
                  <w:tcW w:w="1713" w:type="dxa"/>
                  <w:vMerge w:val="continue"/>
                  <w:noWrap w:val="0"/>
                  <w:vAlign w:val="center"/>
                </w:tcPr>
                <w:p>
                  <w:pPr>
                    <w:pStyle w:val="37"/>
                    <w:bidi w:val="0"/>
                    <w:rPr>
                      <w:rFonts w:hint="default" w:ascii="Times New Roman" w:hAnsi="Times New Roman" w:cs="Times New Roman"/>
                      <w:sz w:val="21"/>
                      <w:szCs w:val="21"/>
                      <w:lang w:val="en-US" w:eastAsia="zh-CN"/>
                    </w:rPr>
                  </w:pPr>
                </w:p>
              </w:tc>
              <w:tc>
                <w:tcPr>
                  <w:tcW w:w="937" w:type="dxa"/>
                  <w:noWrap w:val="0"/>
                  <w:vAlign w:val="center"/>
                </w:tcPr>
                <w:p>
                  <w:pPr>
                    <w:pStyle w:val="37"/>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rPr>
                    <w:t>产品</w:t>
                  </w:r>
                </w:p>
              </w:tc>
              <w:tc>
                <w:tcPr>
                  <w:tcW w:w="1213" w:type="dxa"/>
                  <w:noWrap w:val="0"/>
                  <w:vAlign w:val="center"/>
                </w:tcPr>
                <w:p>
                  <w:pPr>
                    <w:pStyle w:val="37"/>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产水量</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a</w:t>
                  </w:r>
                  <w:r>
                    <w:rPr>
                      <w:rFonts w:hint="default" w:ascii="Times New Roman" w:hAnsi="Times New Roman" w:cs="Times New Roman"/>
                      <w:sz w:val="21"/>
                      <w:szCs w:val="21"/>
                      <w:lang w:eastAsia="zh-CN"/>
                    </w:rPr>
                    <w:t>）</w:t>
                  </w:r>
                </w:p>
              </w:tc>
              <w:tc>
                <w:tcPr>
                  <w:tcW w:w="1675" w:type="dxa"/>
                  <w:vMerge w:val="continue"/>
                  <w:noWrap w:val="0"/>
                  <w:vAlign w:val="center"/>
                </w:tcPr>
                <w:p>
                  <w:pPr>
                    <w:pStyle w:val="37"/>
                    <w:bidi w:val="0"/>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50" w:hRule="atLeast"/>
                <w:jc w:val="center"/>
              </w:trPr>
              <w:tc>
                <w:tcPr>
                  <w:tcW w:w="399" w:type="dxa"/>
                  <w:noWrap w:val="0"/>
                  <w:vAlign w:val="center"/>
                </w:tcPr>
                <w:p>
                  <w:pPr>
                    <w:pStyle w:val="37"/>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p>
              </w:tc>
              <w:tc>
                <w:tcPr>
                  <w:tcW w:w="951" w:type="dxa"/>
                  <w:noWrap w:val="0"/>
                  <w:vAlign w:val="center"/>
                </w:tcPr>
                <w:p>
                  <w:pPr>
                    <w:pStyle w:val="37"/>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初步净化水</w:t>
                  </w:r>
                </w:p>
              </w:tc>
              <w:tc>
                <w:tcPr>
                  <w:tcW w:w="1200" w:type="dxa"/>
                  <w:noWrap w:val="0"/>
                  <w:vAlign w:val="center"/>
                </w:tcPr>
                <w:p>
                  <w:pPr>
                    <w:pStyle w:val="37"/>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1127500</w:t>
                  </w:r>
                </w:p>
              </w:tc>
              <w:tc>
                <w:tcPr>
                  <w:tcW w:w="1713" w:type="dxa"/>
                  <w:vMerge w:val="restart"/>
                  <w:noWrap w:val="0"/>
                  <w:vAlign w:val="center"/>
                </w:tcPr>
                <w:p>
                  <w:pPr>
                    <w:pStyle w:val="37"/>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76300m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a直接供水，525600m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a用于制纯水，525600m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a用于制软水</w:t>
                  </w:r>
                </w:p>
              </w:tc>
              <w:tc>
                <w:tcPr>
                  <w:tcW w:w="937" w:type="dxa"/>
                  <w:noWrap w:val="0"/>
                  <w:vAlign w:val="center"/>
                </w:tcPr>
                <w:p>
                  <w:pPr>
                    <w:pStyle w:val="37"/>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初步净化水</w:t>
                  </w:r>
                </w:p>
              </w:tc>
              <w:tc>
                <w:tcPr>
                  <w:tcW w:w="1213" w:type="dxa"/>
                  <w:noWrap w:val="0"/>
                  <w:vAlign w:val="center"/>
                </w:tcPr>
                <w:p>
                  <w:pPr>
                    <w:pStyle w:val="37"/>
                    <w:bidi w:val="0"/>
                    <w:rPr>
                      <w:rFonts w:hint="default" w:ascii="Times New Roman" w:hAnsi="Times New Roman" w:eastAsia="宋体" w:cs="Times New Roman"/>
                      <w:sz w:val="21"/>
                      <w:szCs w:val="21"/>
                      <w:lang w:val="en-US" w:eastAsia="zh-CN"/>
                    </w:rPr>
                  </w:pPr>
                  <w:r>
                    <w:rPr>
                      <w:rFonts w:hint="default" w:ascii="Times New Roman" w:hAnsi="Times New Roman" w:cs="Times New Roman"/>
                      <w:lang w:val="en-US" w:eastAsia="zh-CN"/>
                    </w:rPr>
                    <w:t>2555000</w:t>
                  </w:r>
                </w:p>
              </w:tc>
              <w:tc>
                <w:tcPr>
                  <w:tcW w:w="1675" w:type="dxa"/>
                  <w:vMerge w:val="restart"/>
                  <w:noWrap w:val="0"/>
                  <w:vAlign w:val="center"/>
                </w:tcPr>
                <w:p>
                  <w:pPr>
                    <w:pStyle w:val="37"/>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386900m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a直接供水，1642500m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a用于制纯水，525600m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a用于制软水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2" w:hRule="atLeast"/>
                <w:jc w:val="center"/>
              </w:trPr>
              <w:tc>
                <w:tcPr>
                  <w:tcW w:w="399" w:type="dxa"/>
                  <w:noWrap w:val="0"/>
                  <w:vAlign w:val="center"/>
                </w:tcPr>
                <w:p>
                  <w:pPr>
                    <w:pStyle w:val="37"/>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w:t>
                  </w:r>
                </w:p>
              </w:tc>
              <w:tc>
                <w:tcPr>
                  <w:tcW w:w="951" w:type="dxa"/>
                  <w:noWrap w:val="0"/>
                  <w:vAlign w:val="center"/>
                </w:tcPr>
                <w:p>
                  <w:pPr>
                    <w:pStyle w:val="37"/>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软水</w:t>
                  </w:r>
                </w:p>
              </w:tc>
              <w:tc>
                <w:tcPr>
                  <w:tcW w:w="1200" w:type="dxa"/>
                  <w:noWrap w:val="0"/>
                  <w:vAlign w:val="center"/>
                </w:tcPr>
                <w:p>
                  <w:pPr>
                    <w:pStyle w:val="37"/>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523410</w:t>
                  </w:r>
                </w:p>
              </w:tc>
              <w:tc>
                <w:tcPr>
                  <w:tcW w:w="1713" w:type="dxa"/>
                  <w:vMerge w:val="continue"/>
                  <w:noWrap w:val="0"/>
                  <w:vAlign w:val="center"/>
                </w:tcPr>
                <w:p>
                  <w:pPr>
                    <w:pStyle w:val="37"/>
                    <w:bidi w:val="0"/>
                    <w:rPr>
                      <w:rFonts w:hint="default" w:ascii="Times New Roman" w:hAnsi="Times New Roman" w:cs="Times New Roman"/>
                      <w:sz w:val="21"/>
                      <w:szCs w:val="21"/>
                      <w:lang w:val="en-US" w:eastAsia="zh-CN"/>
                    </w:rPr>
                  </w:pPr>
                </w:p>
              </w:tc>
              <w:tc>
                <w:tcPr>
                  <w:tcW w:w="937" w:type="dxa"/>
                  <w:noWrap w:val="0"/>
                  <w:vAlign w:val="center"/>
                </w:tcPr>
                <w:p>
                  <w:pPr>
                    <w:pStyle w:val="37"/>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软水</w:t>
                  </w:r>
                </w:p>
              </w:tc>
              <w:tc>
                <w:tcPr>
                  <w:tcW w:w="1213" w:type="dxa"/>
                  <w:noWrap w:val="0"/>
                  <w:vAlign w:val="center"/>
                </w:tcPr>
                <w:p>
                  <w:pPr>
                    <w:pStyle w:val="37"/>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523410</w:t>
                  </w:r>
                </w:p>
              </w:tc>
              <w:tc>
                <w:tcPr>
                  <w:tcW w:w="1675" w:type="dxa"/>
                  <w:vMerge w:val="continue"/>
                  <w:noWrap w:val="0"/>
                  <w:vAlign w:val="center"/>
                </w:tcPr>
                <w:p>
                  <w:pPr>
                    <w:pStyle w:val="37"/>
                    <w:bidi w:val="0"/>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9" w:type="dxa"/>
                  <w:noWrap w:val="0"/>
                  <w:vAlign w:val="center"/>
                </w:tcPr>
                <w:p>
                  <w:pPr>
                    <w:pStyle w:val="37"/>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w:t>
                  </w:r>
                </w:p>
              </w:tc>
              <w:tc>
                <w:tcPr>
                  <w:tcW w:w="951" w:type="dxa"/>
                  <w:noWrap w:val="0"/>
                  <w:vAlign w:val="center"/>
                </w:tcPr>
                <w:p>
                  <w:pPr>
                    <w:pStyle w:val="37"/>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纯水</w:t>
                  </w:r>
                </w:p>
              </w:tc>
              <w:tc>
                <w:tcPr>
                  <w:tcW w:w="1200" w:type="dxa"/>
                  <w:noWrap w:val="0"/>
                  <w:vAlign w:val="center"/>
                </w:tcPr>
                <w:p>
                  <w:pPr>
                    <w:pStyle w:val="37"/>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390250</w:t>
                  </w:r>
                </w:p>
              </w:tc>
              <w:tc>
                <w:tcPr>
                  <w:tcW w:w="1713" w:type="dxa"/>
                  <w:vMerge w:val="continue"/>
                  <w:noWrap w:val="0"/>
                  <w:vAlign w:val="center"/>
                </w:tcPr>
                <w:p>
                  <w:pPr>
                    <w:pStyle w:val="37"/>
                    <w:bidi w:val="0"/>
                    <w:rPr>
                      <w:rFonts w:hint="default" w:ascii="Times New Roman" w:hAnsi="Times New Roman" w:cs="Times New Roman"/>
                      <w:sz w:val="21"/>
                      <w:szCs w:val="21"/>
                      <w:lang w:val="en-US" w:eastAsia="zh-CN"/>
                    </w:rPr>
                  </w:pPr>
                </w:p>
              </w:tc>
              <w:tc>
                <w:tcPr>
                  <w:tcW w:w="937" w:type="dxa"/>
                  <w:noWrap w:val="0"/>
                  <w:vAlign w:val="center"/>
                </w:tcPr>
                <w:p>
                  <w:pPr>
                    <w:pStyle w:val="37"/>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纯水</w:t>
                  </w:r>
                </w:p>
              </w:tc>
              <w:tc>
                <w:tcPr>
                  <w:tcW w:w="1213" w:type="dxa"/>
                  <w:noWrap w:val="0"/>
                  <w:vAlign w:val="center"/>
                </w:tcPr>
                <w:p>
                  <w:pPr>
                    <w:pStyle w:val="37"/>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1309235</w:t>
                  </w:r>
                </w:p>
              </w:tc>
              <w:tc>
                <w:tcPr>
                  <w:tcW w:w="1675" w:type="dxa"/>
                  <w:vMerge w:val="continue"/>
                  <w:noWrap w:val="0"/>
                  <w:vAlign w:val="center"/>
                </w:tcPr>
                <w:p>
                  <w:pPr>
                    <w:pStyle w:val="37"/>
                    <w:bidi w:val="0"/>
                    <w:rPr>
                      <w:rFonts w:hint="default" w:ascii="Times New Roman" w:hAnsi="Times New Roman" w:cs="Times New Roman"/>
                      <w:sz w:val="21"/>
                      <w:szCs w:val="21"/>
                      <w:lang w:val="en-US" w:eastAsia="zh-CN"/>
                    </w:rPr>
                  </w:pPr>
                </w:p>
              </w:tc>
            </w:tr>
          </w:tbl>
          <w:p>
            <w:pPr>
              <w:pStyle w:val="36"/>
              <w:bidi w:val="0"/>
              <w:rPr>
                <w:rFonts w:hint="default" w:ascii="Times New Roman" w:hAnsi="Times New Roman" w:cs="Times New Roman"/>
                <w:b/>
                <w:bCs/>
              </w:rPr>
            </w:pPr>
            <w:r>
              <w:rPr>
                <w:rFonts w:hint="default" w:ascii="Times New Roman" w:hAnsi="Times New Roman" w:cs="Times New Roman"/>
                <w:b/>
                <w:bCs/>
                <w:lang w:val="en-US" w:eastAsia="zh-CN"/>
              </w:rPr>
              <w:t>4</w:t>
            </w:r>
            <w:r>
              <w:rPr>
                <w:rFonts w:hint="default" w:ascii="Times New Roman" w:hAnsi="Times New Roman" w:cs="Times New Roman"/>
                <w:b/>
                <w:bCs/>
              </w:rPr>
              <w:t>、生产定员与工作制度</w:t>
            </w:r>
          </w:p>
          <w:p>
            <w:pPr>
              <w:pStyle w:val="36"/>
              <w:bidi w:val="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本项目不新增员工人数，项目运行时从厂区职工中抽调人员，提供伙食与住宿。工作制度实行8小时三班制，年工作365d。</w:t>
            </w:r>
          </w:p>
          <w:p>
            <w:pPr>
              <w:pStyle w:val="36"/>
              <w:bidi w:val="0"/>
              <w:rPr>
                <w:rFonts w:hint="default" w:ascii="Times New Roman" w:hAnsi="Times New Roman" w:cs="Times New Roman"/>
                <w:b/>
                <w:bCs/>
              </w:rPr>
            </w:pPr>
            <w:r>
              <w:rPr>
                <w:rFonts w:hint="default" w:ascii="Times New Roman" w:hAnsi="Times New Roman" w:cs="Times New Roman"/>
                <w:b/>
                <w:bCs/>
                <w:lang w:val="en-US" w:eastAsia="zh-CN"/>
              </w:rPr>
              <w:t>5</w:t>
            </w:r>
            <w:r>
              <w:rPr>
                <w:rFonts w:hint="default" w:ascii="Times New Roman" w:hAnsi="Times New Roman" w:cs="Times New Roman"/>
                <w:b/>
                <w:bCs/>
              </w:rPr>
              <w:t>、生产设备及原辅料情况</w:t>
            </w:r>
          </w:p>
          <w:p>
            <w:pPr>
              <w:pStyle w:val="36"/>
              <w:bidi w:val="0"/>
              <w:rPr>
                <w:rFonts w:hint="default" w:ascii="Times New Roman" w:hAnsi="Times New Roman" w:cs="Times New Roman"/>
              </w:rPr>
            </w:pPr>
            <w:r>
              <w:rPr>
                <w:rFonts w:hint="default" w:ascii="Times New Roman" w:hAnsi="Times New Roman" w:cs="Times New Roman"/>
                <w:lang w:val="en-US" w:eastAsia="zh-CN"/>
              </w:rPr>
              <w:t>本项目</w:t>
            </w:r>
            <w:r>
              <w:rPr>
                <w:rFonts w:hint="default" w:ascii="Times New Roman" w:hAnsi="Times New Roman" w:cs="Times New Roman"/>
                <w:lang w:eastAsia="zh-CN"/>
              </w:rPr>
              <w:t>主要原辅料情况</w:t>
            </w:r>
            <w:r>
              <w:rPr>
                <w:rFonts w:hint="default" w:ascii="Times New Roman" w:hAnsi="Times New Roman" w:cs="Times New Roman"/>
              </w:rPr>
              <w:t>见表</w:t>
            </w:r>
            <w:r>
              <w:rPr>
                <w:rFonts w:hint="default" w:ascii="Times New Roman" w:hAnsi="Times New Roman" w:cs="Times New Roman"/>
                <w:lang w:val="en-US" w:eastAsia="zh-CN"/>
              </w:rPr>
              <w:t>2</w:t>
            </w:r>
            <w:r>
              <w:rPr>
                <w:rFonts w:hint="default" w:ascii="Times New Roman" w:hAnsi="Times New Roman" w:cs="Times New Roman"/>
              </w:rPr>
              <w:t>-</w:t>
            </w:r>
            <w:r>
              <w:rPr>
                <w:rFonts w:hint="default" w:ascii="Times New Roman" w:hAnsi="Times New Roman" w:cs="Times New Roman"/>
                <w:lang w:val="en-US" w:eastAsia="zh-CN"/>
              </w:rPr>
              <w:t>3</w:t>
            </w:r>
            <w:r>
              <w:rPr>
                <w:rFonts w:hint="default" w:ascii="Times New Roman" w:hAnsi="Times New Roman" w:cs="Times New Roman"/>
              </w:rPr>
              <w:t>。</w:t>
            </w:r>
          </w:p>
          <w:p>
            <w:pPr>
              <w:pStyle w:val="33"/>
              <w:rPr>
                <w:rFonts w:hint="default" w:ascii="Times New Roman" w:hAnsi="Times New Roman" w:cs="Times New Roman"/>
                <w:color w:val="000000"/>
                <w:u w:val="none"/>
                <w:lang w:val="en-US" w:eastAsia="zh-CN"/>
              </w:rPr>
            </w:pPr>
            <w:r>
              <w:rPr>
                <w:rFonts w:hint="default" w:ascii="Times New Roman" w:hAnsi="Times New Roman" w:cs="Times New Roman"/>
                <w:color w:val="000000"/>
                <w:u w:val="none"/>
                <w:lang w:val="en-US" w:eastAsia="zh-CN"/>
              </w:rPr>
              <w:t>表2-3 主要原辅材料表</w:t>
            </w:r>
          </w:p>
          <w:tbl>
            <w:tblPr>
              <w:tblStyle w:val="22"/>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27"/>
              <w:gridCol w:w="1193"/>
              <w:gridCol w:w="1045"/>
              <w:gridCol w:w="1198"/>
              <w:gridCol w:w="812"/>
              <w:gridCol w:w="850"/>
              <w:gridCol w:w="974"/>
              <w:gridCol w:w="148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527" w:type="dxa"/>
                  <w:tcBorders>
                    <w:tl2br w:val="nil"/>
                    <w:tr2bl w:val="nil"/>
                  </w:tcBorders>
                  <w:noWrap w:val="0"/>
                  <w:vAlign w:val="center"/>
                </w:tcPr>
                <w:p>
                  <w:pPr>
                    <w:pStyle w:val="37"/>
                    <w:bidi w:val="0"/>
                    <w:rPr>
                      <w:rFonts w:hint="default" w:ascii="Times New Roman" w:hAnsi="Times New Roman" w:cs="Times New Roman"/>
                    </w:rPr>
                  </w:pPr>
                  <w:r>
                    <w:rPr>
                      <w:rFonts w:hint="default" w:ascii="Times New Roman" w:hAnsi="Times New Roman" w:cs="Times New Roman"/>
                    </w:rPr>
                    <w:t>序号</w:t>
                  </w:r>
                </w:p>
              </w:tc>
              <w:tc>
                <w:tcPr>
                  <w:tcW w:w="1193" w:type="dxa"/>
                  <w:tcBorders>
                    <w:tl2br w:val="nil"/>
                    <w:tr2bl w:val="nil"/>
                  </w:tcBorders>
                  <w:noWrap w:val="0"/>
                  <w:vAlign w:val="center"/>
                </w:tcPr>
                <w:p>
                  <w:pPr>
                    <w:pStyle w:val="37"/>
                    <w:bidi w:val="0"/>
                    <w:rPr>
                      <w:rFonts w:hint="default" w:ascii="Times New Roman" w:hAnsi="Times New Roman" w:eastAsia="宋体" w:cs="Times New Roman"/>
                      <w:lang w:eastAsia="zh-CN"/>
                    </w:rPr>
                  </w:pPr>
                  <w:r>
                    <w:rPr>
                      <w:rFonts w:hint="default" w:ascii="Times New Roman" w:hAnsi="Times New Roman" w:cs="Times New Roman"/>
                      <w:lang w:val="en-US" w:eastAsia="zh-CN"/>
                    </w:rPr>
                    <w:t>名称</w:t>
                  </w:r>
                </w:p>
              </w:tc>
              <w:tc>
                <w:tcPr>
                  <w:tcW w:w="1045" w:type="dxa"/>
                  <w:tcBorders>
                    <w:tl2br w:val="nil"/>
                    <w:tr2bl w:val="nil"/>
                  </w:tcBorders>
                  <w:noWrap w:val="0"/>
                  <w:vAlign w:val="center"/>
                </w:tcPr>
                <w:p>
                  <w:pPr>
                    <w:pStyle w:val="37"/>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改扩建前年用量</w:t>
                  </w:r>
                </w:p>
              </w:tc>
              <w:tc>
                <w:tcPr>
                  <w:tcW w:w="1198" w:type="dxa"/>
                  <w:tcBorders>
                    <w:tl2br w:val="nil"/>
                    <w:tr2bl w:val="nil"/>
                  </w:tcBorders>
                  <w:noWrap w:val="0"/>
                  <w:vAlign w:val="center"/>
                </w:tcPr>
                <w:p>
                  <w:pPr>
                    <w:pStyle w:val="37"/>
                    <w:bidi w:val="0"/>
                    <w:rPr>
                      <w:rFonts w:hint="default" w:ascii="Times New Roman" w:hAnsi="Times New Roman" w:cs="Times New Roman"/>
                    </w:rPr>
                  </w:pPr>
                  <w:r>
                    <w:rPr>
                      <w:rFonts w:hint="default" w:ascii="Times New Roman" w:hAnsi="Times New Roman" w:cs="Times New Roman"/>
                      <w:lang w:val="en-US" w:eastAsia="zh-CN"/>
                    </w:rPr>
                    <w:t>改扩建后</w:t>
                  </w:r>
                  <w:r>
                    <w:rPr>
                      <w:rFonts w:hint="default" w:ascii="Times New Roman" w:hAnsi="Times New Roman" w:cs="Times New Roman"/>
                    </w:rPr>
                    <w:t>年用量</w:t>
                  </w:r>
                </w:p>
              </w:tc>
              <w:tc>
                <w:tcPr>
                  <w:tcW w:w="812"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最大存储量</w:t>
                  </w:r>
                </w:p>
              </w:tc>
              <w:tc>
                <w:tcPr>
                  <w:tcW w:w="850" w:type="dxa"/>
                  <w:tcBorders>
                    <w:tl2br w:val="nil"/>
                    <w:tr2bl w:val="nil"/>
                  </w:tcBorders>
                  <w:noWrap w:val="0"/>
                  <w:vAlign w:val="center"/>
                </w:tcPr>
                <w:p>
                  <w:pPr>
                    <w:pStyle w:val="37"/>
                    <w:bidi w:val="0"/>
                    <w:rPr>
                      <w:rFonts w:hint="default" w:ascii="Times New Roman" w:hAnsi="Times New Roman" w:cs="Times New Roman"/>
                    </w:rPr>
                  </w:pPr>
                  <w:r>
                    <w:rPr>
                      <w:rFonts w:hint="default" w:ascii="Times New Roman" w:hAnsi="Times New Roman" w:cs="Times New Roman"/>
                    </w:rPr>
                    <w:t>储存位置</w:t>
                  </w:r>
                </w:p>
              </w:tc>
              <w:tc>
                <w:tcPr>
                  <w:tcW w:w="974" w:type="dxa"/>
                  <w:tcBorders>
                    <w:tl2br w:val="nil"/>
                    <w:tr2bl w:val="nil"/>
                  </w:tcBorders>
                  <w:noWrap w:val="0"/>
                  <w:vAlign w:val="center"/>
                </w:tcPr>
                <w:p>
                  <w:pPr>
                    <w:pStyle w:val="37"/>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储罐容积</w:t>
                  </w:r>
                </w:p>
              </w:tc>
              <w:tc>
                <w:tcPr>
                  <w:tcW w:w="1489" w:type="dxa"/>
                  <w:tcBorders>
                    <w:tl2br w:val="nil"/>
                    <w:tr2bl w:val="nil"/>
                  </w:tcBorders>
                  <w:noWrap w:val="0"/>
                  <w:vAlign w:val="center"/>
                </w:tcPr>
                <w:p>
                  <w:pPr>
                    <w:pStyle w:val="37"/>
                    <w:bidi w:val="0"/>
                    <w:rPr>
                      <w:rFonts w:hint="default" w:ascii="Times New Roman" w:hAnsi="Times New Roman" w:cs="Times New Roman"/>
                    </w:rPr>
                  </w:pPr>
                  <w:r>
                    <w:rPr>
                      <w:rFonts w:hint="default" w:ascii="Times New Roman" w:hAnsi="Times New Roman" w:cs="Times New Roman"/>
                    </w:rPr>
                    <w:t>来源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27" w:type="dxa"/>
                  <w:tcBorders>
                    <w:tl2br w:val="nil"/>
                    <w:tr2bl w:val="nil"/>
                  </w:tcBorders>
                  <w:noWrap w:val="0"/>
                  <w:vAlign w:val="center"/>
                </w:tcPr>
                <w:p>
                  <w:pPr>
                    <w:pStyle w:val="37"/>
                    <w:bidi w:val="0"/>
                    <w:rPr>
                      <w:rFonts w:hint="default" w:ascii="Times New Roman" w:hAnsi="Times New Roman" w:cs="Times New Roman"/>
                    </w:rPr>
                  </w:pPr>
                  <w:r>
                    <w:rPr>
                      <w:rFonts w:hint="default" w:ascii="Times New Roman" w:hAnsi="Times New Roman" w:cs="Times New Roman"/>
                    </w:rPr>
                    <w:t>1</w:t>
                  </w:r>
                </w:p>
              </w:tc>
              <w:tc>
                <w:tcPr>
                  <w:tcW w:w="1193"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河水</w:t>
                  </w:r>
                </w:p>
              </w:tc>
              <w:tc>
                <w:tcPr>
                  <w:tcW w:w="1045" w:type="dxa"/>
                  <w:tcBorders>
                    <w:tl2br w:val="nil"/>
                    <w:tr2bl w:val="nil"/>
                  </w:tcBorders>
                  <w:noWrap w:val="0"/>
                  <w:vAlign w:val="center"/>
                </w:tcPr>
                <w:p>
                  <w:pPr>
                    <w:pStyle w:val="37"/>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1314000m</w:t>
                  </w:r>
                  <w:r>
                    <w:rPr>
                      <w:rFonts w:hint="default" w:ascii="Times New Roman" w:hAnsi="Times New Roman" w:cs="Times New Roman"/>
                      <w:highlight w:val="none"/>
                      <w:vertAlign w:val="superscript"/>
                      <w:lang w:val="en-US" w:eastAsia="zh-CN"/>
                    </w:rPr>
                    <w:t>3</w:t>
                  </w:r>
                </w:p>
              </w:tc>
              <w:tc>
                <w:tcPr>
                  <w:tcW w:w="1198"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highlight w:val="none"/>
                      <w:lang w:val="en-US" w:eastAsia="zh-CN"/>
                    </w:rPr>
                    <w:t>2555985.5m</w:t>
                  </w:r>
                  <w:r>
                    <w:rPr>
                      <w:rFonts w:hint="default" w:ascii="Times New Roman" w:hAnsi="Times New Roman" w:cs="Times New Roman"/>
                      <w:highlight w:val="none"/>
                      <w:vertAlign w:val="superscript"/>
                      <w:lang w:val="en-US" w:eastAsia="zh-CN"/>
                    </w:rPr>
                    <w:t>3</w:t>
                  </w:r>
                </w:p>
              </w:tc>
              <w:tc>
                <w:tcPr>
                  <w:tcW w:w="812"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850"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rPr>
                    <w:t>管道输送</w:t>
                  </w:r>
                </w:p>
              </w:tc>
              <w:tc>
                <w:tcPr>
                  <w:tcW w:w="974" w:type="dxa"/>
                  <w:tcBorders>
                    <w:tl2br w:val="nil"/>
                    <w:tr2bl w:val="nil"/>
                  </w:tcBorders>
                  <w:noWrap w:val="0"/>
                  <w:vAlign w:val="center"/>
                </w:tcPr>
                <w:p>
                  <w:pPr>
                    <w:pStyle w:val="37"/>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w:t>
                  </w:r>
                </w:p>
              </w:tc>
              <w:tc>
                <w:tcPr>
                  <w:tcW w:w="1489"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沅江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527" w:type="dxa"/>
                  <w:tcBorders>
                    <w:tl2br w:val="nil"/>
                    <w:tr2bl w:val="nil"/>
                  </w:tcBorders>
                  <w:noWrap w:val="0"/>
                  <w:vAlign w:val="center"/>
                </w:tcPr>
                <w:p>
                  <w:pPr>
                    <w:pStyle w:val="37"/>
                    <w:bidi w:val="0"/>
                    <w:rPr>
                      <w:rFonts w:hint="default" w:ascii="Times New Roman" w:hAnsi="Times New Roman" w:cs="Times New Roman"/>
                    </w:rPr>
                  </w:pPr>
                  <w:r>
                    <w:rPr>
                      <w:rFonts w:hint="default" w:ascii="Times New Roman" w:hAnsi="Times New Roman" w:cs="Times New Roman"/>
                    </w:rPr>
                    <w:t>2</w:t>
                  </w:r>
                </w:p>
              </w:tc>
              <w:tc>
                <w:tcPr>
                  <w:tcW w:w="1193"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聚合氯化铝</w:t>
                  </w:r>
                </w:p>
              </w:tc>
              <w:tc>
                <w:tcPr>
                  <w:tcW w:w="1045" w:type="dxa"/>
                  <w:tcBorders>
                    <w:tl2br w:val="nil"/>
                    <w:tr2bl w:val="nil"/>
                  </w:tcBorders>
                  <w:noWrap w:val="0"/>
                  <w:vAlign w:val="center"/>
                </w:tcPr>
                <w:p>
                  <w:pPr>
                    <w:pStyle w:val="37"/>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10t</w:t>
                  </w:r>
                </w:p>
              </w:tc>
              <w:tc>
                <w:tcPr>
                  <w:tcW w:w="1198"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20t</w:t>
                  </w:r>
                </w:p>
              </w:tc>
              <w:tc>
                <w:tcPr>
                  <w:tcW w:w="812"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2t</w:t>
                  </w:r>
                </w:p>
              </w:tc>
              <w:tc>
                <w:tcPr>
                  <w:tcW w:w="850" w:type="dxa"/>
                  <w:tcBorders>
                    <w:tl2br w:val="nil"/>
                    <w:tr2bl w:val="nil"/>
                  </w:tcBorders>
                  <w:noWrap w:val="0"/>
                  <w:vAlign w:val="center"/>
                </w:tcPr>
                <w:p>
                  <w:pPr>
                    <w:pStyle w:val="37"/>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仓库</w:t>
                  </w:r>
                </w:p>
              </w:tc>
              <w:tc>
                <w:tcPr>
                  <w:tcW w:w="974"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489" w:type="dxa"/>
                  <w:tcBorders>
                    <w:tl2br w:val="nil"/>
                    <w:tr2bl w:val="nil"/>
                  </w:tcBorders>
                  <w:noWrap w:val="0"/>
                  <w:vAlign w:val="center"/>
                </w:tcPr>
                <w:p>
                  <w:pPr>
                    <w:pStyle w:val="37"/>
                    <w:bidi w:val="0"/>
                    <w:rPr>
                      <w:rFonts w:hint="default" w:ascii="Times New Roman" w:hAnsi="Times New Roman" w:cs="Times New Roman"/>
                    </w:rPr>
                  </w:pPr>
                  <w:r>
                    <w:rPr>
                      <w:rFonts w:hint="default" w:ascii="Times New Roman" w:hAnsi="Times New Roman" w:cs="Times New Roman"/>
                    </w:rPr>
                    <w:t>市场外购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527"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3</w:t>
                  </w:r>
                </w:p>
              </w:tc>
              <w:tc>
                <w:tcPr>
                  <w:tcW w:w="1193"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聚丙烯酰胺</w:t>
                  </w:r>
                </w:p>
              </w:tc>
              <w:tc>
                <w:tcPr>
                  <w:tcW w:w="1045" w:type="dxa"/>
                  <w:tcBorders>
                    <w:tl2br w:val="nil"/>
                    <w:tr2bl w:val="nil"/>
                  </w:tcBorders>
                  <w:noWrap w:val="0"/>
                  <w:vAlign w:val="center"/>
                </w:tcPr>
                <w:p>
                  <w:pPr>
                    <w:pStyle w:val="37"/>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10t</w:t>
                  </w:r>
                </w:p>
              </w:tc>
              <w:tc>
                <w:tcPr>
                  <w:tcW w:w="1198"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20t</w:t>
                  </w:r>
                </w:p>
              </w:tc>
              <w:tc>
                <w:tcPr>
                  <w:tcW w:w="812"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2t</w:t>
                  </w:r>
                </w:p>
              </w:tc>
              <w:tc>
                <w:tcPr>
                  <w:tcW w:w="850"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仓库</w:t>
                  </w:r>
                </w:p>
              </w:tc>
              <w:tc>
                <w:tcPr>
                  <w:tcW w:w="974"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489"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rPr>
                    <w:t>市场外购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527"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4</w:t>
                  </w:r>
                </w:p>
              </w:tc>
              <w:tc>
                <w:tcPr>
                  <w:tcW w:w="1193"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阻垢剂</w:t>
                  </w:r>
                </w:p>
              </w:tc>
              <w:tc>
                <w:tcPr>
                  <w:tcW w:w="1045" w:type="dxa"/>
                  <w:tcBorders>
                    <w:tl2br w:val="nil"/>
                    <w:tr2bl w:val="nil"/>
                  </w:tcBorders>
                  <w:noWrap w:val="0"/>
                  <w:vAlign w:val="center"/>
                </w:tcPr>
                <w:p>
                  <w:pPr>
                    <w:pStyle w:val="37"/>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2t</w:t>
                  </w:r>
                </w:p>
              </w:tc>
              <w:tc>
                <w:tcPr>
                  <w:tcW w:w="1198"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4t</w:t>
                  </w:r>
                </w:p>
              </w:tc>
              <w:tc>
                <w:tcPr>
                  <w:tcW w:w="812"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1t</w:t>
                  </w:r>
                </w:p>
              </w:tc>
              <w:tc>
                <w:tcPr>
                  <w:tcW w:w="850"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仓库</w:t>
                  </w:r>
                </w:p>
              </w:tc>
              <w:tc>
                <w:tcPr>
                  <w:tcW w:w="974"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489" w:type="dxa"/>
                  <w:tcBorders>
                    <w:tl2br w:val="nil"/>
                    <w:tr2bl w:val="nil"/>
                  </w:tcBorders>
                  <w:noWrap w:val="0"/>
                  <w:vAlign w:val="center"/>
                </w:tcPr>
                <w:p>
                  <w:pPr>
                    <w:bidi w:val="0"/>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市场外购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527"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5</w:t>
                  </w:r>
                </w:p>
              </w:tc>
              <w:tc>
                <w:tcPr>
                  <w:tcW w:w="1193"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还原剂</w:t>
                  </w:r>
                </w:p>
              </w:tc>
              <w:tc>
                <w:tcPr>
                  <w:tcW w:w="1045" w:type="dxa"/>
                  <w:tcBorders>
                    <w:tl2br w:val="nil"/>
                    <w:tr2bl w:val="nil"/>
                  </w:tcBorders>
                  <w:noWrap w:val="0"/>
                  <w:vAlign w:val="center"/>
                </w:tcPr>
                <w:p>
                  <w:pPr>
                    <w:pStyle w:val="37"/>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2t</w:t>
                  </w:r>
                </w:p>
              </w:tc>
              <w:tc>
                <w:tcPr>
                  <w:tcW w:w="1198"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4t</w:t>
                  </w:r>
                </w:p>
              </w:tc>
              <w:tc>
                <w:tcPr>
                  <w:tcW w:w="812"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1t</w:t>
                  </w:r>
                </w:p>
              </w:tc>
              <w:tc>
                <w:tcPr>
                  <w:tcW w:w="850"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highlight w:val="none"/>
                      <w:lang w:val="en-US" w:eastAsia="zh-CN"/>
                    </w:rPr>
                    <w:t>仓库</w:t>
                  </w:r>
                </w:p>
              </w:tc>
              <w:tc>
                <w:tcPr>
                  <w:tcW w:w="974"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489" w:type="dxa"/>
                  <w:tcBorders>
                    <w:tl2br w:val="nil"/>
                    <w:tr2bl w:val="nil"/>
                  </w:tcBorders>
                  <w:noWrap w:val="0"/>
                  <w:vAlign w:val="center"/>
                </w:tcPr>
                <w:p>
                  <w:pPr>
                    <w:bidi w:val="0"/>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市场外购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527"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6</w:t>
                  </w:r>
                </w:p>
              </w:tc>
              <w:tc>
                <w:tcPr>
                  <w:tcW w:w="1193" w:type="dxa"/>
                  <w:tcBorders>
                    <w:tl2br w:val="nil"/>
                    <w:tr2bl w:val="nil"/>
                  </w:tcBorders>
                  <w:noWrap w:val="0"/>
                  <w:vAlign w:val="center"/>
                </w:tcPr>
                <w:p>
                  <w:pPr>
                    <w:pStyle w:val="37"/>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34%盐酸</w:t>
                  </w:r>
                </w:p>
              </w:tc>
              <w:tc>
                <w:tcPr>
                  <w:tcW w:w="1045" w:type="dxa"/>
                  <w:tcBorders>
                    <w:tl2br w:val="nil"/>
                    <w:tr2bl w:val="nil"/>
                  </w:tcBorders>
                  <w:noWrap w:val="0"/>
                  <w:vAlign w:val="center"/>
                </w:tcPr>
                <w:p>
                  <w:pPr>
                    <w:pStyle w:val="37"/>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5m³</w:t>
                  </w:r>
                </w:p>
              </w:tc>
              <w:tc>
                <w:tcPr>
                  <w:tcW w:w="1198" w:type="dxa"/>
                  <w:tcBorders>
                    <w:tl2br w:val="nil"/>
                    <w:tr2bl w:val="nil"/>
                  </w:tcBorders>
                  <w:noWrap w:val="0"/>
                  <w:vAlign w:val="center"/>
                </w:tcPr>
                <w:p>
                  <w:pPr>
                    <w:pStyle w:val="37"/>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10m³</w:t>
                  </w:r>
                </w:p>
              </w:tc>
              <w:tc>
                <w:tcPr>
                  <w:tcW w:w="812" w:type="dxa"/>
                  <w:tcBorders>
                    <w:tl2br w:val="nil"/>
                    <w:tr2bl w:val="nil"/>
                  </w:tcBorders>
                  <w:noWrap w:val="0"/>
                  <w:vAlign w:val="center"/>
                </w:tcPr>
                <w:p>
                  <w:pPr>
                    <w:pStyle w:val="37"/>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1m³</w:t>
                  </w:r>
                </w:p>
              </w:tc>
              <w:tc>
                <w:tcPr>
                  <w:tcW w:w="850" w:type="dxa"/>
                  <w:tcBorders>
                    <w:tl2br w:val="nil"/>
                    <w:tr2bl w:val="nil"/>
                  </w:tcBorders>
                  <w:noWrap w:val="0"/>
                  <w:vAlign w:val="center"/>
                </w:tcPr>
                <w:p>
                  <w:pPr>
                    <w:pStyle w:val="37"/>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仓库</w:t>
                  </w:r>
                  <w:r>
                    <w:rPr>
                      <w:rFonts w:hint="default" w:ascii="Times New Roman" w:hAnsi="Times New Roman" w:cs="Times New Roman"/>
                      <w:lang w:val="en-US" w:eastAsia="zh-CN"/>
                    </w:rPr>
                    <w:t>桶装</w:t>
                  </w:r>
                </w:p>
              </w:tc>
              <w:tc>
                <w:tcPr>
                  <w:tcW w:w="974" w:type="dxa"/>
                  <w:tcBorders>
                    <w:tl2br w:val="nil"/>
                    <w:tr2bl w:val="nil"/>
                  </w:tcBorders>
                  <w:noWrap w:val="0"/>
                  <w:vAlign w:val="center"/>
                </w:tcPr>
                <w:p>
                  <w:pPr>
                    <w:pStyle w:val="37"/>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1m³</w:t>
                  </w:r>
                </w:p>
              </w:tc>
              <w:tc>
                <w:tcPr>
                  <w:tcW w:w="1489" w:type="dxa"/>
                  <w:tcBorders>
                    <w:tl2br w:val="nil"/>
                    <w:tr2bl w:val="nil"/>
                  </w:tcBorders>
                  <w:noWrap w:val="0"/>
                  <w:vAlign w:val="center"/>
                </w:tcPr>
                <w:p>
                  <w:pPr>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企业自产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527"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7</w:t>
                  </w:r>
                </w:p>
              </w:tc>
              <w:tc>
                <w:tcPr>
                  <w:tcW w:w="1193" w:type="dxa"/>
                  <w:tcBorders>
                    <w:tl2br w:val="nil"/>
                    <w:tr2bl w:val="nil"/>
                  </w:tcBorders>
                  <w:noWrap w:val="0"/>
                  <w:vAlign w:val="center"/>
                </w:tcPr>
                <w:p>
                  <w:pPr>
                    <w:pStyle w:val="37"/>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32%氢氧化钠</w:t>
                  </w:r>
                </w:p>
              </w:tc>
              <w:tc>
                <w:tcPr>
                  <w:tcW w:w="1045" w:type="dxa"/>
                  <w:tcBorders>
                    <w:tl2br w:val="nil"/>
                    <w:tr2bl w:val="nil"/>
                  </w:tcBorders>
                  <w:noWrap w:val="0"/>
                  <w:vAlign w:val="center"/>
                </w:tcPr>
                <w:p>
                  <w:pPr>
                    <w:pStyle w:val="37"/>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5m³</w:t>
                  </w:r>
                </w:p>
              </w:tc>
              <w:tc>
                <w:tcPr>
                  <w:tcW w:w="1198" w:type="dxa"/>
                  <w:tcBorders>
                    <w:tl2br w:val="nil"/>
                    <w:tr2bl w:val="nil"/>
                  </w:tcBorders>
                  <w:noWrap w:val="0"/>
                  <w:vAlign w:val="center"/>
                </w:tcPr>
                <w:p>
                  <w:pPr>
                    <w:pStyle w:val="37"/>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10m³</w:t>
                  </w:r>
                </w:p>
              </w:tc>
              <w:tc>
                <w:tcPr>
                  <w:tcW w:w="812" w:type="dxa"/>
                  <w:tcBorders>
                    <w:tl2br w:val="nil"/>
                    <w:tr2bl w:val="nil"/>
                  </w:tcBorders>
                  <w:noWrap w:val="0"/>
                  <w:vAlign w:val="center"/>
                </w:tcPr>
                <w:p>
                  <w:pPr>
                    <w:pStyle w:val="37"/>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1m³</w:t>
                  </w:r>
                </w:p>
              </w:tc>
              <w:tc>
                <w:tcPr>
                  <w:tcW w:w="850" w:type="dxa"/>
                  <w:tcBorders>
                    <w:tl2br w:val="nil"/>
                    <w:tr2bl w:val="nil"/>
                  </w:tcBorders>
                  <w:noWrap w:val="0"/>
                  <w:vAlign w:val="center"/>
                </w:tcPr>
                <w:p>
                  <w:pPr>
                    <w:pStyle w:val="37"/>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仓库</w:t>
                  </w:r>
                  <w:r>
                    <w:rPr>
                      <w:rFonts w:hint="default" w:ascii="Times New Roman" w:hAnsi="Times New Roman" w:cs="Times New Roman"/>
                      <w:lang w:val="en-US" w:eastAsia="zh-CN"/>
                    </w:rPr>
                    <w:t>桶装</w:t>
                  </w:r>
                </w:p>
              </w:tc>
              <w:tc>
                <w:tcPr>
                  <w:tcW w:w="974" w:type="dxa"/>
                  <w:tcBorders>
                    <w:tl2br w:val="nil"/>
                    <w:tr2bl w:val="nil"/>
                  </w:tcBorders>
                  <w:noWrap w:val="0"/>
                  <w:vAlign w:val="center"/>
                </w:tcPr>
                <w:p>
                  <w:pPr>
                    <w:pStyle w:val="37"/>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1m³</w:t>
                  </w:r>
                </w:p>
              </w:tc>
              <w:tc>
                <w:tcPr>
                  <w:tcW w:w="1489" w:type="dxa"/>
                  <w:tcBorders>
                    <w:tl2br w:val="nil"/>
                    <w:tr2bl w:val="nil"/>
                  </w:tcBorders>
                  <w:noWrap w:val="0"/>
                  <w:vAlign w:val="center"/>
                </w:tcPr>
                <w:p>
                  <w:pPr>
                    <w:bidi w:val="0"/>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企业自产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527"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8</w:t>
                  </w:r>
                </w:p>
              </w:tc>
              <w:tc>
                <w:tcPr>
                  <w:tcW w:w="1193" w:type="dxa"/>
                  <w:tcBorders>
                    <w:tl2br w:val="nil"/>
                    <w:tr2bl w:val="nil"/>
                  </w:tcBorders>
                  <w:noWrap w:val="0"/>
                  <w:vAlign w:val="center"/>
                </w:tcPr>
                <w:p>
                  <w:pPr>
                    <w:pStyle w:val="37"/>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20%氨水</w:t>
                  </w:r>
                </w:p>
              </w:tc>
              <w:tc>
                <w:tcPr>
                  <w:tcW w:w="1045" w:type="dxa"/>
                  <w:tcBorders>
                    <w:tl2br w:val="nil"/>
                    <w:tr2bl w:val="nil"/>
                  </w:tcBorders>
                  <w:noWrap w:val="0"/>
                  <w:vAlign w:val="center"/>
                </w:tcPr>
                <w:p>
                  <w:pPr>
                    <w:pStyle w:val="37"/>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0.1t</w:t>
                  </w:r>
                </w:p>
              </w:tc>
              <w:tc>
                <w:tcPr>
                  <w:tcW w:w="1198" w:type="dxa"/>
                  <w:tcBorders>
                    <w:tl2br w:val="nil"/>
                    <w:tr2bl w:val="nil"/>
                  </w:tcBorders>
                  <w:noWrap w:val="0"/>
                  <w:vAlign w:val="center"/>
                </w:tcPr>
                <w:p>
                  <w:pPr>
                    <w:pStyle w:val="37"/>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0.2m³</w:t>
                  </w:r>
                </w:p>
              </w:tc>
              <w:tc>
                <w:tcPr>
                  <w:tcW w:w="812" w:type="dxa"/>
                  <w:tcBorders>
                    <w:tl2br w:val="nil"/>
                    <w:tr2bl w:val="nil"/>
                  </w:tcBorders>
                  <w:noWrap w:val="0"/>
                  <w:vAlign w:val="center"/>
                </w:tcPr>
                <w:p>
                  <w:pPr>
                    <w:pStyle w:val="37"/>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0.2m³</w:t>
                  </w:r>
                </w:p>
              </w:tc>
              <w:tc>
                <w:tcPr>
                  <w:tcW w:w="850" w:type="dxa"/>
                  <w:tcBorders>
                    <w:tl2br w:val="nil"/>
                    <w:tr2bl w:val="nil"/>
                  </w:tcBorders>
                  <w:noWrap w:val="0"/>
                  <w:vAlign w:val="center"/>
                </w:tcPr>
                <w:p>
                  <w:pPr>
                    <w:pStyle w:val="37"/>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仓库</w:t>
                  </w:r>
                  <w:r>
                    <w:rPr>
                      <w:rFonts w:hint="default" w:ascii="Times New Roman" w:hAnsi="Times New Roman" w:cs="Times New Roman"/>
                      <w:lang w:val="en-US" w:eastAsia="zh-CN"/>
                    </w:rPr>
                    <w:t>桶装</w:t>
                  </w:r>
                </w:p>
              </w:tc>
              <w:tc>
                <w:tcPr>
                  <w:tcW w:w="974" w:type="dxa"/>
                  <w:tcBorders>
                    <w:tl2br w:val="nil"/>
                    <w:tr2bl w:val="nil"/>
                  </w:tcBorders>
                  <w:noWrap w:val="0"/>
                  <w:vAlign w:val="center"/>
                </w:tcPr>
                <w:p>
                  <w:pPr>
                    <w:pStyle w:val="37"/>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0.2m³</w:t>
                  </w:r>
                </w:p>
              </w:tc>
              <w:tc>
                <w:tcPr>
                  <w:tcW w:w="1489" w:type="dxa"/>
                  <w:tcBorders>
                    <w:tl2br w:val="nil"/>
                    <w:tr2bl w:val="nil"/>
                  </w:tcBorders>
                  <w:noWrap w:val="0"/>
                  <w:vAlign w:val="center"/>
                </w:tcPr>
                <w:p>
                  <w:pPr>
                    <w:bidi w:val="0"/>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企业自产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527"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9</w:t>
                  </w:r>
                </w:p>
              </w:tc>
              <w:tc>
                <w:tcPr>
                  <w:tcW w:w="1193"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酸清洗剂</w:t>
                  </w:r>
                </w:p>
              </w:tc>
              <w:tc>
                <w:tcPr>
                  <w:tcW w:w="1045" w:type="dxa"/>
                  <w:tcBorders>
                    <w:tl2br w:val="nil"/>
                    <w:tr2bl w:val="nil"/>
                  </w:tcBorders>
                  <w:noWrap w:val="0"/>
                  <w:vAlign w:val="center"/>
                </w:tcPr>
                <w:p>
                  <w:pPr>
                    <w:pStyle w:val="37"/>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0.15t</w:t>
                  </w:r>
                </w:p>
              </w:tc>
              <w:tc>
                <w:tcPr>
                  <w:tcW w:w="1198"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0.25</w:t>
                  </w:r>
                  <w:r>
                    <w:rPr>
                      <w:rFonts w:hint="default" w:ascii="Times New Roman" w:hAnsi="Times New Roman" w:cs="Times New Roman"/>
                      <w:highlight w:val="none"/>
                      <w:lang w:val="en-US" w:eastAsia="zh-CN"/>
                    </w:rPr>
                    <w:t>m³</w:t>
                  </w:r>
                </w:p>
              </w:tc>
              <w:tc>
                <w:tcPr>
                  <w:tcW w:w="812"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0.25</w:t>
                  </w:r>
                  <w:r>
                    <w:rPr>
                      <w:rFonts w:hint="default" w:ascii="Times New Roman" w:hAnsi="Times New Roman" w:cs="Times New Roman"/>
                      <w:highlight w:val="none"/>
                      <w:lang w:val="en-US" w:eastAsia="zh-CN"/>
                    </w:rPr>
                    <w:t>m³</w:t>
                  </w:r>
                </w:p>
              </w:tc>
              <w:tc>
                <w:tcPr>
                  <w:tcW w:w="850"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highlight w:val="none"/>
                      <w:lang w:val="en-US" w:eastAsia="zh-CN"/>
                    </w:rPr>
                    <w:t>仓库</w:t>
                  </w:r>
                  <w:r>
                    <w:rPr>
                      <w:rFonts w:hint="default" w:ascii="Times New Roman" w:hAnsi="Times New Roman" w:cs="Times New Roman"/>
                      <w:lang w:val="en-US" w:eastAsia="zh-CN"/>
                    </w:rPr>
                    <w:t>桶装</w:t>
                  </w:r>
                </w:p>
              </w:tc>
              <w:tc>
                <w:tcPr>
                  <w:tcW w:w="974"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highlight w:val="none"/>
                      <w:lang w:val="en-US" w:eastAsia="zh-CN"/>
                    </w:rPr>
                    <w:t>0.2</w:t>
                  </w:r>
                  <w:r>
                    <w:rPr>
                      <w:rFonts w:hint="default" w:ascii="Times New Roman" w:hAnsi="Times New Roman" w:cs="Times New Roman"/>
                      <w:lang w:val="en-US" w:eastAsia="zh-CN"/>
                    </w:rPr>
                    <w:t>5</w:t>
                  </w:r>
                  <w:r>
                    <w:rPr>
                      <w:rFonts w:hint="default" w:ascii="Times New Roman" w:hAnsi="Times New Roman" w:cs="Times New Roman"/>
                      <w:highlight w:val="none"/>
                      <w:lang w:val="en-US" w:eastAsia="zh-CN"/>
                    </w:rPr>
                    <w:t>m³</w:t>
                  </w:r>
                </w:p>
              </w:tc>
              <w:tc>
                <w:tcPr>
                  <w:tcW w:w="1489" w:type="dxa"/>
                  <w:tcBorders>
                    <w:tl2br w:val="nil"/>
                    <w:tr2bl w:val="nil"/>
                  </w:tcBorders>
                  <w:noWrap w:val="0"/>
                  <w:vAlign w:val="center"/>
                </w:tcPr>
                <w:p>
                  <w:pPr>
                    <w:bidi w:val="0"/>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highlight w:val="none"/>
                      <w:lang w:val="en-US" w:eastAsia="zh-CN"/>
                    </w:rPr>
                    <w:t>企业自产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527"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10</w:t>
                  </w:r>
                </w:p>
              </w:tc>
              <w:tc>
                <w:tcPr>
                  <w:tcW w:w="1193"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碱清洗剂</w:t>
                  </w:r>
                </w:p>
              </w:tc>
              <w:tc>
                <w:tcPr>
                  <w:tcW w:w="1045" w:type="dxa"/>
                  <w:tcBorders>
                    <w:tl2br w:val="nil"/>
                    <w:tr2bl w:val="nil"/>
                  </w:tcBorders>
                  <w:noWrap w:val="0"/>
                  <w:vAlign w:val="center"/>
                </w:tcPr>
                <w:p>
                  <w:pPr>
                    <w:pStyle w:val="37"/>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0.15t</w:t>
                  </w:r>
                </w:p>
              </w:tc>
              <w:tc>
                <w:tcPr>
                  <w:tcW w:w="1198"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0.25</w:t>
                  </w:r>
                  <w:r>
                    <w:rPr>
                      <w:rFonts w:hint="default" w:ascii="Times New Roman" w:hAnsi="Times New Roman" w:cs="Times New Roman"/>
                      <w:highlight w:val="none"/>
                      <w:lang w:val="en-US" w:eastAsia="zh-CN"/>
                    </w:rPr>
                    <w:t>m³</w:t>
                  </w:r>
                </w:p>
              </w:tc>
              <w:tc>
                <w:tcPr>
                  <w:tcW w:w="812"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0.25</w:t>
                  </w:r>
                  <w:r>
                    <w:rPr>
                      <w:rFonts w:hint="default" w:ascii="Times New Roman" w:hAnsi="Times New Roman" w:cs="Times New Roman"/>
                      <w:highlight w:val="none"/>
                      <w:lang w:val="en-US" w:eastAsia="zh-CN"/>
                    </w:rPr>
                    <w:t>m³</w:t>
                  </w:r>
                </w:p>
              </w:tc>
              <w:tc>
                <w:tcPr>
                  <w:tcW w:w="850"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highlight w:val="none"/>
                      <w:lang w:val="en-US" w:eastAsia="zh-CN"/>
                    </w:rPr>
                    <w:t>仓库</w:t>
                  </w:r>
                  <w:r>
                    <w:rPr>
                      <w:rFonts w:hint="default" w:ascii="Times New Roman" w:hAnsi="Times New Roman" w:cs="Times New Roman"/>
                      <w:lang w:val="en-US" w:eastAsia="zh-CN"/>
                    </w:rPr>
                    <w:t>桶装</w:t>
                  </w:r>
                </w:p>
              </w:tc>
              <w:tc>
                <w:tcPr>
                  <w:tcW w:w="974"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highlight w:val="none"/>
                      <w:lang w:val="en-US" w:eastAsia="zh-CN"/>
                    </w:rPr>
                    <w:t>0.2</w:t>
                  </w:r>
                  <w:r>
                    <w:rPr>
                      <w:rFonts w:hint="default" w:ascii="Times New Roman" w:hAnsi="Times New Roman" w:cs="Times New Roman"/>
                      <w:lang w:val="en-US" w:eastAsia="zh-CN"/>
                    </w:rPr>
                    <w:t>5</w:t>
                  </w:r>
                  <w:r>
                    <w:rPr>
                      <w:rFonts w:hint="default" w:ascii="Times New Roman" w:hAnsi="Times New Roman" w:cs="Times New Roman"/>
                      <w:highlight w:val="none"/>
                      <w:lang w:val="en-US" w:eastAsia="zh-CN"/>
                    </w:rPr>
                    <w:t>m³</w:t>
                  </w:r>
                </w:p>
              </w:tc>
              <w:tc>
                <w:tcPr>
                  <w:tcW w:w="1489" w:type="dxa"/>
                  <w:tcBorders>
                    <w:tl2br w:val="nil"/>
                    <w:tr2bl w:val="nil"/>
                  </w:tcBorders>
                  <w:noWrap w:val="0"/>
                  <w:vAlign w:val="center"/>
                </w:tcPr>
                <w:p>
                  <w:pPr>
                    <w:bidi w:val="0"/>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highlight w:val="none"/>
                      <w:lang w:val="en-US" w:eastAsia="zh-CN"/>
                    </w:rPr>
                    <w:t>企业自产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527"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11</w:t>
                  </w:r>
                </w:p>
              </w:tc>
              <w:tc>
                <w:tcPr>
                  <w:tcW w:w="1193"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eastAsia="宋体" w:cs="Times New Roman"/>
                      <w:color w:val="auto"/>
                      <w:sz w:val="21"/>
                      <w:szCs w:val="21"/>
                    </w:rPr>
                    <w:t>滤料：石英砂</w:t>
                  </w:r>
                </w:p>
              </w:tc>
              <w:tc>
                <w:tcPr>
                  <w:tcW w:w="1045"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40t</w:t>
                  </w:r>
                </w:p>
              </w:tc>
              <w:tc>
                <w:tcPr>
                  <w:tcW w:w="1198"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111t</w:t>
                  </w:r>
                </w:p>
              </w:tc>
              <w:tc>
                <w:tcPr>
                  <w:tcW w:w="812"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10t</w:t>
                  </w:r>
                </w:p>
              </w:tc>
              <w:tc>
                <w:tcPr>
                  <w:tcW w:w="850"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仓库</w:t>
                  </w:r>
                </w:p>
              </w:tc>
              <w:tc>
                <w:tcPr>
                  <w:tcW w:w="974" w:type="dxa"/>
                  <w:tcBorders>
                    <w:tl2br w:val="nil"/>
                    <w:tr2bl w:val="nil"/>
                  </w:tcBorders>
                  <w:noWrap w:val="0"/>
                  <w:vAlign w:val="center"/>
                </w:tcPr>
                <w:p>
                  <w:pPr>
                    <w:pStyle w:val="37"/>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w:t>
                  </w:r>
                </w:p>
              </w:tc>
              <w:tc>
                <w:tcPr>
                  <w:tcW w:w="1489" w:type="dxa"/>
                  <w:tcBorders>
                    <w:tl2br w:val="nil"/>
                    <w:tr2bl w:val="nil"/>
                  </w:tcBorders>
                  <w:noWrap w:val="0"/>
                  <w:vAlign w:val="center"/>
                </w:tcPr>
                <w:p>
                  <w:pPr>
                    <w:bidi w:val="0"/>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rPr>
                    <w:t>市场外购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527"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12</w:t>
                  </w:r>
                </w:p>
              </w:tc>
              <w:tc>
                <w:tcPr>
                  <w:tcW w:w="1193" w:type="dxa"/>
                  <w:tcBorders>
                    <w:tl2br w:val="nil"/>
                    <w:tr2bl w:val="nil"/>
                  </w:tcBorders>
                  <w:noWrap w:val="0"/>
                  <w:vAlign w:val="center"/>
                </w:tcPr>
                <w:p>
                  <w:pPr>
                    <w:pStyle w:val="37"/>
                    <w:bidi w:val="0"/>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活性炭</w:t>
                  </w:r>
                </w:p>
              </w:tc>
              <w:tc>
                <w:tcPr>
                  <w:tcW w:w="1045"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3t</w:t>
                  </w:r>
                </w:p>
              </w:tc>
              <w:tc>
                <w:tcPr>
                  <w:tcW w:w="1198"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10.8t</w:t>
                  </w:r>
                </w:p>
              </w:tc>
              <w:tc>
                <w:tcPr>
                  <w:tcW w:w="812"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2t</w:t>
                  </w:r>
                </w:p>
              </w:tc>
              <w:tc>
                <w:tcPr>
                  <w:tcW w:w="850"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仓库</w:t>
                  </w:r>
                </w:p>
              </w:tc>
              <w:tc>
                <w:tcPr>
                  <w:tcW w:w="974" w:type="dxa"/>
                  <w:tcBorders>
                    <w:tl2br w:val="nil"/>
                    <w:tr2bl w:val="nil"/>
                  </w:tcBorders>
                  <w:noWrap w:val="0"/>
                  <w:vAlign w:val="center"/>
                </w:tcPr>
                <w:p>
                  <w:pPr>
                    <w:pStyle w:val="37"/>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w:t>
                  </w:r>
                </w:p>
              </w:tc>
              <w:tc>
                <w:tcPr>
                  <w:tcW w:w="1489" w:type="dxa"/>
                  <w:tcBorders>
                    <w:tl2br w:val="nil"/>
                    <w:tr2bl w:val="nil"/>
                  </w:tcBorders>
                  <w:noWrap w:val="0"/>
                  <w:vAlign w:val="center"/>
                </w:tcPr>
                <w:p>
                  <w:pPr>
                    <w:bidi w:val="0"/>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市场外购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527"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13</w:t>
                  </w:r>
                </w:p>
              </w:tc>
              <w:tc>
                <w:tcPr>
                  <w:tcW w:w="1193" w:type="dxa"/>
                  <w:tcBorders>
                    <w:tl2br w:val="nil"/>
                    <w:tr2bl w:val="nil"/>
                  </w:tcBorders>
                  <w:noWrap w:val="0"/>
                  <w:vAlign w:val="center"/>
                </w:tcPr>
                <w:p>
                  <w:pPr>
                    <w:pStyle w:val="37"/>
                    <w:bidi w:val="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阴树脂</w:t>
                  </w:r>
                </w:p>
              </w:tc>
              <w:tc>
                <w:tcPr>
                  <w:tcW w:w="1045"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1.5t</w:t>
                  </w:r>
                </w:p>
              </w:tc>
              <w:tc>
                <w:tcPr>
                  <w:tcW w:w="1198"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3.9t</w:t>
                  </w:r>
                </w:p>
              </w:tc>
              <w:tc>
                <w:tcPr>
                  <w:tcW w:w="812"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2t</w:t>
                  </w:r>
                </w:p>
              </w:tc>
              <w:tc>
                <w:tcPr>
                  <w:tcW w:w="850"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仓库</w:t>
                  </w:r>
                </w:p>
              </w:tc>
              <w:tc>
                <w:tcPr>
                  <w:tcW w:w="974" w:type="dxa"/>
                  <w:tcBorders>
                    <w:tl2br w:val="nil"/>
                    <w:tr2bl w:val="nil"/>
                  </w:tcBorders>
                  <w:noWrap w:val="0"/>
                  <w:vAlign w:val="center"/>
                </w:tcPr>
                <w:p>
                  <w:pPr>
                    <w:pStyle w:val="37"/>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w:t>
                  </w:r>
                </w:p>
              </w:tc>
              <w:tc>
                <w:tcPr>
                  <w:tcW w:w="1489" w:type="dxa"/>
                  <w:tcBorders>
                    <w:tl2br w:val="nil"/>
                    <w:tr2bl w:val="nil"/>
                  </w:tcBorders>
                  <w:noWrap w:val="0"/>
                  <w:vAlign w:val="center"/>
                </w:tcPr>
                <w:p>
                  <w:pPr>
                    <w:bidi w:val="0"/>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市场外购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527"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14</w:t>
                  </w:r>
                </w:p>
              </w:tc>
              <w:tc>
                <w:tcPr>
                  <w:tcW w:w="1193" w:type="dxa"/>
                  <w:tcBorders>
                    <w:tl2br w:val="nil"/>
                    <w:tr2bl w:val="nil"/>
                  </w:tcBorders>
                  <w:noWrap w:val="0"/>
                  <w:vAlign w:val="center"/>
                </w:tcPr>
                <w:p>
                  <w:pPr>
                    <w:pStyle w:val="37"/>
                    <w:bidi w:val="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阳树脂</w:t>
                  </w:r>
                </w:p>
              </w:tc>
              <w:tc>
                <w:tcPr>
                  <w:tcW w:w="1045"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3t</w:t>
                  </w:r>
                </w:p>
              </w:tc>
              <w:tc>
                <w:tcPr>
                  <w:tcW w:w="1198"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6.6t</w:t>
                  </w:r>
                </w:p>
              </w:tc>
              <w:tc>
                <w:tcPr>
                  <w:tcW w:w="812"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2t</w:t>
                  </w:r>
                </w:p>
              </w:tc>
              <w:tc>
                <w:tcPr>
                  <w:tcW w:w="850" w:type="dxa"/>
                  <w:tcBorders>
                    <w:tl2br w:val="nil"/>
                    <w:tr2bl w:val="nil"/>
                  </w:tcBorders>
                  <w:noWrap w:val="0"/>
                  <w:vAlign w:val="center"/>
                </w:tcPr>
                <w:p>
                  <w:pPr>
                    <w:pStyle w:val="37"/>
                    <w:bidi w:val="0"/>
                    <w:rPr>
                      <w:rFonts w:hint="default" w:ascii="Times New Roman" w:hAnsi="Times New Roman" w:cs="Times New Roman"/>
                      <w:lang w:val="en-US" w:eastAsia="zh-CN"/>
                    </w:rPr>
                  </w:pPr>
                  <w:r>
                    <w:rPr>
                      <w:rFonts w:hint="default" w:ascii="Times New Roman" w:hAnsi="Times New Roman" w:cs="Times New Roman"/>
                      <w:lang w:val="en-US" w:eastAsia="zh-CN"/>
                    </w:rPr>
                    <w:t>仓库</w:t>
                  </w:r>
                </w:p>
              </w:tc>
              <w:tc>
                <w:tcPr>
                  <w:tcW w:w="974" w:type="dxa"/>
                  <w:tcBorders>
                    <w:tl2br w:val="nil"/>
                    <w:tr2bl w:val="nil"/>
                  </w:tcBorders>
                  <w:noWrap w:val="0"/>
                  <w:vAlign w:val="center"/>
                </w:tcPr>
                <w:p>
                  <w:pPr>
                    <w:pStyle w:val="37"/>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w:t>
                  </w:r>
                </w:p>
              </w:tc>
              <w:tc>
                <w:tcPr>
                  <w:tcW w:w="1489" w:type="dxa"/>
                  <w:tcBorders>
                    <w:tl2br w:val="nil"/>
                    <w:tr2bl w:val="nil"/>
                  </w:tcBorders>
                  <w:noWrap w:val="0"/>
                  <w:vAlign w:val="center"/>
                </w:tcPr>
                <w:p>
                  <w:pPr>
                    <w:bidi w:val="0"/>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市场外购</w:t>
                  </w:r>
                </w:p>
              </w:tc>
            </w:tr>
          </w:tbl>
          <w:p>
            <w:pPr>
              <w:pStyle w:val="36"/>
              <w:bidi w:val="0"/>
              <w:rPr>
                <w:rFonts w:hint="default" w:ascii="Times New Roman" w:hAnsi="Times New Roman" w:cs="Times New Roman"/>
              </w:rPr>
            </w:pPr>
            <w:r>
              <w:rPr>
                <w:rFonts w:hint="default" w:ascii="Times New Roman" w:hAnsi="Times New Roman" w:cs="Times New Roman"/>
              </w:rPr>
              <w:t>主要原辅材料化学成分及物理化学性质：</w:t>
            </w:r>
          </w:p>
          <w:p>
            <w:pPr>
              <w:pStyle w:val="36"/>
              <w:bidi w:val="0"/>
              <w:rPr>
                <w:rFonts w:hint="default" w:ascii="Times New Roman" w:hAnsi="Times New Roman" w:cs="Times New Roman"/>
                <w:u w:val="none"/>
              </w:rPr>
            </w:pPr>
            <w:r>
              <w:rPr>
                <w:rFonts w:hint="default" w:ascii="Times New Roman" w:hAnsi="Times New Roman" w:cs="Times New Roman"/>
                <w:u w:val="none"/>
                <w:lang w:val="en-US" w:eastAsia="zh-CN"/>
              </w:rPr>
              <w:t>聚合氯化铝</w:t>
            </w:r>
            <w:r>
              <w:rPr>
                <w:rFonts w:hint="default" w:ascii="Times New Roman" w:hAnsi="Times New Roman" w:cs="Times New Roman"/>
                <w:u w:val="none"/>
              </w:rPr>
              <w:t>：聚合氯化铝（PAC）是一种无机物，一种新兴净水材料、无机高分子混凝剂，简称聚铝。它是介于AlCl</w:t>
            </w:r>
            <w:r>
              <w:rPr>
                <w:rFonts w:hint="default" w:ascii="Times New Roman" w:hAnsi="Times New Roman" w:cs="Times New Roman"/>
                <w:u w:val="none"/>
                <w:vertAlign w:val="subscript"/>
              </w:rPr>
              <w:t>3</w:t>
            </w:r>
            <w:r>
              <w:rPr>
                <w:rFonts w:hint="default" w:ascii="Times New Roman" w:hAnsi="Times New Roman" w:cs="Times New Roman"/>
                <w:u w:val="none"/>
              </w:rPr>
              <w:t>和Al(OH)</w:t>
            </w:r>
            <w:r>
              <w:rPr>
                <w:rFonts w:hint="default" w:ascii="Times New Roman" w:hAnsi="Times New Roman" w:cs="Times New Roman"/>
                <w:u w:val="none"/>
                <w:vertAlign w:val="subscript"/>
              </w:rPr>
              <w:t>3</w:t>
            </w:r>
            <w:r>
              <w:rPr>
                <w:rFonts w:hint="default" w:ascii="Times New Roman" w:hAnsi="Times New Roman" w:cs="Times New Roman"/>
                <w:u w:val="none"/>
              </w:rPr>
              <w:t>之间的一种水溶性无机高分子聚合物，化学通式为[Al</w:t>
            </w:r>
            <w:r>
              <w:rPr>
                <w:rFonts w:hint="default" w:ascii="Times New Roman" w:hAnsi="Times New Roman" w:cs="Times New Roman"/>
                <w:u w:val="none"/>
                <w:vertAlign w:val="subscript"/>
              </w:rPr>
              <w:t>2</w:t>
            </w:r>
            <w:r>
              <w:rPr>
                <w:rFonts w:hint="default" w:ascii="Times New Roman" w:hAnsi="Times New Roman" w:cs="Times New Roman"/>
                <w:u w:val="none"/>
              </w:rPr>
              <w:t>(OH)</w:t>
            </w:r>
            <w:r>
              <w:rPr>
                <w:rFonts w:hint="default" w:ascii="Times New Roman" w:hAnsi="Times New Roman" w:cs="Times New Roman"/>
                <w:u w:val="none"/>
                <w:vertAlign w:val="subscript"/>
              </w:rPr>
              <w:t>n</w:t>
            </w:r>
            <w:r>
              <w:rPr>
                <w:rFonts w:hint="default" w:ascii="Times New Roman" w:hAnsi="Times New Roman" w:cs="Times New Roman"/>
                <w:u w:val="none"/>
              </w:rPr>
              <w:t>Cl</w:t>
            </w:r>
            <w:r>
              <w:rPr>
                <w:rFonts w:hint="default" w:ascii="Times New Roman" w:hAnsi="Times New Roman" w:cs="Times New Roman"/>
                <w:u w:val="none"/>
                <w:vertAlign w:val="subscript"/>
              </w:rPr>
              <w:t>6-n</w:t>
            </w:r>
            <w:r>
              <w:rPr>
                <w:rFonts w:hint="default" w:ascii="Times New Roman" w:hAnsi="Times New Roman" w:cs="Times New Roman"/>
                <w:u w:val="none"/>
              </w:rPr>
              <w:t>]m，其中m代表聚合程度，n表示PAC产品的中性程度。n=1~5为具有Keggin结构的高电荷聚合环链体，对水中胶体和颗粒物具有高度电中和及桥联作用，并可强力去除微有毒物及重金属离子，性状稳定。</w:t>
            </w:r>
          </w:p>
          <w:p>
            <w:pPr>
              <w:pStyle w:val="36"/>
              <w:bidi w:val="0"/>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聚丙烯酰胺：是一种线状的有机高分子聚合物，同时也是一种高分子水处理絮凝剂产品，可以吸附水中的悬浮颗粒，在颗粒之间起链接架桥作用，使细颗粒形成比较大的絮团，并且加快了沉淀的速度。这一过程称之为絮凝，因其中良好的絮凝效果PAM作为水处理的絮凝剂并且被广泛用于污水处理。</w:t>
            </w:r>
          </w:p>
          <w:p>
            <w:pPr>
              <w:pStyle w:val="36"/>
              <w:bidi w:val="0"/>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阻垢剂：是具有能分散水中的难溶性无机盐、阻止或干扰难溶性无机盐在金属表面的沉淀、结垢功能，并维持金属设备有良好的传热效果的一类药剂。冷换设备防腐阻垢剂以环氧树脂和特定氨基树脂为基料，加入适量的各种防锈、防腐等各种助剂配制而成，为单组分。它具有优异的屏蔽、抗渗、防锈性能、良好的阻垢、导热性，优良的耐弱酸、强碱、有机溶剂等性能，它的附着力强，且膜层光亮、柔韧、致密、坚硬。</w:t>
            </w:r>
          </w:p>
          <w:p>
            <w:pPr>
              <w:pStyle w:val="36"/>
              <w:bidi w:val="0"/>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还原剂：还原剂的主要成分是亚硫酸氢钠，是在氧化还原反应里，失去电子或有电子偏离的物质。还原剂本身具有还原性，被氧化，其产物叫氧化产物。还原与氧化反应是同时进行的，即是说，还原剂在与被还原物进行氧化反应的同时，自身也被氧化，而成为氧化物。所含的某种物质的化合价升高的反应物是还原剂。还原剂对水进行预处理，降低水质中的大颗粒物质，使水质达到进水要求。</w:t>
            </w:r>
          </w:p>
          <w:p>
            <w:pPr>
              <w:pStyle w:val="36"/>
              <w:bidi w:val="0"/>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盐酸：是氯化氢(HCl)的水溶液，属于一元无机强酸，工业用途广泛。盐酸的性状为无色透明的液体，有强烈的刺鼻气味，具有较高的腐蚀性。浓盐酸(质量分数约为37%)具有极强的挥发性，因此盛有浓盐酸的容器打开后氯化氢气体会挥发，与空气中的水蒸气结合产生盐酸小液滴，使瓶口上方出现酸雾。盐酸是胃酸的主要成分，它能够促进食物消化、抵御微生物感染。</w:t>
            </w:r>
          </w:p>
          <w:p>
            <w:pPr>
              <w:pStyle w:val="36"/>
              <w:bidi w:val="0"/>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氢氧化钠：化学式为NaOH，俗称烧碱、火碱、苛性钠，溶解时散发出氨味，为一种具有很强腐蚀性的强碱，一般为片状或颗粒形态，易溶于水(溶于水时放热)并形成碱性溶液，另有潮解性，易吸取空气中的水蒸气(潮解)和二氧化碳(变质)。NaOH是化学实验室其中一种必备的化学品，亦为常见的化工品之一。纯品是无色透明的晶体。密度2.130g/cm³。熔点318.4℃。沸点1390℃。工业品含有少量的氯化钠和碳酸钠，是白色不透明的晶体。有块状，片状，粒状和棒状等。</w:t>
            </w:r>
          </w:p>
          <w:p>
            <w:pPr>
              <w:pStyle w:val="36"/>
              <w:bidi w:val="0"/>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氨水：又称阿摩尼亚水，主要成分为NH</w:t>
            </w:r>
            <w:r>
              <w:rPr>
                <w:rFonts w:hint="default" w:ascii="Times New Roman" w:hAnsi="Times New Roman" w:cs="Times New Roman"/>
                <w:u w:val="none"/>
                <w:vertAlign w:val="subscript"/>
                <w:lang w:val="en-US" w:eastAsia="zh-CN"/>
              </w:rPr>
              <w:t>3</w:t>
            </w:r>
            <w:r>
              <w:rPr>
                <w:rFonts w:hint="default" w:ascii="Times New Roman" w:hAnsi="Times New Roman" w:cs="Times New Roman"/>
                <w:u w:val="none"/>
                <w:lang w:val="en-US" w:eastAsia="zh-CN"/>
              </w:rPr>
              <w:t>·H</w:t>
            </w:r>
            <w:r>
              <w:rPr>
                <w:rFonts w:hint="default" w:ascii="Times New Roman" w:hAnsi="Times New Roman" w:cs="Times New Roman"/>
                <w:u w:val="none"/>
                <w:vertAlign w:val="subscript"/>
                <w:lang w:val="en-US" w:eastAsia="zh-CN"/>
              </w:rPr>
              <w:t>2</w:t>
            </w:r>
            <w:r>
              <w:rPr>
                <w:rFonts w:hint="default" w:ascii="Times New Roman" w:hAnsi="Times New Roman" w:cs="Times New Roman"/>
                <w:u w:val="none"/>
                <w:lang w:val="en-US" w:eastAsia="zh-CN"/>
              </w:rPr>
              <w:t>O，是氨的水溶液，无色透明且具有刺激性气味。氨的熔点-77.773℃，沸点-33.34℃，密度0.91g/cm³。氨气易溶于水、乙醇。易挥发，具有部分碱的通性，氨水由氨气通入水中制得。氨气有毒，对眼、鼻、皮肤有刺激性和腐蚀性，能使人窒息，空气中最高容许浓度30mg/m</w:t>
            </w:r>
            <w:r>
              <w:rPr>
                <w:rFonts w:hint="default" w:ascii="Times New Roman" w:hAnsi="Times New Roman" w:cs="Times New Roman"/>
                <w:color w:val="auto"/>
                <w:u w:val="none"/>
                <w:vertAlign w:val="superscript"/>
                <w:lang w:val="en-US" w:eastAsia="zh-CN"/>
              </w:rPr>
              <w:t>3</w:t>
            </w:r>
            <w:r>
              <w:rPr>
                <w:rFonts w:hint="default" w:ascii="Times New Roman" w:hAnsi="Times New Roman" w:cs="Times New Roman"/>
                <w:u w:val="none"/>
                <w:lang w:val="en-US" w:eastAsia="zh-CN"/>
              </w:rPr>
              <w:t>。主要用作化肥。</w:t>
            </w:r>
          </w:p>
          <w:p>
            <w:pPr>
              <w:pStyle w:val="36"/>
              <w:bidi w:val="0"/>
              <w:rPr>
                <w:rFonts w:hint="default" w:ascii="Times New Roman" w:hAnsi="Times New Roman" w:cs="Times New Roman"/>
                <w:u w:val="none"/>
              </w:rPr>
            </w:pPr>
            <w:r>
              <w:rPr>
                <w:rFonts w:hint="default" w:ascii="Times New Roman" w:hAnsi="Times New Roman" w:cs="Times New Roman"/>
                <w:u w:val="none"/>
                <w:lang w:val="en-US" w:eastAsia="zh-CN"/>
              </w:rPr>
              <w:t>清洗剂：清洗剂主要使用乙二胺四乙酸四钠和氢氧化钠，清洗剂用来溶解膜原件上的各类盐垢和金属氧化物。</w:t>
            </w:r>
          </w:p>
          <w:p>
            <w:pPr>
              <w:pStyle w:val="66"/>
              <w:numPr>
                <w:ilvl w:val="0"/>
                <w:numId w:val="0"/>
              </w:numPr>
              <w:bidi w:val="0"/>
              <w:ind w:left="480" w:leftChars="0"/>
              <w:rPr>
                <w:rFonts w:hint="default" w:ascii="Times New Roman" w:hAnsi="Times New Roman" w:cs="Times New Roman"/>
                <w:lang w:val="en-US" w:eastAsia="zh-CN"/>
              </w:rPr>
            </w:pPr>
            <w:r>
              <w:rPr>
                <w:rFonts w:hint="default" w:ascii="Times New Roman" w:hAnsi="Times New Roman" w:cs="Times New Roman"/>
                <w:lang w:val="en-US" w:eastAsia="zh-CN"/>
              </w:rPr>
              <w:t>6、主要设备情况</w:t>
            </w:r>
          </w:p>
          <w:p>
            <w:pPr>
              <w:pStyle w:val="33"/>
              <w:rPr>
                <w:rFonts w:hint="default" w:ascii="Times New Roman" w:hAnsi="Times New Roman" w:cs="Times New Roman"/>
                <w:color w:val="000000"/>
                <w:u w:val="none"/>
                <w:lang w:val="en-US" w:eastAsia="zh-CN"/>
              </w:rPr>
            </w:pPr>
            <w:r>
              <w:rPr>
                <w:rFonts w:hint="default" w:ascii="Times New Roman" w:hAnsi="Times New Roman" w:cs="Times New Roman"/>
                <w:color w:val="000000"/>
                <w:u w:val="none"/>
                <w:lang w:val="en-US" w:eastAsia="zh-CN"/>
              </w:rPr>
              <w:t xml:space="preserve">表2-4 </w:t>
            </w:r>
            <w:r>
              <w:rPr>
                <w:rFonts w:hint="default" w:ascii="Times New Roman" w:hAnsi="Times New Roman" w:eastAsia="宋体" w:cs="Times New Roman"/>
                <w:color w:val="000000"/>
                <w:u w:val="none"/>
                <w:lang w:val="en-US" w:eastAsia="zh-CN"/>
              </w:rPr>
              <w:t>双层一体化净水器设备清单</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18"/>
              <w:gridCol w:w="1241"/>
              <w:gridCol w:w="2229"/>
              <w:gridCol w:w="649"/>
              <w:gridCol w:w="718"/>
              <w:gridCol w:w="782"/>
              <w:gridCol w:w="18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3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13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规格型号</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c>
                <w:tcPr>
                  <w:tcW w:w="44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改扩建前数量</w:t>
                  </w:r>
                </w:p>
              </w:tc>
              <w:tc>
                <w:tcPr>
                  <w:tcW w:w="4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sz w:val="21"/>
                      <w:szCs w:val="21"/>
                      <w:lang w:val="en-US" w:eastAsia="zh-CN"/>
                    </w:rPr>
                    <w:t>改扩建后</w:t>
                  </w:r>
                  <w:r>
                    <w:rPr>
                      <w:rFonts w:hint="default" w:ascii="Times New Roman" w:hAnsi="Times New Roman" w:eastAsia="宋体" w:cs="Times New Roman"/>
                      <w:b/>
                      <w:bCs/>
                      <w:color w:val="auto"/>
                      <w:sz w:val="21"/>
                      <w:szCs w:val="21"/>
                    </w:rPr>
                    <w:t>数量</w:t>
                  </w:r>
                </w:p>
              </w:tc>
              <w:tc>
                <w:tcPr>
                  <w:tcW w:w="114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3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净水器本体</w:t>
                  </w:r>
                </w:p>
              </w:tc>
              <w:tc>
                <w:tcPr>
                  <w:tcW w:w="13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15×3.5×3.7/13×2.5×3</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44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1</w:t>
                  </w:r>
                </w:p>
              </w:tc>
              <w:tc>
                <w:tcPr>
                  <w:tcW w:w="4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114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奥柯达环保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0" w:hRule="atLeast"/>
                <w:jc w:val="center"/>
              </w:trPr>
              <w:tc>
                <w:tcPr>
                  <w:tcW w:w="3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排泥系统</w:t>
                  </w:r>
                </w:p>
              </w:tc>
              <w:tc>
                <w:tcPr>
                  <w:tcW w:w="13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DN100</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44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1</w:t>
                  </w:r>
                </w:p>
              </w:tc>
              <w:tc>
                <w:tcPr>
                  <w:tcW w:w="4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114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奥柯达环保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3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虹吸系统</w:t>
                  </w:r>
                </w:p>
              </w:tc>
              <w:tc>
                <w:tcPr>
                  <w:tcW w:w="13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φ325/φ216</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44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9</w:t>
                  </w:r>
                </w:p>
              </w:tc>
              <w:tc>
                <w:tcPr>
                  <w:tcW w:w="4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18</w:t>
                  </w:r>
                </w:p>
              </w:tc>
              <w:tc>
                <w:tcPr>
                  <w:tcW w:w="114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奥柯达环保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3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斜管填料</w:t>
                  </w:r>
                </w:p>
              </w:tc>
              <w:tc>
                <w:tcPr>
                  <w:tcW w:w="13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φ35×1000mm</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44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75</w:t>
                  </w:r>
                </w:p>
              </w:tc>
              <w:tc>
                <w:tcPr>
                  <w:tcW w:w="4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159</w:t>
                  </w:r>
                </w:p>
              </w:tc>
              <w:tc>
                <w:tcPr>
                  <w:tcW w:w="114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奥柯达环保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3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管道混合器</w:t>
                  </w:r>
                </w:p>
              </w:tc>
              <w:tc>
                <w:tcPr>
                  <w:tcW w:w="13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DN300-DN350×1500</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44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1</w:t>
                  </w:r>
                </w:p>
              </w:tc>
              <w:tc>
                <w:tcPr>
                  <w:tcW w:w="4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114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奥柯达环保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3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L型平台</w:t>
                  </w:r>
                </w:p>
              </w:tc>
              <w:tc>
                <w:tcPr>
                  <w:tcW w:w="13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18000×600</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44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1</w:t>
                  </w:r>
                </w:p>
              </w:tc>
              <w:tc>
                <w:tcPr>
                  <w:tcW w:w="4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114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奥柯达环保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步梯、护栏</w:t>
                  </w:r>
                </w:p>
              </w:tc>
              <w:tc>
                <w:tcPr>
                  <w:tcW w:w="13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配套</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44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1</w:t>
                  </w:r>
                </w:p>
              </w:tc>
              <w:tc>
                <w:tcPr>
                  <w:tcW w:w="4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114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奥柯达环保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3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进水电动阀</w:t>
                  </w:r>
                </w:p>
              </w:tc>
              <w:tc>
                <w:tcPr>
                  <w:tcW w:w="13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DN300</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只</w:t>
                  </w:r>
                </w:p>
              </w:tc>
              <w:tc>
                <w:tcPr>
                  <w:tcW w:w="44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1</w:t>
                  </w:r>
                </w:p>
              </w:tc>
              <w:tc>
                <w:tcPr>
                  <w:tcW w:w="4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114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贝斯特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排泥电动阀</w:t>
                  </w:r>
                </w:p>
              </w:tc>
              <w:tc>
                <w:tcPr>
                  <w:tcW w:w="13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DN100</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只</w:t>
                  </w:r>
                </w:p>
              </w:tc>
              <w:tc>
                <w:tcPr>
                  <w:tcW w:w="44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5</w:t>
                  </w:r>
                </w:p>
              </w:tc>
              <w:tc>
                <w:tcPr>
                  <w:tcW w:w="4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15</w:t>
                  </w:r>
                </w:p>
              </w:tc>
              <w:tc>
                <w:tcPr>
                  <w:tcW w:w="114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贝斯特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3" w:hRule="atLeast"/>
                <w:jc w:val="center"/>
              </w:trPr>
              <w:tc>
                <w:tcPr>
                  <w:tcW w:w="3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进水流量计</w:t>
                  </w:r>
                </w:p>
              </w:tc>
              <w:tc>
                <w:tcPr>
                  <w:tcW w:w="13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DN300</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只</w:t>
                  </w:r>
                </w:p>
              </w:tc>
              <w:tc>
                <w:tcPr>
                  <w:tcW w:w="44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1</w:t>
                  </w:r>
                </w:p>
              </w:tc>
              <w:tc>
                <w:tcPr>
                  <w:tcW w:w="4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114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苏源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3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流量调节阀</w:t>
                  </w:r>
                </w:p>
              </w:tc>
              <w:tc>
                <w:tcPr>
                  <w:tcW w:w="13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DN300</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只</w:t>
                  </w:r>
                </w:p>
              </w:tc>
              <w:tc>
                <w:tcPr>
                  <w:tcW w:w="44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1</w:t>
                  </w:r>
                </w:p>
              </w:tc>
              <w:tc>
                <w:tcPr>
                  <w:tcW w:w="4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114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贝斯特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3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出水浊度仪</w:t>
                  </w:r>
                </w:p>
              </w:tc>
              <w:tc>
                <w:tcPr>
                  <w:tcW w:w="13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在线</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44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0</w:t>
                  </w:r>
                </w:p>
              </w:tc>
              <w:tc>
                <w:tcPr>
                  <w:tcW w:w="4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14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科远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3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放空阀</w:t>
                  </w:r>
                </w:p>
              </w:tc>
              <w:tc>
                <w:tcPr>
                  <w:tcW w:w="13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DN80</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只</w:t>
                  </w:r>
                </w:p>
              </w:tc>
              <w:tc>
                <w:tcPr>
                  <w:tcW w:w="44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3</w:t>
                  </w:r>
                </w:p>
              </w:tc>
              <w:tc>
                <w:tcPr>
                  <w:tcW w:w="4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114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贝斯特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3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控制柜</w:t>
                  </w:r>
                </w:p>
              </w:tc>
              <w:tc>
                <w:tcPr>
                  <w:tcW w:w="13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配套</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44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114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西门子PLC，正泰元器件</w:t>
                  </w:r>
                </w:p>
              </w:tc>
            </w:tr>
          </w:tbl>
          <w:p>
            <w:pPr>
              <w:tabs>
                <w:tab w:val="left" w:pos="5840"/>
              </w:tabs>
              <w:spacing w:line="36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000000"/>
                <w:sz w:val="21"/>
                <w:szCs w:val="21"/>
                <w:u w:val="none"/>
                <w:lang w:val="en-US" w:eastAsia="zh-CN"/>
              </w:rPr>
              <w:t xml:space="preserve">表2-5 </w:t>
            </w:r>
            <w:r>
              <w:rPr>
                <w:rFonts w:hint="default" w:ascii="Times New Roman" w:hAnsi="Times New Roman" w:eastAsia="宋体" w:cs="Times New Roman"/>
                <w:b/>
                <w:bCs/>
                <w:color w:val="auto"/>
                <w:sz w:val="21"/>
                <w:szCs w:val="21"/>
                <w:lang w:val="en-US" w:eastAsia="zh-CN"/>
              </w:rPr>
              <w:t>反渗透+混床脱盐水系统设备清单</w:t>
            </w:r>
          </w:p>
          <w:tbl>
            <w:tblPr>
              <w:tblStyle w:val="22"/>
              <w:tblW w:w="5000" w:type="pct"/>
              <w:tblInd w:w="-11" w:type="dxa"/>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80" w:type="dxa"/>
                <w:left w:w="16" w:type="dxa"/>
                <w:bottom w:w="0" w:type="dxa"/>
                <w:right w:w="12" w:type="dxa"/>
              </w:tblCellMar>
            </w:tblPr>
            <w:tblGrid>
              <w:gridCol w:w="917"/>
              <w:gridCol w:w="1858"/>
              <w:gridCol w:w="2091"/>
              <w:gridCol w:w="739"/>
              <w:gridCol w:w="761"/>
              <w:gridCol w:w="750"/>
              <w:gridCol w:w="972"/>
            </w:tblGrid>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trHeight w:val="595" w:hRule="atLeast"/>
              </w:trPr>
              <w:tc>
                <w:tcPr>
                  <w:tcW w:w="917" w:type="dxa"/>
                  <w:tcBorders>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序号</w:t>
                  </w:r>
                </w:p>
              </w:tc>
              <w:tc>
                <w:tcPr>
                  <w:tcW w:w="1858" w:type="dxa"/>
                  <w:tcBorders>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设备名称</w:t>
                  </w:r>
                </w:p>
              </w:tc>
              <w:tc>
                <w:tcPr>
                  <w:tcW w:w="2091" w:type="dxa"/>
                  <w:tcBorders>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型号规格</w:t>
                  </w:r>
                </w:p>
              </w:tc>
              <w:tc>
                <w:tcPr>
                  <w:tcW w:w="739" w:type="dxa"/>
                  <w:tcBorders>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单位</w:t>
                  </w:r>
                </w:p>
              </w:tc>
              <w:tc>
                <w:tcPr>
                  <w:tcW w:w="761" w:type="dxa"/>
                  <w:tcBorders>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lang w:val="en-US" w:eastAsia="zh-CN"/>
                    </w:rPr>
                    <w:t>改扩建前数量</w:t>
                  </w:r>
                </w:p>
              </w:tc>
              <w:tc>
                <w:tcPr>
                  <w:tcW w:w="750" w:type="dxa"/>
                  <w:tcBorders>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lang w:val="en-US" w:eastAsia="zh-CN"/>
                    </w:rPr>
                    <w:t>改扩建后</w:t>
                  </w:r>
                  <w:r>
                    <w:rPr>
                      <w:rFonts w:hint="default" w:ascii="Times New Roman" w:hAnsi="Times New Roman" w:eastAsia="宋体" w:cs="Times New Roman"/>
                      <w:b/>
                      <w:bCs w:val="0"/>
                      <w:color w:val="auto"/>
                      <w:sz w:val="21"/>
                      <w:szCs w:val="21"/>
                    </w:rPr>
                    <w:t>数量</w:t>
                  </w:r>
                </w:p>
              </w:tc>
              <w:tc>
                <w:tcPr>
                  <w:tcW w:w="972" w:type="dxa"/>
                  <w:tcBorders>
                    <w:left w:val="single" w:color="000000" w:sz="4" w:space="0"/>
                    <w:bottom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21"/>
                      <w:szCs w:val="21"/>
                      <w:lang w:eastAsia="zh-CN"/>
                    </w:rPr>
                  </w:pPr>
                  <w:r>
                    <w:rPr>
                      <w:rFonts w:hint="default" w:ascii="Times New Roman" w:hAnsi="Times New Roman" w:cs="Times New Roman"/>
                      <w:b/>
                      <w:bCs w:val="0"/>
                      <w:color w:val="auto"/>
                      <w:sz w:val="21"/>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80" w:type="dxa"/>
                  <w:left w:w="16" w:type="dxa"/>
                  <w:bottom w:w="0" w:type="dxa"/>
                  <w:right w:w="12" w:type="dxa"/>
                </w:tblCellMar>
              </w:tblPrEx>
              <w:trPr>
                <w:trHeight w:val="340" w:hRule="atLeast"/>
              </w:trPr>
              <w:tc>
                <w:tcPr>
                  <w:tcW w:w="917"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反洗水泵</w:t>
                  </w:r>
                </w:p>
              </w:tc>
              <w:tc>
                <w:tcPr>
                  <w:tcW w:w="2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150KQW200-20-15/4</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7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2</w:t>
                  </w:r>
                </w:p>
              </w:tc>
              <w:tc>
                <w:tcPr>
                  <w:tcW w:w="97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凯泉</w:t>
                  </w:r>
                  <w:r>
                    <w:rPr>
                      <w:rFonts w:hint="default" w:ascii="Times New Roman" w:hAnsi="Times New Roman" w:cs="Times New Roman"/>
                      <w:color w:val="auto"/>
                      <w:sz w:val="21"/>
                      <w:szCs w:val="21"/>
                      <w:lang w:val="en-US" w:eastAsia="zh-CN"/>
                    </w:rPr>
                    <w:t>/新界</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80" w:type="dxa"/>
                  <w:left w:w="16" w:type="dxa"/>
                  <w:bottom w:w="0" w:type="dxa"/>
                  <w:right w:w="12" w:type="dxa"/>
                </w:tblCellMar>
              </w:tblPrEx>
              <w:trPr>
                <w:trHeight w:val="340" w:hRule="atLeast"/>
              </w:trPr>
              <w:tc>
                <w:tcPr>
                  <w:tcW w:w="917"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机械</w:t>
                  </w:r>
                  <w:r>
                    <w:rPr>
                      <w:rFonts w:hint="default" w:ascii="Times New Roman" w:hAnsi="Times New Roman" w:cs="Times New Roman"/>
                      <w:color w:val="auto"/>
                      <w:sz w:val="21"/>
                      <w:szCs w:val="21"/>
                    </w:rPr>
                    <w:t>过滤器</w:t>
                  </w:r>
                </w:p>
              </w:tc>
              <w:tc>
                <w:tcPr>
                  <w:tcW w:w="2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YDG-3000</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7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3</w:t>
                  </w:r>
                </w:p>
              </w:tc>
              <w:tc>
                <w:tcPr>
                  <w:tcW w:w="97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特盾</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80" w:type="dxa"/>
                  <w:left w:w="16" w:type="dxa"/>
                  <w:bottom w:w="0" w:type="dxa"/>
                  <w:right w:w="12" w:type="dxa"/>
                </w:tblCellMar>
              </w:tblPrEx>
              <w:trPr>
                <w:trHeight w:val="340" w:hRule="atLeast"/>
              </w:trPr>
              <w:tc>
                <w:tcPr>
                  <w:tcW w:w="917"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活性炭过滤器</w:t>
                  </w:r>
                </w:p>
              </w:tc>
              <w:tc>
                <w:tcPr>
                  <w:tcW w:w="2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YHT-3000</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7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3</w:t>
                  </w:r>
                </w:p>
              </w:tc>
              <w:tc>
                <w:tcPr>
                  <w:tcW w:w="97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特盾</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80" w:type="dxa"/>
                  <w:left w:w="16" w:type="dxa"/>
                  <w:bottom w:w="0" w:type="dxa"/>
                  <w:right w:w="12" w:type="dxa"/>
                </w:tblCellMar>
              </w:tblPrEx>
              <w:trPr>
                <w:trHeight w:val="340" w:hRule="atLeast"/>
              </w:trPr>
              <w:tc>
                <w:tcPr>
                  <w:tcW w:w="917"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板式换热器</w:t>
                  </w:r>
                </w:p>
              </w:tc>
              <w:tc>
                <w:tcPr>
                  <w:tcW w:w="2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BR045M-25</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7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2</w:t>
                  </w:r>
                </w:p>
              </w:tc>
              <w:tc>
                <w:tcPr>
                  <w:tcW w:w="97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澜石/欧力德</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80" w:type="dxa"/>
                  <w:left w:w="16" w:type="dxa"/>
                  <w:bottom w:w="0" w:type="dxa"/>
                  <w:right w:w="12" w:type="dxa"/>
                </w:tblCellMar>
              </w:tblPrEx>
              <w:trPr>
                <w:trHeight w:val="313" w:hRule="atLeast"/>
              </w:trPr>
              <w:tc>
                <w:tcPr>
                  <w:tcW w:w="917"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保安过滤器1</w:t>
                  </w:r>
                </w:p>
              </w:tc>
              <w:tc>
                <w:tcPr>
                  <w:tcW w:w="2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BA-70</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7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3</w:t>
                  </w:r>
                </w:p>
              </w:tc>
              <w:tc>
                <w:tcPr>
                  <w:tcW w:w="97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特盾</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80" w:type="dxa"/>
                  <w:left w:w="16" w:type="dxa"/>
                  <w:bottom w:w="0" w:type="dxa"/>
                  <w:right w:w="12" w:type="dxa"/>
                </w:tblCellMar>
              </w:tblPrEx>
              <w:trPr>
                <w:trHeight w:val="340" w:hRule="atLeast"/>
              </w:trPr>
              <w:tc>
                <w:tcPr>
                  <w:tcW w:w="917"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保安过滤器2</w:t>
                  </w:r>
                </w:p>
              </w:tc>
              <w:tc>
                <w:tcPr>
                  <w:tcW w:w="2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BA-70</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7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3</w:t>
                  </w:r>
                </w:p>
              </w:tc>
              <w:tc>
                <w:tcPr>
                  <w:tcW w:w="97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特盾</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80" w:type="dxa"/>
                  <w:left w:w="16" w:type="dxa"/>
                  <w:bottom w:w="0" w:type="dxa"/>
                  <w:right w:w="12" w:type="dxa"/>
                </w:tblCellMar>
              </w:tblPrEx>
              <w:trPr>
                <w:trHeight w:val="340" w:hRule="atLeast"/>
              </w:trPr>
              <w:tc>
                <w:tcPr>
                  <w:tcW w:w="917"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高压泵</w:t>
                  </w:r>
                </w:p>
              </w:tc>
              <w:tc>
                <w:tcPr>
                  <w:tcW w:w="2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CDM85-60</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7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3</w:t>
                  </w:r>
                </w:p>
              </w:tc>
              <w:tc>
                <w:tcPr>
                  <w:tcW w:w="97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南方</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80" w:type="dxa"/>
                  <w:left w:w="16" w:type="dxa"/>
                  <w:bottom w:w="0" w:type="dxa"/>
                  <w:right w:w="12" w:type="dxa"/>
                </w:tblCellMar>
              </w:tblPrEx>
              <w:trPr>
                <w:trHeight w:val="340" w:hRule="atLeast"/>
              </w:trPr>
              <w:tc>
                <w:tcPr>
                  <w:tcW w:w="917"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变频器</w:t>
                  </w:r>
                </w:p>
              </w:tc>
              <w:tc>
                <w:tcPr>
                  <w:tcW w:w="2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ATV610D45N4</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7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3</w:t>
                  </w:r>
                </w:p>
              </w:tc>
              <w:tc>
                <w:tcPr>
                  <w:tcW w:w="97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库马克</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80" w:type="dxa"/>
                  <w:left w:w="16" w:type="dxa"/>
                  <w:bottom w:w="0" w:type="dxa"/>
                  <w:right w:w="12" w:type="dxa"/>
                </w:tblCellMar>
              </w:tblPrEx>
              <w:trPr>
                <w:trHeight w:val="340" w:hRule="atLeast"/>
              </w:trPr>
              <w:tc>
                <w:tcPr>
                  <w:tcW w:w="917"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反渗透装置</w:t>
                  </w:r>
                </w:p>
              </w:tc>
              <w:tc>
                <w:tcPr>
                  <w:tcW w:w="2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SRO50×2-I</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套</w:t>
                  </w:r>
                </w:p>
              </w:tc>
              <w:tc>
                <w:tcPr>
                  <w:tcW w:w="7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2</w:t>
                  </w:r>
                </w:p>
              </w:tc>
              <w:tc>
                <w:tcPr>
                  <w:tcW w:w="97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特盾</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80" w:type="dxa"/>
                  <w:left w:w="16" w:type="dxa"/>
                  <w:bottom w:w="0" w:type="dxa"/>
                  <w:right w:w="12" w:type="dxa"/>
                </w:tblCellMar>
              </w:tblPrEx>
              <w:trPr>
                <w:trHeight w:val="340" w:hRule="atLeast"/>
              </w:trPr>
              <w:tc>
                <w:tcPr>
                  <w:tcW w:w="917"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反渗透清洗系统</w:t>
                  </w:r>
                </w:p>
              </w:tc>
              <w:tc>
                <w:tcPr>
                  <w:tcW w:w="2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配套</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套</w:t>
                  </w:r>
                </w:p>
              </w:tc>
              <w:tc>
                <w:tcPr>
                  <w:tcW w:w="7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2</w:t>
                  </w:r>
                </w:p>
              </w:tc>
              <w:tc>
                <w:tcPr>
                  <w:tcW w:w="97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特盾</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80" w:type="dxa"/>
                  <w:left w:w="16" w:type="dxa"/>
                  <w:bottom w:w="0" w:type="dxa"/>
                  <w:right w:w="12" w:type="dxa"/>
                </w:tblCellMar>
              </w:tblPrEx>
              <w:trPr>
                <w:trHeight w:val="340" w:hRule="atLeast"/>
              </w:trPr>
              <w:tc>
                <w:tcPr>
                  <w:tcW w:w="917"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中间水泵</w:t>
                  </w:r>
                </w:p>
              </w:tc>
              <w:tc>
                <w:tcPr>
                  <w:tcW w:w="2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KQWH100-160A</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7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3</w:t>
                  </w:r>
                </w:p>
              </w:tc>
              <w:tc>
                <w:tcPr>
                  <w:tcW w:w="97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凯泉</w:t>
                  </w:r>
                  <w:r>
                    <w:rPr>
                      <w:rFonts w:hint="default" w:ascii="Times New Roman" w:hAnsi="Times New Roman" w:cs="Times New Roman"/>
                      <w:color w:val="auto"/>
                      <w:sz w:val="21"/>
                      <w:szCs w:val="21"/>
                      <w:lang w:val="en-US" w:eastAsia="zh-CN"/>
                    </w:rPr>
                    <w:t>/新界</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80" w:type="dxa"/>
                  <w:left w:w="16" w:type="dxa"/>
                  <w:bottom w:w="0" w:type="dxa"/>
                  <w:right w:w="12" w:type="dxa"/>
                </w:tblCellMar>
              </w:tblPrEx>
              <w:trPr>
                <w:trHeight w:val="340" w:hRule="atLeast"/>
              </w:trPr>
              <w:tc>
                <w:tcPr>
                  <w:tcW w:w="917"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混合离子交换器</w:t>
                  </w:r>
                </w:p>
              </w:tc>
              <w:tc>
                <w:tcPr>
                  <w:tcW w:w="2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SGF-2000</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7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3</w:t>
                  </w:r>
                </w:p>
              </w:tc>
              <w:tc>
                <w:tcPr>
                  <w:tcW w:w="97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特盾</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80" w:type="dxa"/>
                  <w:left w:w="16" w:type="dxa"/>
                  <w:bottom w:w="0" w:type="dxa"/>
                  <w:right w:w="12" w:type="dxa"/>
                </w:tblCellMar>
              </w:tblPrEx>
              <w:trPr>
                <w:trHeight w:val="340" w:hRule="atLeast"/>
              </w:trPr>
              <w:tc>
                <w:tcPr>
                  <w:tcW w:w="917"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树脂扑捉器</w:t>
                  </w:r>
                </w:p>
              </w:tc>
              <w:tc>
                <w:tcPr>
                  <w:tcW w:w="2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配套</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7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3</w:t>
                  </w:r>
                </w:p>
              </w:tc>
              <w:tc>
                <w:tcPr>
                  <w:tcW w:w="97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特盾</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80" w:type="dxa"/>
                  <w:left w:w="16" w:type="dxa"/>
                  <w:bottom w:w="0" w:type="dxa"/>
                  <w:right w:w="12" w:type="dxa"/>
                </w:tblCellMar>
              </w:tblPrEx>
              <w:trPr>
                <w:trHeight w:val="340" w:hRule="atLeast"/>
              </w:trPr>
              <w:tc>
                <w:tcPr>
                  <w:tcW w:w="917"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絮凝剂加药装置</w:t>
                  </w:r>
                </w:p>
              </w:tc>
              <w:tc>
                <w:tcPr>
                  <w:tcW w:w="2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YJY500-1</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套</w:t>
                  </w:r>
                </w:p>
              </w:tc>
              <w:tc>
                <w:tcPr>
                  <w:tcW w:w="7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2</w:t>
                  </w:r>
                </w:p>
              </w:tc>
              <w:tc>
                <w:tcPr>
                  <w:tcW w:w="97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tabs>
                      <w:tab w:val="left" w:pos="231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特盾</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80" w:type="dxa"/>
                  <w:left w:w="16" w:type="dxa"/>
                  <w:bottom w:w="0" w:type="dxa"/>
                  <w:right w:w="12" w:type="dxa"/>
                </w:tblCellMar>
              </w:tblPrEx>
              <w:trPr>
                <w:trHeight w:val="340" w:hRule="atLeast"/>
              </w:trPr>
              <w:tc>
                <w:tcPr>
                  <w:tcW w:w="917"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杀菌剂加药装置</w:t>
                  </w:r>
                </w:p>
              </w:tc>
              <w:tc>
                <w:tcPr>
                  <w:tcW w:w="2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YJY500</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24"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套</w:t>
                  </w:r>
                </w:p>
              </w:tc>
              <w:tc>
                <w:tcPr>
                  <w:tcW w:w="7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1"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1"/>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2</w:t>
                  </w:r>
                </w:p>
              </w:tc>
              <w:tc>
                <w:tcPr>
                  <w:tcW w:w="97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特盾</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80" w:type="dxa"/>
                  <w:left w:w="16" w:type="dxa"/>
                  <w:bottom w:w="0" w:type="dxa"/>
                  <w:right w:w="12" w:type="dxa"/>
                </w:tblCellMar>
              </w:tblPrEx>
              <w:trPr>
                <w:trHeight w:val="350" w:hRule="atLeast"/>
              </w:trPr>
              <w:tc>
                <w:tcPr>
                  <w:tcW w:w="917"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还原剂加药装置</w:t>
                  </w:r>
                </w:p>
              </w:tc>
              <w:tc>
                <w:tcPr>
                  <w:tcW w:w="2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YJY500-1</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24"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套</w:t>
                  </w:r>
                </w:p>
              </w:tc>
              <w:tc>
                <w:tcPr>
                  <w:tcW w:w="7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1"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1"/>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2</w:t>
                  </w:r>
                </w:p>
              </w:tc>
              <w:tc>
                <w:tcPr>
                  <w:tcW w:w="97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特盾</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trHeight w:val="340" w:hRule="atLeast"/>
              </w:trPr>
              <w:tc>
                <w:tcPr>
                  <w:tcW w:w="917"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阻垢剂加药装置</w:t>
                  </w:r>
                </w:p>
              </w:tc>
              <w:tc>
                <w:tcPr>
                  <w:tcW w:w="2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YJY500</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24"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套</w:t>
                  </w:r>
                </w:p>
              </w:tc>
              <w:tc>
                <w:tcPr>
                  <w:tcW w:w="7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1"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1"/>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2</w:t>
                  </w:r>
                </w:p>
              </w:tc>
              <w:tc>
                <w:tcPr>
                  <w:tcW w:w="97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特盾</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trHeight w:val="340" w:hRule="atLeast"/>
              </w:trPr>
              <w:tc>
                <w:tcPr>
                  <w:tcW w:w="917"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3"/>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加氨装置</w:t>
                  </w:r>
                </w:p>
              </w:tc>
              <w:tc>
                <w:tcPr>
                  <w:tcW w:w="2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JY-1.0</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24"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套</w:t>
                  </w:r>
                </w:p>
              </w:tc>
              <w:tc>
                <w:tcPr>
                  <w:tcW w:w="7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1"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1"/>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2</w:t>
                  </w:r>
                </w:p>
              </w:tc>
              <w:tc>
                <w:tcPr>
                  <w:tcW w:w="97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特盾</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trHeight w:val="340" w:hRule="atLeast"/>
              </w:trPr>
              <w:tc>
                <w:tcPr>
                  <w:tcW w:w="917"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3"/>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酸储</w:t>
                  </w:r>
                  <w:r>
                    <w:rPr>
                      <w:rFonts w:hint="default" w:ascii="Times New Roman" w:hAnsi="Times New Roman" w:cs="Times New Roman"/>
                      <w:color w:val="auto"/>
                      <w:sz w:val="21"/>
                      <w:szCs w:val="21"/>
                      <w:lang w:val="en-US" w:eastAsia="zh-CN"/>
                    </w:rPr>
                    <w:t>桶</w:t>
                  </w:r>
                </w:p>
              </w:tc>
              <w:tc>
                <w:tcPr>
                  <w:tcW w:w="2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容积</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24" w:leftChars="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个</w:t>
                  </w:r>
                </w:p>
              </w:tc>
              <w:tc>
                <w:tcPr>
                  <w:tcW w:w="7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1"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1"/>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7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利旧</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trHeight w:val="340" w:hRule="atLeast"/>
              </w:trPr>
              <w:tc>
                <w:tcPr>
                  <w:tcW w:w="917"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3"/>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碱储</w:t>
                  </w:r>
                  <w:r>
                    <w:rPr>
                      <w:rFonts w:hint="default" w:ascii="Times New Roman" w:hAnsi="Times New Roman" w:cs="Times New Roman"/>
                      <w:color w:val="auto"/>
                      <w:sz w:val="21"/>
                      <w:szCs w:val="21"/>
                      <w:lang w:val="en-US" w:eastAsia="zh-CN"/>
                    </w:rPr>
                    <w:t>桶</w:t>
                  </w:r>
                </w:p>
              </w:tc>
              <w:tc>
                <w:tcPr>
                  <w:tcW w:w="2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容积</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24"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7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1"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1"/>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7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利旧</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trHeight w:val="340" w:hRule="atLeast"/>
              </w:trPr>
              <w:tc>
                <w:tcPr>
                  <w:tcW w:w="917"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酸、碱计量箱</w:t>
                  </w:r>
                </w:p>
              </w:tc>
              <w:tc>
                <w:tcPr>
                  <w:tcW w:w="2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6"/>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1m</w:t>
                  </w:r>
                  <w:r>
                    <w:rPr>
                      <w:rFonts w:hint="default" w:ascii="Times New Roman" w:hAnsi="Times New Roman" w:cs="Times New Roman"/>
                      <w:color w:val="auto"/>
                      <w:sz w:val="21"/>
                      <w:szCs w:val="21"/>
                      <w:vertAlign w:val="superscript"/>
                    </w:rPr>
                    <w:t>3</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7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3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97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29"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特盾</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trHeight w:val="340" w:hRule="atLeast"/>
              </w:trPr>
              <w:tc>
                <w:tcPr>
                  <w:tcW w:w="917"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21"/>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再生装置</w:t>
                  </w:r>
                </w:p>
              </w:tc>
              <w:tc>
                <w:tcPr>
                  <w:tcW w:w="2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混床再生装置</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套</w:t>
                  </w:r>
                </w:p>
              </w:tc>
              <w:tc>
                <w:tcPr>
                  <w:tcW w:w="7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3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3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2</w:t>
                  </w:r>
                </w:p>
              </w:tc>
              <w:tc>
                <w:tcPr>
                  <w:tcW w:w="97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29"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特盾</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trHeight w:val="340" w:hRule="atLeast"/>
              </w:trPr>
              <w:tc>
                <w:tcPr>
                  <w:tcW w:w="917"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酸雾吸收器</w:t>
                  </w:r>
                </w:p>
              </w:tc>
              <w:tc>
                <w:tcPr>
                  <w:tcW w:w="2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SSW-500</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7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3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3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1</w:t>
                  </w:r>
                </w:p>
              </w:tc>
              <w:tc>
                <w:tcPr>
                  <w:tcW w:w="97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29"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特盾</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trHeight w:val="340" w:hRule="atLeast"/>
              </w:trPr>
              <w:tc>
                <w:tcPr>
                  <w:tcW w:w="917"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21"/>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再生水泵</w:t>
                  </w:r>
                </w:p>
              </w:tc>
              <w:tc>
                <w:tcPr>
                  <w:tcW w:w="2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KQWH80-160</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7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3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7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29"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凯泉</w:t>
                  </w:r>
                  <w:r>
                    <w:rPr>
                      <w:rFonts w:hint="default" w:ascii="Times New Roman" w:hAnsi="Times New Roman" w:cs="Times New Roman"/>
                      <w:color w:val="auto"/>
                      <w:sz w:val="21"/>
                      <w:szCs w:val="21"/>
                      <w:lang w:val="en-US" w:eastAsia="zh-CN"/>
                    </w:rPr>
                    <w:t>/新界</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trHeight w:val="340" w:hRule="atLeast"/>
              </w:trPr>
              <w:tc>
                <w:tcPr>
                  <w:tcW w:w="917"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25</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38"/>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管道、管件、阀门</w:t>
                  </w:r>
                </w:p>
              </w:tc>
              <w:tc>
                <w:tcPr>
                  <w:tcW w:w="2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DN15-DN150</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批</w:t>
                  </w:r>
                </w:p>
              </w:tc>
              <w:tc>
                <w:tcPr>
                  <w:tcW w:w="7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3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7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160"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trHeight w:val="340" w:hRule="atLeast"/>
              </w:trPr>
              <w:tc>
                <w:tcPr>
                  <w:tcW w:w="917"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26</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电气控制及辅件</w:t>
                  </w:r>
                </w:p>
              </w:tc>
              <w:tc>
                <w:tcPr>
                  <w:tcW w:w="2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16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套</w:t>
                  </w:r>
                </w:p>
              </w:tc>
              <w:tc>
                <w:tcPr>
                  <w:tcW w:w="7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3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7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160"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trHeight w:val="90" w:hRule="atLeast"/>
              </w:trPr>
              <w:tc>
                <w:tcPr>
                  <w:tcW w:w="917"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27</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4"/>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管架、安装辅件</w:t>
                  </w:r>
                </w:p>
              </w:tc>
              <w:tc>
                <w:tcPr>
                  <w:tcW w:w="2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配套</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套</w:t>
                  </w:r>
                </w:p>
              </w:tc>
              <w:tc>
                <w:tcPr>
                  <w:tcW w:w="7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93"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93"/>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w:t>
                  </w:r>
                </w:p>
              </w:tc>
              <w:tc>
                <w:tcPr>
                  <w:tcW w:w="97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160"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trHeight w:val="340" w:hRule="atLeast"/>
              </w:trPr>
              <w:tc>
                <w:tcPr>
                  <w:tcW w:w="917"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28</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4"/>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电导率</w:t>
                  </w:r>
                  <w:r>
                    <w:rPr>
                      <w:rFonts w:hint="default" w:ascii="Times New Roman" w:hAnsi="Times New Roman" w:cs="Times New Roman"/>
                      <w:color w:val="auto"/>
                      <w:sz w:val="21"/>
                      <w:szCs w:val="21"/>
                      <w:lang w:val="en-US" w:eastAsia="zh-CN"/>
                    </w:rPr>
                    <w:t>/电阻率</w:t>
                  </w:r>
                  <w:r>
                    <w:rPr>
                      <w:rFonts w:hint="default" w:ascii="Times New Roman" w:hAnsi="Times New Roman" w:cs="Times New Roman"/>
                      <w:color w:val="auto"/>
                      <w:sz w:val="21"/>
                      <w:szCs w:val="21"/>
                    </w:rPr>
                    <w:t>仪</w:t>
                  </w:r>
                </w:p>
              </w:tc>
              <w:tc>
                <w:tcPr>
                  <w:tcW w:w="2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16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套</w:t>
                  </w:r>
                </w:p>
              </w:tc>
              <w:tc>
                <w:tcPr>
                  <w:tcW w:w="7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3"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3"/>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7</w:t>
                  </w:r>
                </w:p>
              </w:tc>
              <w:tc>
                <w:tcPr>
                  <w:tcW w:w="97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瑞士</w:t>
                  </w:r>
                  <w:r>
                    <w:rPr>
                      <w:rFonts w:hint="default" w:ascii="Times New Roman" w:hAnsi="Times New Roman" w:cs="Times New Roman"/>
                      <w:color w:val="auto"/>
                      <w:sz w:val="21"/>
                      <w:szCs w:val="21"/>
                      <w:lang w:eastAsia="zh-CN"/>
                    </w:rPr>
                    <w:t>GF</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trHeight w:val="340" w:hRule="atLeast"/>
              </w:trPr>
              <w:tc>
                <w:tcPr>
                  <w:tcW w:w="917"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29</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4"/>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流量计</w:t>
                  </w:r>
                </w:p>
              </w:tc>
              <w:tc>
                <w:tcPr>
                  <w:tcW w:w="2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16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套</w:t>
                  </w:r>
                </w:p>
              </w:tc>
              <w:tc>
                <w:tcPr>
                  <w:tcW w:w="7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6</w:t>
                  </w:r>
                </w:p>
              </w:tc>
              <w:tc>
                <w:tcPr>
                  <w:tcW w:w="97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瑞士</w:t>
                  </w:r>
                  <w:r>
                    <w:rPr>
                      <w:rFonts w:hint="default" w:ascii="Times New Roman" w:hAnsi="Times New Roman" w:cs="Times New Roman"/>
                      <w:color w:val="auto"/>
                      <w:sz w:val="21"/>
                      <w:szCs w:val="21"/>
                      <w:lang w:eastAsia="zh-CN"/>
                    </w:rPr>
                    <w:t>GF</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trHeight w:val="303" w:hRule="atLeast"/>
              </w:trPr>
              <w:tc>
                <w:tcPr>
                  <w:tcW w:w="917"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30</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4"/>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系统压力表</w:t>
                  </w:r>
                </w:p>
              </w:tc>
              <w:tc>
                <w:tcPr>
                  <w:tcW w:w="2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16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批</w:t>
                  </w:r>
                </w:p>
              </w:tc>
              <w:tc>
                <w:tcPr>
                  <w:tcW w:w="7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2</w:t>
                  </w:r>
                </w:p>
              </w:tc>
              <w:tc>
                <w:tcPr>
                  <w:tcW w:w="97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国产优质</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trHeight w:val="340" w:hRule="atLeast"/>
              </w:trPr>
              <w:tc>
                <w:tcPr>
                  <w:tcW w:w="917"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31</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液位装置</w:t>
                  </w:r>
                </w:p>
              </w:tc>
              <w:tc>
                <w:tcPr>
                  <w:tcW w:w="2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JYB-K</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套</w:t>
                  </w:r>
                </w:p>
              </w:tc>
              <w:tc>
                <w:tcPr>
                  <w:tcW w:w="7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6</w:t>
                  </w:r>
                </w:p>
              </w:tc>
              <w:tc>
                <w:tcPr>
                  <w:tcW w:w="97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轩胜</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trHeight w:val="340" w:hRule="atLeast"/>
              </w:trPr>
              <w:tc>
                <w:tcPr>
                  <w:tcW w:w="917"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32</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4"/>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工业PH计</w:t>
                  </w:r>
                </w:p>
              </w:tc>
              <w:tc>
                <w:tcPr>
                  <w:tcW w:w="2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数字直读式</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套</w:t>
                  </w:r>
                </w:p>
              </w:tc>
              <w:tc>
                <w:tcPr>
                  <w:tcW w:w="7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7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翼申</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trHeight w:val="340" w:hRule="atLeast"/>
              </w:trPr>
              <w:tc>
                <w:tcPr>
                  <w:tcW w:w="917"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3</w:t>
                  </w:r>
                  <w:r>
                    <w:rPr>
                      <w:rFonts w:hint="default" w:ascii="Times New Roman" w:hAnsi="Times New Roman" w:cs="Times New Roman"/>
                      <w:color w:val="auto"/>
                      <w:sz w:val="21"/>
                      <w:szCs w:val="21"/>
                      <w:lang w:val="en-US" w:eastAsia="zh-CN"/>
                    </w:rPr>
                    <w:t>3</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4"/>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SDI仪</w:t>
                  </w:r>
                </w:p>
              </w:tc>
              <w:tc>
                <w:tcPr>
                  <w:tcW w:w="2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FI-47</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套</w:t>
                  </w:r>
                </w:p>
              </w:tc>
              <w:tc>
                <w:tcPr>
                  <w:tcW w:w="7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7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浙江东大</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trHeight w:val="340" w:hRule="atLeast"/>
              </w:trPr>
              <w:tc>
                <w:tcPr>
                  <w:tcW w:w="917"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3</w:t>
                  </w:r>
                  <w:r>
                    <w:rPr>
                      <w:rFonts w:hint="default" w:ascii="Times New Roman" w:hAnsi="Times New Roman" w:cs="Times New Roman"/>
                      <w:color w:val="auto"/>
                      <w:sz w:val="21"/>
                      <w:szCs w:val="21"/>
                      <w:lang w:val="en-US" w:eastAsia="zh-CN"/>
                    </w:rPr>
                    <w:t>4</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4"/>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氧化还原仪</w:t>
                  </w:r>
                </w:p>
              </w:tc>
              <w:tc>
                <w:tcPr>
                  <w:tcW w:w="2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16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套</w:t>
                  </w:r>
                </w:p>
              </w:tc>
              <w:tc>
                <w:tcPr>
                  <w:tcW w:w="7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7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国产</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PrEx>
              <w:trPr>
                <w:trHeight w:val="340" w:hRule="atLeast"/>
              </w:trPr>
              <w:tc>
                <w:tcPr>
                  <w:tcW w:w="917"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35</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4"/>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电控技术服务</w:t>
                  </w:r>
                </w:p>
              </w:tc>
              <w:tc>
                <w:tcPr>
                  <w:tcW w:w="2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16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项</w:t>
                  </w:r>
                </w:p>
              </w:tc>
              <w:tc>
                <w:tcPr>
                  <w:tcW w:w="7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7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160"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bl>
          <w:p>
            <w:pPr>
              <w:pStyle w:val="33"/>
              <w:bidi w:val="0"/>
              <w:rPr>
                <w:rFonts w:hint="default" w:ascii="Times New Roman" w:hAnsi="Times New Roman" w:cs="Times New Roman"/>
                <w:lang w:eastAsia="zh-CN"/>
              </w:rPr>
            </w:pPr>
            <w:r>
              <w:rPr>
                <w:rFonts w:hint="default" w:ascii="Times New Roman" w:hAnsi="Times New Roman" w:cs="Times New Roman"/>
              </w:rPr>
              <w:t>表2</w:t>
            </w:r>
            <w:r>
              <w:rPr>
                <w:rFonts w:hint="default" w:ascii="Times New Roman" w:hAnsi="Times New Roman" w:cs="Times New Roman"/>
                <w:lang w:val="en-US" w:eastAsia="zh-CN"/>
              </w:rPr>
              <w:t>-6</w:t>
            </w:r>
            <w:r>
              <w:rPr>
                <w:rFonts w:hint="default" w:ascii="Times New Roman" w:hAnsi="Times New Roman" w:cs="Times New Roman"/>
              </w:rPr>
              <w:t xml:space="preserve"> </w:t>
            </w:r>
            <w:r>
              <w:rPr>
                <w:rFonts w:hint="default" w:ascii="Times New Roman" w:hAnsi="Times New Roman" w:cs="Times New Roman"/>
                <w:lang w:val="en-US" w:eastAsia="zh-CN"/>
              </w:rPr>
              <w:t>供水系统污泥处理设备清单</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5"/>
              <w:gridCol w:w="1583"/>
              <w:gridCol w:w="2132"/>
              <w:gridCol w:w="613"/>
              <w:gridCol w:w="770"/>
              <w:gridCol w:w="770"/>
              <w:gridCol w:w="17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3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97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名称</w:t>
                  </w:r>
                </w:p>
              </w:tc>
              <w:tc>
                <w:tcPr>
                  <w:tcW w:w="13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规格型号</w:t>
                  </w:r>
                </w:p>
              </w:tc>
              <w:tc>
                <w:tcPr>
                  <w:tcW w:w="3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单位</w:t>
                  </w:r>
                </w:p>
              </w:tc>
              <w:tc>
                <w:tcPr>
                  <w:tcW w:w="4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改扩建前数量</w:t>
                  </w:r>
                </w:p>
              </w:tc>
              <w:tc>
                <w:tcPr>
                  <w:tcW w:w="4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改扩建后数量</w:t>
                  </w:r>
                </w:p>
              </w:tc>
              <w:tc>
                <w:tcPr>
                  <w:tcW w:w="105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3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7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污泥收集池</w:t>
                  </w:r>
                </w:p>
              </w:tc>
              <w:tc>
                <w:tcPr>
                  <w:tcW w:w="13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利用原有的污泥收集池</w:t>
                  </w:r>
                </w:p>
              </w:tc>
              <w:tc>
                <w:tcPr>
                  <w:tcW w:w="3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4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4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05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3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97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污泥提升泵</w:t>
                  </w:r>
                </w:p>
              </w:tc>
              <w:tc>
                <w:tcPr>
                  <w:tcW w:w="13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QW50-15-25-2.2</w:t>
                  </w:r>
                </w:p>
              </w:tc>
              <w:tc>
                <w:tcPr>
                  <w:tcW w:w="3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4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05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上海鑫虹泵业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51" w:hRule="atLeast"/>
                <w:jc w:val="center"/>
              </w:trPr>
              <w:tc>
                <w:tcPr>
                  <w:tcW w:w="3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97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污泥浓缩罐</w:t>
                  </w:r>
                </w:p>
              </w:tc>
              <w:tc>
                <w:tcPr>
                  <w:tcW w:w="13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φ3200×4500</w:t>
                  </w:r>
                </w:p>
              </w:tc>
              <w:tc>
                <w:tcPr>
                  <w:tcW w:w="3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4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05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奥柯达环保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3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97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渣浆泵</w:t>
                  </w:r>
                </w:p>
              </w:tc>
              <w:tc>
                <w:tcPr>
                  <w:tcW w:w="13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/h</w:t>
                  </w:r>
                </w:p>
              </w:tc>
              <w:tc>
                <w:tcPr>
                  <w:tcW w:w="3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4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05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97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叠螺污泥脱水机</w:t>
                  </w:r>
                </w:p>
              </w:tc>
              <w:tc>
                <w:tcPr>
                  <w:tcW w:w="13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SC301型</w:t>
                  </w:r>
                </w:p>
              </w:tc>
              <w:tc>
                <w:tcPr>
                  <w:tcW w:w="3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4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05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奥柯达环保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3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97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加PAM装置</w:t>
                  </w:r>
                </w:p>
              </w:tc>
              <w:tc>
                <w:tcPr>
                  <w:tcW w:w="13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50L/h</w:t>
                  </w:r>
                </w:p>
              </w:tc>
              <w:tc>
                <w:tcPr>
                  <w:tcW w:w="3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套</w:t>
                  </w:r>
                </w:p>
              </w:tc>
              <w:tc>
                <w:tcPr>
                  <w:tcW w:w="4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4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05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奥柯达环保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3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97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回用水收集池</w:t>
                  </w:r>
                </w:p>
              </w:tc>
              <w:tc>
                <w:tcPr>
                  <w:tcW w:w="13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用原有的水池</w:t>
                  </w:r>
                </w:p>
              </w:tc>
              <w:tc>
                <w:tcPr>
                  <w:tcW w:w="3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4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4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05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r>
          </w:tbl>
          <w:p>
            <w:pPr>
              <w:pStyle w:val="33"/>
              <w:bidi w:val="0"/>
              <w:rPr>
                <w:rFonts w:hint="default" w:ascii="Times New Roman" w:hAnsi="Times New Roman" w:cs="Times New Roman"/>
                <w:lang w:eastAsia="zh-CN"/>
              </w:rPr>
            </w:pPr>
            <w:r>
              <w:rPr>
                <w:rFonts w:hint="default" w:ascii="Times New Roman" w:hAnsi="Times New Roman" w:cs="Times New Roman"/>
              </w:rPr>
              <w:t>表2</w:t>
            </w:r>
            <w:r>
              <w:rPr>
                <w:rFonts w:hint="default" w:ascii="Times New Roman" w:hAnsi="Times New Roman" w:cs="Times New Roman"/>
                <w:lang w:val="en-US" w:eastAsia="zh-CN"/>
              </w:rPr>
              <w:t>-7</w:t>
            </w:r>
            <w:r>
              <w:rPr>
                <w:rFonts w:hint="default" w:ascii="Times New Roman" w:hAnsi="Times New Roman" w:cs="Times New Roman"/>
              </w:rPr>
              <w:t xml:space="preserve"> </w:t>
            </w:r>
            <w:r>
              <w:rPr>
                <w:rFonts w:hint="default" w:ascii="Times New Roman" w:hAnsi="Times New Roman" w:cs="Times New Roman"/>
                <w:lang w:val="en-US" w:eastAsia="zh-CN"/>
              </w:rPr>
              <w:t>制软水设备清单</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469"/>
              <w:gridCol w:w="2107"/>
              <w:gridCol w:w="672"/>
              <w:gridCol w:w="737"/>
              <w:gridCol w:w="737"/>
              <w:gridCol w:w="17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653" w:type="dxa"/>
                </w:tcPr>
                <w:p>
                  <w:pPr>
                    <w:tabs>
                      <w:tab w:val="left" w:pos="5840"/>
                    </w:tabs>
                    <w:spacing w:line="360" w:lineRule="exact"/>
                    <w:jc w:val="center"/>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序号</w:t>
                  </w:r>
                </w:p>
              </w:tc>
              <w:tc>
                <w:tcPr>
                  <w:tcW w:w="146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21"/>
                      <w:szCs w:val="21"/>
                      <w:vertAlign w:val="baseline"/>
                      <w:lang w:eastAsia="zh-CN"/>
                    </w:rPr>
                  </w:pPr>
                  <w:r>
                    <w:rPr>
                      <w:rFonts w:hint="default" w:ascii="Times New Roman" w:hAnsi="Times New Roman" w:eastAsia="宋体" w:cs="Times New Roman"/>
                      <w:b/>
                      <w:bCs w:val="0"/>
                      <w:color w:val="auto"/>
                      <w:sz w:val="21"/>
                      <w:szCs w:val="21"/>
                    </w:rPr>
                    <w:t>名称</w:t>
                  </w:r>
                </w:p>
              </w:tc>
              <w:tc>
                <w:tcPr>
                  <w:tcW w:w="210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21"/>
                      <w:szCs w:val="21"/>
                      <w:vertAlign w:val="baseline"/>
                      <w:lang w:eastAsia="zh-CN"/>
                    </w:rPr>
                  </w:pPr>
                  <w:r>
                    <w:rPr>
                      <w:rFonts w:hint="default" w:ascii="Times New Roman" w:hAnsi="Times New Roman" w:eastAsia="宋体" w:cs="Times New Roman"/>
                      <w:b/>
                      <w:bCs w:val="0"/>
                      <w:color w:val="auto"/>
                      <w:sz w:val="21"/>
                      <w:szCs w:val="21"/>
                    </w:rPr>
                    <w:t>规格型号</w:t>
                  </w:r>
                </w:p>
              </w:tc>
              <w:tc>
                <w:tcPr>
                  <w:tcW w:w="6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21"/>
                      <w:szCs w:val="21"/>
                      <w:vertAlign w:val="baseline"/>
                      <w:lang w:eastAsia="zh-CN"/>
                    </w:rPr>
                  </w:pPr>
                  <w:r>
                    <w:rPr>
                      <w:rFonts w:hint="default" w:ascii="Times New Roman" w:hAnsi="Times New Roman" w:eastAsia="宋体" w:cs="Times New Roman"/>
                      <w:b/>
                      <w:bCs w:val="0"/>
                      <w:color w:val="auto"/>
                      <w:sz w:val="21"/>
                      <w:szCs w:val="21"/>
                    </w:rPr>
                    <w:t>单位</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cs="Times New Roman"/>
                      <w:b/>
                      <w:bCs w:val="0"/>
                      <w:color w:val="auto"/>
                      <w:sz w:val="21"/>
                      <w:szCs w:val="21"/>
                      <w:lang w:val="en-US" w:eastAsia="zh-CN"/>
                    </w:rPr>
                    <w:t>改扩建前数量</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21"/>
                      <w:szCs w:val="21"/>
                      <w:vertAlign w:val="baseline"/>
                      <w:lang w:eastAsia="zh-CN"/>
                    </w:rPr>
                  </w:pPr>
                  <w:r>
                    <w:rPr>
                      <w:rFonts w:hint="default" w:ascii="Times New Roman" w:hAnsi="Times New Roman" w:cs="Times New Roman"/>
                      <w:b/>
                      <w:bCs w:val="0"/>
                      <w:color w:val="auto"/>
                      <w:sz w:val="21"/>
                      <w:szCs w:val="21"/>
                      <w:lang w:val="en-US" w:eastAsia="zh-CN"/>
                    </w:rPr>
                    <w:t>改扩建后数量</w:t>
                  </w:r>
                </w:p>
              </w:tc>
              <w:tc>
                <w:tcPr>
                  <w:tcW w:w="171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21"/>
                      <w:szCs w:val="21"/>
                      <w:vertAlign w:val="baseline"/>
                      <w:lang w:eastAsia="zh-CN"/>
                    </w:rPr>
                  </w:pPr>
                  <w:r>
                    <w:rPr>
                      <w:rFonts w:hint="default" w:ascii="Times New Roman" w:hAnsi="Times New Roman" w:eastAsia="宋体" w:cs="Times New Roman"/>
                      <w:b/>
                      <w:bCs w:val="0"/>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653" w:type="dxa"/>
                </w:tcPr>
                <w:p>
                  <w:pPr>
                    <w:tabs>
                      <w:tab w:val="left" w:pos="5840"/>
                    </w:tabs>
                    <w:spacing w:line="360" w:lineRule="exact"/>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1</w:t>
                  </w:r>
                </w:p>
              </w:tc>
              <w:tc>
                <w:tcPr>
                  <w:tcW w:w="1469" w:type="dxa"/>
                </w:tcPr>
                <w:p>
                  <w:pPr>
                    <w:tabs>
                      <w:tab w:val="left" w:pos="5840"/>
                    </w:tabs>
                    <w:spacing w:line="360" w:lineRule="exact"/>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三塔流动床</w:t>
                  </w:r>
                </w:p>
              </w:tc>
              <w:tc>
                <w:tcPr>
                  <w:tcW w:w="2107" w:type="dxa"/>
                  <w:vAlign w:val="top"/>
                </w:tcPr>
                <w:p>
                  <w:pPr>
                    <w:tabs>
                      <w:tab w:val="left" w:pos="5840"/>
                    </w:tabs>
                    <w:spacing w:line="360" w:lineRule="exact"/>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60</w:t>
                  </w:r>
                  <w:r>
                    <w:rPr>
                      <w:rFonts w:hint="default" w:ascii="Times New Roman" w:hAnsi="Times New Roman" w:eastAsia="宋体" w:cs="Times New Roman"/>
                      <w:b w:val="0"/>
                      <w:bCs/>
                      <w:color w:val="auto"/>
                      <w:sz w:val="21"/>
                      <w:szCs w:val="21"/>
                    </w:rPr>
                    <w:t>m</w:t>
                  </w:r>
                  <w:r>
                    <w:rPr>
                      <w:rFonts w:hint="default" w:ascii="Times New Roman" w:hAnsi="Times New Roman" w:eastAsia="宋体" w:cs="Times New Roman"/>
                      <w:b w:val="0"/>
                      <w:bCs/>
                      <w:color w:val="auto"/>
                      <w:sz w:val="21"/>
                      <w:szCs w:val="21"/>
                      <w:vertAlign w:val="superscript"/>
                    </w:rPr>
                    <w:t>3</w:t>
                  </w:r>
                  <w:r>
                    <w:rPr>
                      <w:rFonts w:hint="default" w:ascii="Times New Roman" w:hAnsi="Times New Roman" w:eastAsia="宋体" w:cs="Times New Roman"/>
                      <w:b w:val="0"/>
                      <w:bCs/>
                      <w:color w:val="auto"/>
                      <w:sz w:val="21"/>
                      <w:szCs w:val="21"/>
                    </w:rPr>
                    <w:t>/h</w:t>
                  </w:r>
                </w:p>
              </w:tc>
              <w:tc>
                <w:tcPr>
                  <w:tcW w:w="672" w:type="dxa"/>
                </w:tcPr>
                <w:p>
                  <w:pPr>
                    <w:tabs>
                      <w:tab w:val="left" w:pos="5840"/>
                    </w:tabs>
                    <w:spacing w:line="360" w:lineRule="exact"/>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套</w:t>
                  </w:r>
                </w:p>
              </w:tc>
              <w:tc>
                <w:tcPr>
                  <w:tcW w:w="737" w:type="dxa"/>
                </w:tcPr>
                <w:p>
                  <w:pPr>
                    <w:tabs>
                      <w:tab w:val="left" w:pos="5840"/>
                    </w:tabs>
                    <w:spacing w:line="360" w:lineRule="exact"/>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1</w:t>
                  </w:r>
                </w:p>
              </w:tc>
              <w:tc>
                <w:tcPr>
                  <w:tcW w:w="737" w:type="dxa"/>
                </w:tcPr>
                <w:p>
                  <w:pPr>
                    <w:tabs>
                      <w:tab w:val="left" w:pos="5840"/>
                    </w:tabs>
                    <w:spacing w:line="360" w:lineRule="exact"/>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1</w:t>
                  </w:r>
                </w:p>
              </w:tc>
              <w:tc>
                <w:tcPr>
                  <w:tcW w:w="1713" w:type="dxa"/>
                </w:tcPr>
                <w:p>
                  <w:pPr>
                    <w:tabs>
                      <w:tab w:val="left" w:pos="5840"/>
                    </w:tabs>
                    <w:spacing w:line="360" w:lineRule="exact"/>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653" w:type="dxa"/>
                </w:tcPr>
                <w:p>
                  <w:pPr>
                    <w:tabs>
                      <w:tab w:val="left" w:pos="5840"/>
                    </w:tabs>
                    <w:spacing w:line="360" w:lineRule="exact"/>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2</w:t>
                  </w:r>
                </w:p>
              </w:tc>
              <w:tc>
                <w:tcPr>
                  <w:tcW w:w="1469" w:type="dxa"/>
                </w:tcPr>
                <w:p>
                  <w:pPr>
                    <w:tabs>
                      <w:tab w:val="left" w:pos="5840"/>
                    </w:tabs>
                    <w:spacing w:line="360" w:lineRule="exact"/>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树脂泵</w:t>
                  </w:r>
                </w:p>
              </w:tc>
              <w:tc>
                <w:tcPr>
                  <w:tcW w:w="2107" w:type="dxa"/>
                </w:tcPr>
                <w:p>
                  <w:pPr>
                    <w:tabs>
                      <w:tab w:val="left" w:pos="5840"/>
                    </w:tabs>
                    <w:spacing w:line="360" w:lineRule="exact"/>
                    <w:jc w:val="center"/>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eastAsia="宋体" w:cs="Times New Roman"/>
                      <w:b w:val="0"/>
                      <w:bCs/>
                      <w:color w:val="auto"/>
                      <w:sz w:val="21"/>
                      <w:szCs w:val="21"/>
                      <w:vertAlign w:val="baseline"/>
                      <w:lang w:eastAsia="zh-CN"/>
                    </w:rPr>
                    <w:t>CHL8-30LSwsc</w:t>
                  </w:r>
                </w:p>
              </w:tc>
              <w:tc>
                <w:tcPr>
                  <w:tcW w:w="672" w:type="dxa"/>
                </w:tcPr>
                <w:p>
                  <w:pPr>
                    <w:tabs>
                      <w:tab w:val="left" w:pos="5840"/>
                    </w:tabs>
                    <w:spacing w:line="360" w:lineRule="exact"/>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台</w:t>
                  </w:r>
                </w:p>
              </w:tc>
              <w:tc>
                <w:tcPr>
                  <w:tcW w:w="737" w:type="dxa"/>
                </w:tcPr>
                <w:p>
                  <w:pPr>
                    <w:tabs>
                      <w:tab w:val="left" w:pos="5840"/>
                    </w:tabs>
                    <w:spacing w:line="360" w:lineRule="exact"/>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1</w:t>
                  </w:r>
                </w:p>
              </w:tc>
              <w:tc>
                <w:tcPr>
                  <w:tcW w:w="737" w:type="dxa"/>
                </w:tcPr>
                <w:p>
                  <w:pPr>
                    <w:tabs>
                      <w:tab w:val="left" w:pos="5840"/>
                    </w:tabs>
                    <w:spacing w:line="360" w:lineRule="exact"/>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1</w:t>
                  </w:r>
                </w:p>
              </w:tc>
              <w:tc>
                <w:tcPr>
                  <w:tcW w:w="1713" w:type="dxa"/>
                </w:tcPr>
                <w:p>
                  <w:pPr>
                    <w:spacing w:line="360" w:lineRule="exact"/>
                    <w:ind w:firstLine="0" w:firstLineChars="0"/>
                    <w:jc w:val="center"/>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eastAsia="宋体" w:cs="Times New Roman"/>
                      <w:b w:val="0"/>
                      <w:bCs/>
                      <w:color w:val="auto"/>
                      <w:sz w:val="21"/>
                      <w:szCs w:val="21"/>
                      <w:vertAlign w:val="baseline"/>
                      <w:lang w:val="en-US" w:eastAsia="zh-CN"/>
                    </w:rPr>
                    <w:t>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653" w:type="dxa"/>
                </w:tcPr>
                <w:p>
                  <w:pPr>
                    <w:tabs>
                      <w:tab w:val="left" w:pos="5840"/>
                    </w:tabs>
                    <w:spacing w:line="360" w:lineRule="exact"/>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3</w:t>
                  </w:r>
                </w:p>
              </w:tc>
              <w:tc>
                <w:tcPr>
                  <w:tcW w:w="1469" w:type="dxa"/>
                </w:tcPr>
                <w:p>
                  <w:pPr>
                    <w:tabs>
                      <w:tab w:val="left" w:pos="5840"/>
                    </w:tabs>
                    <w:spacing w:line="360" w:lineRule="exact"/>
                    <w:jc w:val="center"/>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eastAsia="宋体" w:cs="Times New Roman"/>
                      <w:b w:val="0"/>
                      <w:bCs/>
                      <w:color w:val="auto"/>
                      <w:sz w:val="21"/>
                      <w:szCs w:val="21"/>
                      <w:vertAlign w:val="baseline"/>
                      <w:lang w:eastAsia="zh-CN"/>
                    </w:rPr>
                    <w:t>软水输送泵</w:t>
                  </w:r>
                </w:p>
              </w:tc>
              <w:tc>
                <w:tcPr>
                  <w:tcW w:w="2107" w:type="dxa"/>
                </w:tcPr>
                <w:p>
                  <w:pPr>
                    <w:tabs>
                      <w:tab w:val="left" w:pos="5840"/>
                    </w:tabs>
                    <w:spacing w:line="360" w:lineRule="exact"/>
                    <w:jc w:val="center"/>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eastAsia="宋体" w:cs="Times New Roman"/>
                      <w:b w:val="0"/>
                      <w:bCs/>
                      <w:color w:val="auto"/>
                      <w:sz w:val="21"/>
                      <w:szCs w:val="21"/>
                      <w:vertAlign w:val="baseline"/>
                      <w:lang w:eastAsia="zh-CN"/>
                    </w:rPr>
                    <w:t>IS80-50-200</w:t>
                  </w:r>
                </w:p>
              </w:tc>
              <w:tc>
                <w:tcPr>
                  <w:tcW w:w="672" w:type="dxa"/>
                </w:tcPr>
                <w:p>
                  <w:pPr>
                    <w:tabs>
                      <w:tab w:val="left" w:pos="5840"/>
                    </w:tabs>
                    <w:spacing w:line="360" w:lineRule="exact"/>
                    <w:jc w:val="center"/>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eastAsia="宋体" w:cs="Times New Roman"/>
                      <w:b w:val="0"/>
                      <w:bCs/>
                      <w:color w:val="auto"/>
                      <w:sz w:val="21"/>
                      <w:szCs w:val="21"/>
                      <w:vertAlign w:val="baseline"/>
                      <w:lang w:val="en-US" w:eastAsia="zh-CN"/>
                    </w:rPr>
                    <w:t>台</w:t>
                  </w:r>
                </w:p>
              </w:tc>
              <w:tc>
                <w:tcPr>
                  <w:tcW w:w="737" w:type="dxa"/>
                </w:tcPr>
                <w:p>
                  <w:pPr>
                    <w:tabs>
                      <w:tab w:val="left" w:pos="5840"/>
                    </w:tabs>
                    <w:spacing w:line="360" w:lineRule="exact"/>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2</w:t>
                  </w:r>
                </w:p>
              </w:tc>
              <w:tc>
                <w:tcPr>
                  <w:tcW w:w="737" w:type="dxa"/>
                </w:tcPr>
                <w:p>
                  <w:pPr>
                    <w:tabs>
                      <w:tab w:val="left" w:pos="5840"/>
                    </w:tabs>
                    <w:spacing w:line="360" w:lineRule="exact"/>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2</w:t>
                  </w:r>
                </w:p>
              </w:tc>
              <w:tc>
                <w:tcPr>
                  <w:tcW w:w="1713" w:type="dxa"/>
                </w:tcPr>
                <w:p>
                  <w:pPr>
                    <w:spacing w:line="360" w:lineRule="exact"/>
                    <w:ind w:firstLine="0" w:firstLineChars="0"/>
                    <w:jc w:val="center"/>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eastAsia="宋体" w:cs="Times New Roman"/>
                      <w:b w:val="0"/>
                      <w:bCs/>
                      <w:color w:val="auto"/>
                      <w:sz w:val="21"/>
                      <w:szCs w:val="21"/>
                      <w:vertAlign w:val="baseline"/>
                      <w:lang w:val="en-US" w:eastAsia="zh-CN"/>
                    </w:rPr>
                    <w:t>现有</w:t>
                  </w:r>
                </w:p>
              </w:tc>
            </w:tr>
          </w:tbl>
          <w:p>
            <w:pPr>
              <w:pStyle w:val="36"/>
              <w:bidi w:val="0"/>
              <w:rPr>
                <w:rFonts w:hint="default" w:ascii="Times New Roman" w:hAnsi="Times New Roman" w:cs="Times New Roman"/>
                <w:color w:val="FF0000"/>
                <w:u w:val="single"/>
                <w:lang w:val="en-US" w:eastAsia="zh-CN"/>
              </w:rPr>
            </w:pPr>
            <w:r>
              <w:rPr>
                <w:rFonts w:hint="default" w:ascii="Times New Roman" w:hAnsi="Times New Roman" w:cs="Times New Roman"/>
              </w:rPr>
              <w:t>由《产业结构调整指导目录（201</w:t>
            </w:r>
            <w:r>
              <w:rPr>
                <w:rFonts w:hint="default" w:ascii="Times New Roman" w:hAnsi="Times New Roman" w:cs="Times New Roman"/>
                <w:lang w:val="en-US" w:eastAsia="zh-CN"/>
              </w:rPr>
              <w:t>9</w:t>
            </w:r>
            <w:r>
              <w:rPr>
                <w:rFonts w:hint="default" w:ascii="Times New Roman" w:hAnsi="Times New Roman" w:cs="Times New Roman"/>
              </w:rPr>
              <w:t>年本）》和《部分工业行业淘汰落后生产工艺装备和产品指导目录（2010年本）》可知，项目所选设备均不属于国家淘汰和限制的产业类型，可满足正常生产的需要。</w:t>
            </w:r>
          </w:p>
          <w:p>
            <w:pPr>
              <w:pStyle w:val="36"/>
              <w:bidi w:val="0"/>
              <w:rPr>
                <w:rFonts w:hint="default" w:ascii="Times New Roman" w:hAnsi="Times New Roman" w:cs="Times New Roman"/>
                <w:b/>
                <w:bCs/>
              </w:rPr>
            </w:pPr>
            <w:r>
              <w:rPr>
                <w:rFonts w:hint="default" w:ascii="Times New Roman" w:hAnsi="Times New Roman" w:cs="Times New Roman"/>
                <w:b/>
                <w:bCs/>
                <w:lang w:val="en-US" w:eastAsia="zh-CN"/>
              </w:rPr>
              <w:t>7</w:t>
            </w:r>
            <w:r>
              <w:rPr>
                <w:rFonts w:hint="default" w:ascii="Times New Roman" w:hAnsi="Times New Roman" w:cs="Times New Roman"/>
                <w:b/>
                <w:bCs/>
              </w:rPr>
              <w:t>、公用工程</w:t>
            </w:r>
          </w:p>
          <w:p>
            <w:pPr>
              <w:pStyle w:val="36"/>
              <w:bidi w:val="0"/>
              <w:rPr>
                <w:rFonts w:hint="default" w:ascii="Times New Roman" w:hAnsi="Times New Roman" w:cs="Times New Roman"/>
              </w:rPr>
            </w:pPr>
            <w:r>
              <w:rPr>
                <w:rFonts w:hint="default" w:ascii="Times New Roman" w:hAnsi="Times New Roman" w:cs="Times New Roman"/>
              </w:rPr>
              <w:t>（1）交通：本项目位于</w:t>
            </w:r>
            <w:r>
              <w:rPr>
                <w:rFonts w:hint="default" w:ascii="Times New Roman" w:hAnsi="Times New Roman" w:cs="Times New Roman"/>
                <w:color w:val="auto"/>
                <w:sz w:val="24"/>
                <w:szCs w:val="24"/>
                <w:lang w:val="en-US" w:eastAsia="zh-CN"/>
              </w:rPr>
              <w:t>湖南省怀化市洪江区岩门01号</w:t>
            </w:r>
            <w:r>
              <w:rPr>
                <w:rFonts w:hint="default" w:ascii="Times New Roman" w:hAnsi="Times New Roman" w:cs="Times New Roman"/>
              </w:rPr>
              <w:t>，靠近</w:t>
            </w:r>
            <w:r>
              <w:rPr>
                <w:rFonts w:hint="default" w:ascii="Times New Roman" w:hAnsi="Times New Roman" w:cs="Times New Roman"/>
                <w:lang w:val="en-US" w:eastAsia="zh-CN"/>
              </w:rPr>
              <w:t>S249省</w:t>
            </w:r>
            <w:r>
              <w:rPr>
                <w:rFonts w:hint="default" w:ascii="Times New Roman" w:hAnsi="Times New Roman" w:cs="Times New Roman"/>
              </w:rPr>
              <w:t>道，交通较为便捷。</w:t>
            </w:r>
          </w:p>
          <w:p>
            <w:pPr>
              <w:pStyle w:val="36"/>
              <w:bidi w:val="0"/>
              <w:rPr>
                <w:rFonts w:hint="default" w:ascii="Times New Roman" w:hAnsi="Times New Roman" w:eastAsia="宋体" w:cs="Times New Roman"/>
                <w:lang w:eastAsia="zh-CN"/>
              </w:rPr>
            </w:pPr>
            <w:r>
              <w:rPr>
                <w:rFonts w:hint="default" w:ascii="Times New Roman" w:hAnsi="Times New Roman" w:cs="Times New Roman"/>
              </w:rPr>
              <w:t>（2）供电：本</w:t>
            </w:r>
            <w:r>
              <w:rPr>
                <w:rFonts w:hint="default" w:ascii="Times New Roman" w:hAnsi="Times New Roman" w:cs="Times New Roman"/>
                <w:lang w:val="en-US" w:eastAsia="zh-CN"/>
              </w:rPr>
              <w:t>项目供电由</w:t>
            </w:r>
            <w:r>
              <w:rPr>
                <w:rFonts w:hint="default" w:ascii="Times New Roman" w:hAnsi="Times New Roman" w:cs="Times New Roman"/>
              </w:rPr>
              <w:t>工业园变压站</w:t>
            </w:r>
            <w:r>
              <w:rPr>
                <w:rFonts w:hint="default" w:ascii="Times New Roman" w:hAnsi="Times New Roman" w:cs="Times New Roman"/>
                <w:lang w:val="en-US" w:eastAsia="zh-CN"/>
              </w:rPr>
              <w:t>供应</w:t>
            </w:r>
            <w:r>
              <w:rPr>
                <w:rFonts w:hint="default" w:ascii="Times New Roman" w:hAnsi="Times New Roman" w:cs="Times New Roman"/>
              </w:rPr>
              <w:t>，</w:t>
            </w:r>
            <w:r>
              <w:rPr>
                <w:rFonts w:hint="default" w:ascii="Times New Roman" w:hAnsi="Times New Roman" w:cs="Times New Roman"/>
                <w:lang w:val="en-US" w:eastAsia="zh-CN"/>
              </w:rPr>
              <w:t>能</w:t>
            </w:r>
            <w:r>
              <w:rPr>
                <w:rFonts w:hint="default" w:ascii="Times New Roman" w:hAnsi="Times New Roman" w:cs="Times New Roman"/>
              </w:rPr>
              <w:t>满足生产、生活用电需要，总体上电源可靠</w:t>
            </w:r>
            <w:r>
              <w:rPr>
                <w:rFonts w:hint="default" w:ascii="Times New Roman" w:hAnsi="Times New Roman" w:cs="Times New Roman"/>
                <w:lang w:eastAsia="zh-CN"/>
              </w:rPr>
              <w:t>。</w:t>
            </w:r>
          </w:p>
          <w:p>
            <w:pPr>
              <w:pStyle w:val="36"/>
              <w:bidi w:val="0"/>
              <w:rPr>
                <w:rFonts w:hint="default" w:ascii="Times New Roman" w:hAnsi="Times New Roman" w:cs="Times New Roman"/>
                <w:color w:val="auto"/>
                <w:u w:val="none"/>
                <w:lang w:val="en-US" w:eastAsia="zh-CN"/>
              </w:rPr>
            </w:pPr>
            <w:r>
              <w:rPr>
                <w:rFonts w:hint="default" w:ascii="Times New Roman" w:hAnsi="Times New Roman" w:cs="Times New Roman"/>
              </w:rPr>
              <w:t>（3）供水：本项目</w:t>
            </w:r>
            <w:r>
              <w:rPr>
                <w:rFonts w:hint="default" w:ascii="Times New Roman" w:hAnsi="Times New Roman" w:cs="Times New Roman"/>
                <w:color w:val="auto"/>
                <w:u w:val="none"/>
                <w:lang w:val="en-US" w:eastAsia="zh-CN"/>
              </w:rPr>
              <w:t>水源为沅江水，通过深井泵IS200-150-315（1450）输送至取水塔。水质、水量以及水压能满足本项目的需求。生活用水由园区自来水管网提供。</w:t>
            </w:r>
          </w:p>
          <w:p>
            <w:pPr>
              <w:pStyle w:val="36"/>
              <w:bidi w:val="0"/>
              <w:rPr>
                <w:rFonts w:hint="default" w:ascii="Times New Roman" w:hAnsi="Times New Roman" w:eastAsia="宋体" w:cs="Times New Roman"/>
                <w:lang w:val="en-US" w:eastAsia="zh-CN"/>
              </w:rPr>
            </w:pPr>
            <w:r>
              <w:rPr>
                <w:rFonts w:hint="default" w:ascii="Times New Roman" w:hAnsi="Times New Roman" w:cs="Times New Roman"/>
              </w:rPr>
              <w:t>（4）排水：</w:t>
            </w:r>
            <w:r>
              <w:rPr>
                <w:rFonts w:hint="default" w:ascii="Times New Roman" w:hAnsi="Times New Roman" w:cs="Times New Roman"/>
                <w:color w:val="auto"/>
                <w:u w:val="none"/>
                <w:lang w:eastAsia="zh-CN"/>
              </w:rPr>
              <w:t>采用雨污分流、清污分流。</w:t>
            </w:r>
            <w:r>
              <w:rPr>
                <w:rFonts w:hint="default" w:ascii="Times New Roman" w:hAnsi="Times New Roman" w:cs="Times New Roman"/>
                <w:color w:val="auto"/>
                <w:u w:val="none"/>
                <w:lang w:val="en-US" w:eastAsia="zh-CN"/>
              </w:rPr>
              <w:t>一体化净水器</w:t>
            </w:r>
            <w:r>
              <w:rPr>
                <w:rFonts w:hint="default" w:ascii="Times New Roman" w:hAnsi="Times New Roman" w:cs="Times New Roman"/>
                <w:lang w:val="en-US" w:eastAsia="zh-CN"/>
              </w:rPr>
              <w:t>反洗水流入反洗水调节池，反洗水调节池</w:t>
            </w:r>
            <w:r>
              <w:rPr>
                <w:rFonts w:hint="default" w:ascii="Times New Roman" w:hAnsi="Times New Roman" w:cs="Times New Roman"/>
              </w:rPr>
              <w:t>上清液</w:t>
            </w:r>
            <w:r>
              <w:rPr>
                <w:rFonts w:hint="default" w:ascii="Times New Roman" w:hAnsi="Times New Roman" w:cs="Times New Roman"/>
                <w:lang w:val="en-US" w:eastAsia="zh-CN"/>
              </w:rPr>
              <w:t>流入净水</w:t>
            </w:r>
            <w:r>
              <w:rPr>
                <w:rFonts w:hint="default" w:ascii="Times New Roman" w:hAnsi="Times New Roman" w:cs="Times New Roman"/>
              </w:rPr>
              <w:t>池</w:t>
            </w:r>
            <w:r>
              <w:rPr>
                <w:rFonts w:hint="default" w:ascii="Times New Roman" w:hAnsi="Times New Roman" w:cs="Times New Roman"/>
                <w:lang w:val="en-US" w:eastAsia="zh-CN"/>
              </w:rPr>
              <w:t>回用</w:t>
            </w:r>
            <w:r>
              <w:rPr>
                <w:rFonts w:hint="default" w:ascii="Times New Roman" w:hAnsi="Times New Roman" w:cs="Times New Roman"/>
              </w:rPr>
              <w:t>，</w:t>
            </w:r>
            <w:r>
              <w:rPr>
                <w:rFonts w:hint="default" w:ascii="Times New Roman" w:hAnsi="Times New Roman" w:cs="Times New Roman"/>
                <w:lang w:val="en-US" w:eastAsia="zh-CN"/>
              </w:rPr>
              <w:t>下层</w:t>
            </w:r>
            <w:r>
              <w:rPr>
                <w:rFonts w:hint="default" w:ascii="Times New Roman" w:hAnsi="Times New Roman" w:cs="Times New Roman"/>
              </w:rPr>
              <w:t>污泥通过污泥提升泵进污泥浓缩罐。浓缩罐浓缩后上清液进净水池回用，污泥由污泥泵进叠螺污泥脱水机，叠螺污泥脱水机滤液进</w:t>
            </w:r>
            <w:r>
              <w:rPr>
                <w:rFonts w:hint="default" w:ascii="Times New Roman" w:hAnsi="Times New Roman" w:cs="Times New Roman"/>
                <w:lang w:val="en-US" w:eastAsia="zh-CN"/>
              </w:rPr>
              <w:t>净水池回用，</w:t>
            </w:r>
            <w:r>
              <w:rPr>
                <w:rFonts w:hint="default" w:ascii="Times New Roman" w:hAnsi="Times New Roman" w:cs="Times New Roman"/>
              </w:rPr>
              <w:t>干泥外运</w:t>
            </w:r>
            <w:r>
              <w:rPr>
                <w:rFonts w:hint="default" w:ascii="Times New Roman" w:hAnsi="Times New Roman" w:cs="Times New Roman"/>
                <w:lang w:eastAsia="zh-CN"/>
              </w:rPr>
              <w:t>。</w:t>
            </w:r>
            <w:r>
              <w:rPr>
                <w:rFonts w:hint="default" w:ascii="Times New Roman" w:hAnsi="Times New Roman" w:cs="Times New Roman"/>
                <w:lang w:val="en-US" w:eastAsia="zh-CN"/>
              </w:rPr>
              <w:t>制纯水产生的</w:t>
            </w:r>
            <w:r>
              <w:rPr>
                <w:rFonts w:hint="default" w:ascii="Times New Roman" w:hAnsi="Times New Roman" w:cs="Times New Roman"/>
                <w:color w:val="auto"/>
                <w:u w:val="none"/>
                <w:lang w:val="en-US" w:eastAsia="zh-CN"/>
              </w:rPr>
              <w:t>浓水、</w:t>
            </w:r>
            <w:r>
              <w:rPr>
                <w:rFonts w:hint="default" w:ascii="Times New Roman" w:hAnsi="Times New Roman" w:cs="Times New Roman"/>
              </w:rPr>
              <w:t>反洗</w:t>
            </w:r>
            <w:r>
              <w:rPr>
                <w:rFonts w:hint="default" w:ascii="Times New Roman" w:hAnsi="Times New Roman" w:cs="Times New Roman"/>
                <w:lang w:val="en-US" w:eastAsia="zh-CN"/>
              </w:rPr>
              <w:t>废</w:t>
            </w:r>
            <w:r>
              <w:rPr>
                <w:rFonts w:hint="default" w:ascii="Times New Roman" w:hAnsi="Times New Roman" w:cs="Times New Roman"/>
              </w:rPr>
              <w:t>水</w:t>
            </w:r>
            <w:r>
              <w:rPr>
                <w:rFonts w:hint="default" w:ascii="Times New Roman" w:hAnsi="Times New Roman" w:cs="Times New Roman"/>
                <w:lang w:val="en-US" w:eastAsia="zh-CN"/>
              </w:rPr>
              <w:t>排入</w:t>
            </w:r>
            <w:r>
              <w:rPr>
                <w:rFonts w:hint="default" w:ascii="Times New Roman" w:hAnsi="Times New Roman" w:cs="Times New Roman"/>
              </w:rPr>
              <w:t>洪江高新区污水处理厂处理</w:t>
            </w:r>
            <w:r>
              <w:rPr>
                <w:rFonts w:hint="default" w:ascii="Times New Roman" w:hAnsi="Times New Roman" w:cs="Times New Roman"/>
                <w:lang w:val="en-US" w:eastAsia="zh-CN"/>
              </w:rPr>
              <w:t>达标后排入沅江。</w:t>
            </w:r>
            <w:r>
              <w:rPr>
                <w:rFonts w:hint="default" w:ascii="Times New Roman" w:hAnsi="Times New Roman" w:cs="Times New Roman"/>
                <w:highlight w:val="none"/>
                <w:lang w:val="en-US" w:eastAsia="zh-CN"/>
              </w:rPr>
              <w:t>制软水树脂再生水流入废水收集池然后通过厂内现有废水排放口排入洪江高新区污水处理厂。制纯水反渗透再生水进入中和池酸碱中和后通过厂内现有废水排放口排入洪江高新区污水处理厂</w:t>
            </w:r>
          </w:p>
          <w:p>
            <w:pPr>
              <w:pStyle w:val="36"/>
              <w:bidi w:val="0"/>
              <w:rPr>
                <w:rFonts w:hint="default" w:ascii="Times New Roman" w:hAnsi="Times New Roman" w:eastAsia="宋体" w:cs="Times New Roman"/>
                <w:lang w:val="en-US" w:eastAsia="zh-CN"/>
              </w:rPr>
            </w:pPr>
            <w:r>
              <w:rPr>
                <w:rFonts w:hint="default" w:ascii="Times New Roman" w:hAnsi="Times New Roman" w:cs="Times New Roman"/>
              </w:rPr>
              <w:t>初期雨水收集后经厂区综合废水处理站处理后排入洪江高新区市政污水管网，进入洪江高新区污水处理厂处理。</w:t>
            </w:r>
            <w:r>
              <w:rPr>
                <w:rFonts w:hint="default" w:ascii="Times New Roman" w:hAnsi="Times New Roman" w:cs="Times New Roman"/>
                <w:lang w:val="en-US" w:eastAsia="zh-CN"/>
              </w:rPr>
              <w:t>项目不新增初期雨水。</w:t>
            </w:r>
          </w:p>
          <w:p>
            <w:pPr>
              <w:pStyle w:val="36"/>
              <w:bidi w:val="0"/>
              <w:rPr>
                <w:rFonts w:hint="default" w:ascii="Times New Roman" w:hAnsi="Times New Roman" w:cs="Times New Roman"/>
                <w:sz w:val="24"/>
                <w:szCs w:val="24"/>
                <w:highlight w:val="yellow"/>
                <w:lang w:val="en-US" w:eastAsia="zh-CN"/>
              </w:rPr>
            </w:pPr>
            <w:r>
              <w:rPr>
                <w:rFonts w:hint="default" w:ascii="Times New Roman" w:hAnsi="Times New Roman" w:eastAsia="宋体" w:cs="Times New Roman"/>
                <w:sz w:val="24"/>
                <w:szCs w:val="24"/>
              </w:rPr>
              <w:t>项目不新增生活污水</w:t>
            </w:r>
            <w:r>
              <w:rPr>
                <w:rFonts w:hint="default" w:ascii="Times New Roman" w:hAnsi="Times New Roman" w:cs="Times New Roman"/>
                <w:sz w:val="24"/>
                <w:szCs w:val="24"/>
                <w:highlight w:val="none"/>
              </w:rPr>
              <w:t>。</w:t>
            </w:r>
          </w:p>
          <w:p>
            <w:pPr>
              <w:pStyle w:val="36"/>
              <w:bidi w:val="0"/>
              <w:rPr>
                <w:rFonts w:hint="default" w:ascii="Times New Roman" w:hAnsi="Times New Roman" w:cs="Times New Roman"/>
                <w:b/>
                <w:bCs/>
                <w:lang w:eastAsia="zh-CN"/>
              </w:rPr>
            </w:pPr>
            <w:r>
              <w:rPr>
                <w:rFonts w:hint="default" w:ascii="Times New Roman" w:hAnsi="Times New Roman" w:cs="Times New Roman"/>
                <w:b/>
                <w:bCs/>
                <w:lang w:val="en-US" w:eastAsia="zh-CN"/>
              </w:rPr>
              <w:t>8、</w:t>
            </w:r>
            <w:r>
              <w:rPr>
                <w:rFonts w:hint="default" w:ascii="Times New Roman" w:hAnsi="Times New Roman" w:cs="Times New Roman"/>
                <w:b/>
                <w:bCs/>
                <w:lang w:eastAsia="zh-CN"/>
              </w:rPr>
              <w:t>厂区平面布置简述</w:t>
            </w:r>
          </w:p>
          <w:p>
            <w:pPr>
              <w:pStyle w:val="36"/>
              <w:bidi w:val="0"/>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本</w:t>
            </w:r>
            <w:r>
              <w:rPr>
                <w:rFonts w:hint="default" w:ascii="Times New Roman" w:hAnsi="Times New Roman" w:cs="Times New Roman"/>
                <w:color w:val="auto"/>
                <w:u w:val="none"/>
              </w:rPr>
              <w:t>项目</w:t>
            </w:r>
            <w:r>
              <w:rPr>
                <w:rFonts w:hint="default" w:ascii="Times New Roman" w:hAnsi="Times New Roman" w:cs="Times New Roman"/>
                <w:color w:val="auto"/>
                <w:u w:val="none"/>
                <w:lang w:val="en-US" w:eastAsia="zh-CN"/>
              </w:rPr>
              <w:t>位于洪江区恒光科技股份有限公司厂内西侧原供水系统东南侧，占地面积为</w:t>
            </w:r>
            <w:r>
              <w:rPr>
                <w:rFonts w:hint="default" w:ascii="Times New Roman" w:hAnsi="Times New Roman" w:cs="Times New Roman"/>
                <w:b w:val="0"/>
                <w:bCs w:val="0"/>
                <w:lang w:val="en-US" w:eastAsia="zh-CN"/>
              </w:rPr>
              <w:t>5800</w:t>
            </w:r>
            <w:r>
              <w:rPr>
                <w:rFonts w:hint="default" w:ascii="Times New Roman" w:hAnsi="Times New Roman" w:cs="Times New Roman"/>
                <w:b w:val="0"/>
                <w:bCs w:val="0"/>
              </w:rPr>
              <w:t>m</w:t>
            </w:r>
            <w:r>
              <w:rPr>
                <w:rFonts w:hint="default" w:ascii="Times New Roman" w:hAnsi="Times New Roman" w:cs="Times New Roman"/>
                <w:b w:val="0"/>
                <w:bCs w:val="0"/>
                <w:vertAlign w:val="superscript"/>
              </w:rPr>
              <w:t>2</w:t>
            </w:r>
            <w:r>
              <w:rPr>
                <w:rFonts w:hint="default" w:ascii="Times New Roman" w:hAnsi="Times New Roman" w:cs="Times New Roman"/>
              </w:rPr>
              <w:t>，总建筑面积</w:t>
            </w:r>
            <w:r>
              <w:rPr>
                <w:rFonts w:hint="default" w:ascii="Times New Roman" w:hAnsi="Times New Roman" w:cs="Times New Roman"/>
                <w:lang w:val="en-US" w:eastAsia="zh-CN"/>
              </w:rPr>
              <w:t>为</w:t>
            </w:r>
            <w:r>
              <w:rPr>
                <w:rFonts w:hint="default" w:ascii="Times New Roman" w:hAnsi="Times New Roman" w:cs="Times New Roman"/>
                <w:b w:val="0"/>
                <w:bCs w:val="0"/>
                <w:lang w:val="en-US" w:eastAsia="zh-CN"/>
              </w:rPr>
              <w:t>2447</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vertAlign w:val="baseline"/>
                <w:lang w:eastAsia="zh-CN"/>
              </w:rPr>
              <w:t>。</w:t>
            </w:r>
            <w:r>
              <w:rPr>
                <w:rFonts w:hint="default" w:ascii="Times New Roman" w:hAnsi="Times New Roman" w:cs="Times New Roman"/>
                <w:vertAlign w:val="baseline"/>
                <w:lang w:val="en-US" w:eastAsia="zh-CN"/>
              </w:rPr>
              <w:t>企业内现有供水制水系统主要建构筑物有</w:t>
            </w:r>
            <w:r>
              <w:rPr>
                <w:rFonts w:hint="default" w:ascii="Times New Roman" w:hAnsi="Times New Roman" w:cs="Times New Roman"/>
                <w:color w:val="auto"/>
                <w:u w:val="none"/>
                <w:lang w:val="en-US" w:eastAsia="zh-CN"/>
              </w:rPr>
              <w:t>制软水区、制纯水区、一体化净水区、清水池、反洗水调节池、污水收集池、中和池和净水池。本次新增反渗透混床脱盐水装置区、一次水砂滤器区和污泥处理区，其中新增一次水砂滤器区建筑面积105m</w:t>
            </w:r>
            <w:r>
              <w:rPr>
                <w:rFonts w:hint="default" w:ascii="Times New Roman" w:hAnsi="Times New Roman" w:cs="Times New Roman"/>
                <w:color w:val="auto"/>
                <w:u w:val="none"/>
                <w:vertAlign w:val="superscript"/>
                <w:lang w:val="en-US" w:eastAsia="zh-CN"/>
              </w:rPr>
              <w:t>2</w:t>
            </w:r>
            <w:r>
              <w:rPr>
                <w:rFonts w:hint="default" w:ascii="Times New Roman" w:hAnsi="Times New Roman" w:cs="Times New Roman"/>
                <w:color w:val="auto"/>
                <w:u w:val="none"/>
                <w:vertAlign w:val="baseline"/>
                <w:lang w:val="en-US" w:eastAsia="zh-CN"/>
              </w:rPr>
              <w:t>，</w:t>
            </w:r>
            <w:r>
              <w:rPr>
                <w:rFonts w:hint="default" w:ascii="Times New Roman" w:hAnsi="Times New Roman" w:cs="Times New Roman"/>
                <w:color w:val="auto"/>
                <w:u w:val="none"/>
                <w:lang w:val="en-US" w:eastAsia="zh-CN"/>
              </w:rPr>
              <w:t>位于清水池西侧，用于制备初步净化水；反渗透混床脱盐水装置区建筑面积545m</w:t>
            </w:r>
            <w:r>
              <w:rPr>
                <w:rFonts w:hint="default" w:ascii="Times New Roman" w:hAnsi="Times New Roman" w:cs="Times New Roman"/>
                <w:color w:val="auto"/>
                <w:u w:val="none"/>
                <w:vertAlign w:val="superscript"/>
                <w:lang w:val="en-US" w:eastAsia="zh-CN"/>
              </w:rPr>
              <w:t>2</w:t>
            </w:r>
            <w:r>
              <w:rPr>
                <w:rFonts w:hint="default" w:ascii="Times New Roman" w:hAnsi="Times New Roman" w:cs="Times New Roman"/>
                <w:color w:val="auto"/>
                <w:u w:val="none"/>
                <w:vertAlign w:val="baseline"/>
                <w:lang w:val="en-US" w:eastAsia="zh-CN"/>
              </w:rPr>
              <w:t>，</w:t>
            </w:r>
            <w:r>
              <w:rPr>
                <w:rFonts w:hint="default" w:ascii="Times New Roman" w:hAnsi="Times New Roman" w:cs="Times New Roman"/>
                <w:color w:val="auto"/>
                <w:u w:val="none"/>
                <w:lang w:val="en-US" w:eastAsia="zh-CN"/>
              </w:rPr>
              <w:t>位于原软水纯水制备区东侧，用于制备纯水；新增的污泥处理区位于反洗水调节池南侧，占地面积55m</w:t>
            </w:r>
            <w:r>
              <w:rPr>
                <w:rFonts w:hint="default" w:ascii="Times New Roman" w:hAnsi="Times New Roman" w:cs="Times New Roman"/>
                <w:color w:val="auto"/>
                <w:u w:val="none"/>
                <w:vertAlign w:val="superscript"/>
                <w:lang w:val="en-US" w:eastAsia="zh-CN"/>
              </w:rPr>
              <w:t>2</w:t>
            </w:r>
            <w:r>
              <w:rPr>
                <w:rFonts w:hint="default" w:ascii="Times New Roman" w:hAnsi="Times New Roman" w:cs="Times New Roman"/>
                <w:color w:val="auto"/>
                <w:u w:val="none"/>
                <w:vertAlign w:val="baseline"/>
                <w:lang w:val="en-US" w:eastAsia="zh-CN"/>
              </w:rPr>
              <w:t>。本项目还将</w:t>
            </w:r>
            <w:r>
              <w:rPr>
                <w:rFonts w:hint="default" w:ascii="Times New Roman" w:hAnsi="Times New Roman" w:cs="Times New Roman"/>
                <w:color w:val="auto"/>
                <w:u w:val="none"/>
                <w:lang w:val="en-US" w:eastAsia="zh-CN"/>
              </w:rPr>
              <w:t>拆除现有60m</w:t>
            </w:r>
            <w:r>
              <w:rPr>
                <w:rFonts w:hint="default" w:ascii="Times New Roman" w:hAnsi="Times New Roman" w:cs="Times New Roman"/>
                <w:color w:val="auto"/>
                <w:u w:val="none"/>
                <w:vertAlign w:val="superscript"/>
                <w:lang w:val="en-US" w:eastAsia="zh-CN"/>
              </w:rPr>
              <w:t>3</w:t>
            </w:r>
            <w:r>
              <w:rPr>
                <w:rFonts w:hint="default" w:ascii="Times New Roman" w:hAnsi="Times New Roman" w:cs="Times New Roman"/>
                <w:color w:val="auto"/>
                <w:u w:val="none"/>
                <w:lang w:val="en-US" w:eastAsia="zh-CN"/>
              </w:rPr>
              <w:t>/h阴阳混床制纯水系统，新建62.5m</w:t>
            </w:r>
            <w:r>
              <w:rPr>
                <w:rFonts w:hint="default" w:ascii="Times New Roman" w:hAnsi="Times New Roman" w:cs="Times New Roman"/>
                <w:color w:val="auto"/>
                <w:u w:val="none"/>
                <w:vertAlign w:val="superscript"/>
                <w:lang w:val="en-US" w:eastAsia="zh-CN"/>
              </w:rPr>
              <w:t>3</w:t>
            </w:r>
            <w:r>
              <w:rPr>
                <w:rFonts w:hint="default" w:ascii="Times New Roman" w:hAnsi="Times New Roman" w:cs="Times New Roman"/>
                <w:color w:val="auto"/>
                <w:u w:val="none"/>
                <w:lang w:val="en-US" w:eastAsia="zh-CN"/>
              </w:rPr>
              <w:t>/h反渗透混床脱盐水制纯水系统，建筑面积360m</w:t>
            </w:r>
            <w:r>
              <w:rPr>
                <w:rFonts w:hint="default" w:ascii="Times New Roman" w:hAnsi="Times New Roman" w:cs="Times New Roman"/>
                <w:color w:val="auto"/>
                <w:u w:val="none"/>
                <w:vertAlign w:val="superscript"/>
                <w:lang w:val="en-US" w:eastAsia="zh-CN"/>
              </w:rPr>
              <w:t>2</w:t>
            </w:r>
            <w:r>
              <w:rPr>
                <w:rFonts w:hint="default" w:ascii="Times New Roman" w:hAnsi="Times New Roman" w:cs="Times New Roman"/>
                <w:color w:val="auto"/>
                <w:u w:val="none"/>
                <w:vertAlign w:val="baseline"/>
                <w:lang w:val="en-US" w:eastAsia="zh-CN"/>
              </w:rPr>
              <w:t>。</w:t>
            </w:r>
            <w:r>
              <w:rPr>
                <w:rFonts w:hint="default" w:ascii="Times New Roman" w:hAnsi="Times New Roman" w:cs="Times New Roman"/>
                <w:color w:val="auto"/>
                <w:u w:val="none"/>
              </w:rPr>
              <w:t>厂区总平面布置符合生产行业要求，满足生产工艺要求，满足安全生产要求，符合消防规范。供电、供水线路简捷。总平面布置紧凑合理，节省用地，有利生产，方便管理。综上所述，本厂区布局合理、物流顺畅，卫生条件和交通、安全、消防均满足企业需要及行业要求。</w:t>
            </w:r>
          </w:p>
          <w:p>
            <w:pPr>
              <w:pStyle w:val="36"/>
              <w:bidi w:val="0"/>
              <w:rPr>
                <w:rFonts w:hint="default" w:ascii="Times New Roman" w:hAnsi="Times New Roman" w:cs="Times New Roman"/>
                <w:lang w:eastAsia="zh-CN"/>
              </w:rPr>
            </w:pPr>
            <w:r>
              <w:rPr>
                <w:rFonts w:hint="default" w:ascii="Times New Roman" w:hAnsi="Times New Roman" w:cs="Times New Roman"/>
                <w:lang w:val="en-US" w:eastAsia="zh-CN"/>
              </w:rPr>
              <w:t>供水系统平面</w:t>
            </w:r>
            <w:r>
              <w:rPr>
                <w:rFonts w:hint="default" w:ascii="Times New Roman" w:hAnsi="Times New Roman" w:cs="Times New Roman"/>
                <w:lang w:eastAsia="zh-CN"/>
              </w:rPr>
              <w:t>布置图如下：</w:t>
            </w:r>
          </w:p>
          <w:p>
            <w:pPr>
              <w:pStyle w:val="61"/>
              <w:bidi w:val="0"/>
              <w:rPr>
                <w:rStyle w:val="65"/>
                <w:rFonts w:hint="default" w:ascii="Times New Roman" w:hAnsi="Times New Roman" w:cs="Times New Roman"/>
                <w:b/>
                <w:lang w:val="en-US" w:eastAsia="zh-CN"/>
              </w:rPr>
            </w:pPr>
            <w:r>
              <w:rPr>
                <w:rStyle w:val="65"/>
                <w:rFonts w:hint="default" w:ascii="Times New Roman" w:hAnsi="Times New Roman" w:cs="Times New Roman"/>
                <w:b/>
                <w:lang w:val="en-US" w:eastAsia="zh-CN"/>
              </w:rPr>
              <w:drawing>
                <wp:inline distT="0" distB="0" distL="114300" distR="114300">
                  <wp:extent cx="5135880" cy="3946525"/>
                  <wp:effectExtent l="0" t="0" r="7620" b="15875"/>
                  <wp:docPr id="2" name="图片 2" descr="C:\Users\Administrator\Pictures\恒光科技\平面布局.jpg平面布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Pictures\恒光科技\平面布局.jpg平面布局"/>
                          <pic:cNvPicPr>
                            <a:picLocks noChangeAspect="1"/>
                          </pic:cNvPicPr>
                        </pic:nvPicPr>
                        <pic:blipFill>
                          <a:blip r:embed="rId8"/>
                          <a:srcRect/>
                          <a:stretch>
                            <a:fillRect/>
                          </a:stretch>
                        </pic:blipFill>
                        <pic:spPr>
                          <a:xfrm>
                            <a:off x="0" y="0"/>
                            <a:ext cx="5135880" cy="3946525"/>
                          </a:xfrm>
                          <a:prstGeom prst="rect">
                            <a:avLst/>
                          </a:prstGeom>
                        </pic:spPr>
                      </pic:pic>
                    </a:graphicData>
                  </a:graphic>
                </wp:inline>
              </w:drawing>
            </w:r>
          </w:p>
          <w:p>
            <w:pPr>
              <w:pStyle w:val="61"/>
              <w:bidi w:val="0"/>
              <w:rPr>
                <w:rFonts w:hint="default" w:ascii="Times New Roman" w:hAnsi="Times New Roman" w:eastAsia="宋体" w:cs="Times New Roman"/>
                <w:lang w:val="en-US" w:eastAsia="zh-CN"/>
              </w:rPr>
            </w:pPr>
            <w:r>
              <w:rPr>
                <w:rStyle w:val="65"/>
                <w:rFonts w:hint="default" w:ascii="Times New Roman" w:hAnsi="Times New Roman" w:cs="Times New Roman"/>
                <w:b/>
                <w:lang w:val="en-US" w:eastAsia="zh-CN"/>
              </w:rPr>
              <w:t>图2-1 供水系统平面布置图</w:t>
            </w:r>
          </w:p>
          <w:p>
            <w:pPr>
              <w:pStyle w:val="36"/>
              <w:numPr>
                <w:ilvl w:val="0"/>
                <w:numId w:val="3"/>
              </w:numPr>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水平衡</w:t>
            </w:r>
          </w:p>
          <w:p>
            <w:pPr>
              <w:pStyle w:val="36"/>
              <w:numPr>
                <w:ilvl w:val="0"/>
                <w:numId w:val="4"/>
              </w:numPr>
              <w:bidi w:val="0"/>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取水</w:t>
            </w:r>
          </w:p>
          <w:p>
            <w:pPr>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本项目通过取水塔取水，取水塔位于沅江旁，通过深井泵IS200-150-315（1450）运送至取水塔，然后通过管道运输至厂内，取水量为2555985.5m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/a。</w:t>
            </w:r>
          </w:p>
          <w:p>
            <w:pPr>
              <w:pStyle w:val="36"/>
              <w:bidi w:val="0"/>
              <w:rPr>
                <w:rFonts w:hint="default" w:ascii="Times New Roman" w:hAnsi="Times New Roman" w:eastAsia="宋体" w:cs="Times New Roman"/>
                <w:u w:val="none"/>
                <w:lang w:val="en-US" w:eastAsia="zh-CN"/>
              </w:rPr>
            </w:pPr>
            <w:r>
              <w:rPr>
                <w:rFonts w:hint="default" w:ascii="Times New Roman" w:hAnsi="Times New Roman" w:cs="Times New Roman"/>
                <w:u w:val="none"/>
              </w:rPr>
              <w:t>（</w:t>
            </w:r>
            <w:r>
              <w:rPr>
                <w:rFonts w:hint="default" w:ascii="Times New Roman" w:hAnsi="Times New Roman" w:cs="Times New Roman"/>
                <w:u w:val="none"/>
                <w:lang w:val="en-US" w:eastAsia="zh-CN"/>
              </w:rPr>
              <w:t>2</w:t>
            </w:r>
            <w:r>
              <w:rPr>
                <w:rFonts w:hint="default" w:ascii="Times New Roman" w:hAnsi="Times New Roman" w:cs="Times New Roman"/>
                <w:u w:val="none"/>
              </w:rPr>
              <w:t>）</w:t>
            </w:r>
            <w:r>
              <w:rPr>
                <w:rFonts w:hint="default" w:ascii="Times New Roman" w:hAnsi="Times New Roman" w:cs="Times New Roman"/>
                <w:u w:val="none"/>
                <w:lang w:val="en-US" w:eastAsia="zh-CN"/>
              </w:rPr>
              <w:t>一体净水器用水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取水后通过管道进入一体化净水器处理，一体净水器的处理水量为7200m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/d（262.8万m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/a）。一体化净水器产生的污泥堵住了滤料将自动反洗，或者时间到了自动反洗，自动反洗过程会产生反洗废水。根据业主提供资料，每天产生的反洗废水</w:t>
            </w:r>
            <w:r>
              <w:rPr>
                <w:rFonts w:hint="default" w:ascii="Times New Roman" w:hAnsi="Times New Roman" w:cs="Times New Roman"/>
                <w:vertAlign w:val="baseline"/>
                <w:lang w:val="en-US" w:eastAsia="zh-CN"/>
              </w:rPr>
              <w:t>（含污泥）</w:t>
            </w:r>
            <w:r>
              <w:rPr>
                <w:rFonts w:hint="default" w:ascii="Times New Roman" w:hAnsi="Times New Roman" w:cs="Times New Roman"/>
                <w:lang w:val="en-US" w:eastAsia="zh-CN"/>
              </w:rPr>
              <w:t>为200m</w:t>
            </w:r>
            <w:r>
              <w:rPr>
                <w:rFonts w:hint="default" w:ascii="Times New Roman" w:hAnsi="Times New Roman" w:cs="Times New Roman"/>
                <w:vertAlign w:val="superscript"/>
                <w:lang w:val="en-US" w:eastAsia="zh-CN"/>
              </w:rPr>
              <w:t>3</w:t>
            </w:r>
            <w:r>
              <w:rPr>
                <w:rFonts w:hint="default" w:ascii="Times New Roman" w:hAnsi="Times New Roman" w:cs="Times New Roman"/>
                <w:vertAlign w:val="baseline"/>
                <w:lang w:val="en-US" w:eastAsia="zh-CN"/>
              </w:rPr>
              <w:t>（7.3万</w:t>
            </w: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/a</w:t>
            </w:r>
            <w:r>
              <w:rPr>
                <w:rFonts w:hint="default" w:ascii="Times New Roman" w:hAnsi="Times New Roman" w:cs="Times New Roman"/>
                <w:vertAlign w:val="baseline"/>
                <w:lang w:val="en-US" w:eastAsia="zh-CN"/>
              </w:rPr>
              <w:t>），</w:t>
            </w:r>
            <w:r>
              <w:rPr>
                <w:rFonts w:hint="default" w:ascii="Times New Roman" w:hAnsi="Times New Roman" w:cs="Times New Roman"/>
                <w:lang w:val="en-US" w:eastAsia="zh-CN"/>
              </w:rPr>
              <w:t>反洗废水</w:t>
            </w:r>
            <w:r>
              <w:rPr>
                <w:rFonts w:hint="default" w:ascii="Times New Roman" w:hAnsi="Times New Roman" w:cs="Times New Roman"/>
                <w:vertAlign w:val="baseline"/>
                <w:lang w:val="en-US" w:eastAsia="zh-CN"/>
              </w:rPr>
              <w:t>进入反洗水调节池沉淀处理，上层清液（146</w:t>
            </w: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/d</w:t>
            </w:r>
            <w:r>
              <w:rPr>
                <w:rFonts w:hint="default" w:ascii="Times New Roman" w:hAnsi="Times New Roman" w:cs="Times New Roman"/>
                <w:vertAlign w:val="baseline"/>
                <w:lang w:val="en-US" w:eastAsia="zh-CN"/>
              </w:rPr>
              <w:t>）进入净水池回用，下层污泥（54</w:t>
            </w: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/d</w:t>
            </w:r>
            <w:r>
              <w:rPr>
                <w:rFonts w:hint="default" w:ascii="Times New Roman" w:hAnsi="Times New Roman" w:cs="Times New Roman"/>
                <w:vertAlign w:val="baseline"/>
                <w:lang w:val="en-US" w:eastAsia="zh-CN"/>
              </w:rPr>
              <w:t>）进污泥浓缩罐浓缩，浓缩罐上层清液进净水池回用。</w:t>
            </w:r>
            <w:r>
              <w:rPr>
                <w:rFonts w:hint="default" w:ascii="Times New Roman" w:hAnsi="Times New Roman" w:cs="Times New Roman"/>
                <w:lang w:val="en-US" w:eastAsia="zh-CN"/>
              </w:rPr>
              <w:t>污泥由污泥泵进叠螺污泥脱水机，叠螺污泥脱水机滤液进净水池回用，脱水污泥的产生量为2.7t/d（985.5t/a）,脱水污泥外运洪江区金鸿固废处理有限公司综合利用。一体化净水器处理后的水流入清水池暂存，然后由清水池向纯水处理设备、用水点以及软水处理设备供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纯水处理设备的处理水量为4500m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/d（164.25万m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/a），纯水处理会产生浓水，浓水产生量为900m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/d（32.85万m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/a），产生的浓水部分用于纯水设备反冲洗，每星期进行一次反冲洗，每次用水量为200m</w:t>
            </w:r>
            <w:r>
              <w:rPr>
                <w:rFonts w:hint="default" w:ascii="Times New Roman" w:hAnsi="Times New Roman" w:cs="Times New Roman"/>
                <w:vertAlign w:val="superscript"/>
                <w:lang w:val="en-US" w:eastAsia="zh-CN"/>
              </w:rPr>
              <w:t>3</w:t>
            </w:r>
            <w:r>
              <w:rPr>
                <w:rFonts w:hint="default" w:ascii="Times New Roman" w:hAnsi="Times New Roman" w:cs="Times New Roman"/>
                <w:vertAlign w:val="baseline"/>
                <w:lang w:val="en-US" w:eastAsia="zh-CN"/>
              </w:rPr>
              <w:t>，所以纯水设备反冲洗</w:t>
            </w:r>
            <w:r>
              <w:rPr>
                <w:rFonts w:hint="default" w:ascii="Times New Roman" w:hAnsi="Times New Roman" w:cs="Times New Roman"/>
                <w:lang w:val="en-US" w:eastAsia="zh-CN"/>
              </w:rPr>
              <w:t>用水量为1.04万m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/a，另外每天使用480m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（17.52万m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/a）</w:t>
            </w:r>
            <w:r>
              <w:rPr>
                <w:rFonts w:hint="default" w:ascii="Times New Roman" w:hAnsi="Times New Roman" w:cs="Times New Roman"/>
                <w:vertAlign w:val="baseline"/>
                <w:lang w:val="en-US" w:eastAsia="zh-CN"/>
              </w:rPr>
              <w:t>浓水用于厂内硫酸车间工艺补充用水</w:t>
            </w:r>
            <w:r>
              <w:rPr>
                <w:rFonts w:hint="default" w:ascii="Times New Roman" w:hAnsi="Times New Roman" w:cs="Times New Roman"/>
                <w:lang w:eastAsia="zh-CN"/>
              </w:rPr>
              <w:t>（</w:t>
            </w:r>
            <w:r>
              <w:rPr>
                <w:rFonts w:hint="default" w:ascii="Times New Roman" w:hAnsi="Times New Roman" w:cs="Times New Roman"/>
                <w:lang w:val="en-US" w:eastAsia="zh-CN"/>
              </w:rPr>
              <w:t>150m</w:t>
            </w:r>
            <w:r>
              <w:rPr>
                <w:rFonts w:hint="default" w:ascii="Times New Roman" w:hAnsi="Times New Roman" w:cs="Times New Roman"/>
                <w:vertAlign w:val="superscript"/>
                <w:lang w:val="en-US" w:eastAsia="zh-CN"/>
              </w:rPr>
              <w:t>3</w:t>
            </w:r>
            <w:r>
              <w:rPr>
                <w:rFonts w:hint="default" w:ascii="Times New Roman" w:hAnsi="Times New Roman" w:cs="Times New Roman"/>
                <w:vertAlign w:val="baseline"/>
                <w:lang w:val="en-US" w:eastAsia="zh-CN"/>
              </w:rPr>
              <w:t>/d</w:t>
            </w:r>
            <w:r>
              <w:rPr>
                <w:rFonts w:hint="default" w:ascii="Times New Roman" w:hAnsi="Times New Roman" w:cs="Times New Roman"/>
                <w:lang w:eastAsia="zh-CN"/>
              </w:rPr>
              <w:t>）</w:t>
            </w:r>
            <w:r>
              <w:rPr>
                <w:rFonts w:hint="default" w:ascii="Times New Roman" w:hAnsi="Times New Roman" w:cs="Times New Roman"/>
                <w:vertAlign w:val="baseline"/>
                <w:lang w:val="en-US" w:eastAsia="zh-CN"/>
              </w:rPr>
              <w:t>、干排冷却滚筒冷却用水</w:t>
            </w:r>
            <w:r>
              <w:rPr>
                <w:rFonts w:hint="default" w:ascii="Times New Roman" w:hAnsi="Times New Roman" w:cs="Times New Roman"/>
                <w:lang w:eastAsia="zh-CN"/>
              </w:rPr>
              <w:t>（</w:t>
            </w:r>
            <w:r>
              <w:rPr>
                <w:rFonts w:hint="default" w:ascii="Times New Roman" w:hAnsi="Times New Roman" w:cs="Times New Roman"/>
                <w:lang w:val="en-US" w:eastAsia="zh-CN"/>
              </w:rPr>
              <w:t>300m</w:t>
            </w:r>
            <w:r>
              <w:rPr>
                <w:rFonts w:hint="default" w:ascii="Times New Roman" w:hAnsi="Times New Roman" w:cs="Times New Roman"/>
                <w:vertAlign w:val="superscript"/>
                <w:lang w:val="en-US" w:eastAsia="zh-CN"/>
              </w:rPr>
              <w:t>3</w:t>
            </w:r>
            <w:r>
              <w:rPr>
                <w:rFonts w:hint="default" w:ascii="Times New Roman" w:hAnsi="Times New Roman" w:cs="Times New Roman"/>
                <w:vertAlign w:val="baseline"/>
                <w:lang w:val="en-US" w:eastAsia="zh-CN"/>
              </w:rPr>
              <w:t>/d</w:t>
            </w:r>
            <w:r>
              <w:rPr>
                <w:rFonts w:hint="default" w:ascii="Times New Roman" w:hAnsi="Times New Roman" w:cs="Times New Roman"/>
                <w:lang w:eastAsia="zh-CN"/>
              </w:rPr>
              <w:t>）</w:t>
            </w:r>
            <w:r>
              <w:rPr>
                <w:rFonts w:hint="default" w:ascii="Times New Roman" w:hAnsi="Times New Roman" w:cs="Times New Roman"/>
                <w:vertAlign w:val="baseline"/>
                <w:lang w:val="en-US" w:eastAsia="zh-CN"/>
              </w:rPr>
              <w:t>以及企业园区绿化施水</w:t>
            </w:r>
            <w:r>
              <w:rPr>
                <w:rFonts w:hint="default" w:ascii="Times New Roman" w:hAnsi="Times New Roman" w:cs="Times New Roman"/>
                <w:lang w:eastAsia="zh-CN"/>
              </w:rPr>
              <w:t>（</w:t>
            </w:r>
            <w:r>
              <w:rPr>
                <w:rFonts w:hint="default" w:ascii="Times New Roman" w:hAnsi="Times New Roman" w:cs="Times New Roman"/>
                <w:lang w:val="en-US" w:eastAsia="zh-CN"/>
              </w:rPr>
              <w:t>30m</w:t>
            </w:r>
            <w:r>
              <w:rPr>
                <w:rFonts w:hint="default" w:ascii="Times New Roman" w:hAnsi="Times New Roman" w:cs="Times New Roman"/>
                <w:vertAlign w:val="superscript"/>
                <w:lang w:val="en-US" w:eastAsia="zh-CN"/>
              </w:rPr>
              <w:t>3</w:t>
            </w:r>
            <w:r>
              <w:rPr>
                <w:rFonts w:hint="default" w:ascii="Times New Roman" w:hAnsi="Times New Roman" w:cs="Times New Roman"/>
                <w:vertAlign w:val="baseline"/>
                <w:lang w:val="en-US" w:eastAsia="zh-CN"/>
              </w:rPr>
              <w:t>/d</w:t>
            </w:r>
            <w:r>
              <w:rPr>
                <w:rFonts w:hint="default" w:ascii="Times New Roman" w:hAnsi="Times New Roman" w:cs="Times New Roman"/>
                <w:lang w:eastAsia="zh-CN"/>
              </w:rPr>
              <w:t>）</w:t>
            </w:r>
            <w:r>
              <w:rPr>
                <w:rFonts w:hint="default" w:ascii="Times New Roman" w:hAnsi="Times New Roman" w:cs="Times New Roman"/>
                <w:vertAlign w:val="baseline"/>
                <w:lang w:val="en-US" w:eastAsia="zh-CN"/>
              </w:rPr>
              <w:t>。剩余</w:t>
            </w:r>
            <w:r>
              <w:rPr>
                <w:rFonts w:hint="default" w:ascii="Times New Roman" w:hAnsi="Times New Roman" w:cs="Times New Roman"/>
                <w:lang w:val="en-US" w:eastAsia="zh-CN"/>
              </w:rPr>
              <w:t>浓水和反冲洗水都排入洪江高新区污水处理厂处理。纯水设备还会产生反渗透再生水，产生量为13m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/d（4745m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/a），反渗透再生水排入中和池进行酸碱中和，中和后排入洪江高新区污水处理厂处理。纯水设备每半年进行一次化学清洗，每次清洗用水量为10m</w:t>
            </w:r>
            <w:r>
              <w:rPr>
                <w:rFonts w:hint="default" w:ascii="Times New Roman" w:hAnsi="Times New Roman" w:cs="Times New Roman"/>
                <w:vertAlign w:val="superscript"/>
                <w:lang w:val="en-US" w:eastAsia="zh-CN"/>
              </w:rPr>
              <w:t>3</w:t>
            </w:r>
            <w:r>
              <w:rPr>
                <w:rFonts w:hint="default" w:ascii="Times New Roman" w:hAnsi="Times New Roman" w:cs="Times New Roman"/>
                <w:vertAlign w:val="baseline"/>
                <w:lang w:val="en-US" w:eastAsia="zh-CN"/>
              </w:rPr>
              <w:t>，化学清洗废水产生量为20</w:t>
            </w: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/a，化学清洗产生的废酸碱水排入中和池进行酸碱中和，中和后排入洪江高新区污水处理厂处理。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t>软水处理设备的处理水量为1440m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/d（52.56万m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/a），软水处理会产生树脂再生废水，根据业主提供资料，树脂再生废水产生量为6m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/d（2190m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/a），树脂再生废水流入污水收集池后排入洪江高新区污水处理厂处理。</w:t>
            </w:r>
          </w:p>
          <w:p>
            <w:pPr>
              <w:pStyle w:val="36"/>
              <w:bidi w:val="0"/>
              <w:rPr>
                <w:rFonts w:hint="default" w:ascii="Times New Roman" w:hAnsi="Times New Roman" w:eastAsia="宋体" w:cs="Times New Roman"/>
                <w:vertAlign w:val="baseline"/>
                <w:lang w:val="en-US" w:eastAsia="zh-CN"/>
              </w:rPr>
            </w:pPr>
            <w:r>
              <w:rPr>
                <w:rFonts w:hint="default" w:ascii="Times New Roman" w:hAnsi="Times New Roman" w:cs="Times New Roman"/>
                <w:lang w:val="en-US" w:eastAsia="zh-CN"/>
              </w:rPr>
              <w:t>本项目水平衡详见下图：</w:t>
            </w:r>
          </w:p>
          <w:p>
            <w:pPr>
              <w:pStyle w:val="36"/>
              <w:ind w:left="0" w:leftChars="0" w:firstLine="0" w:firstLineChars="0"/>
              <w:jc w:val="center"/>
              <w:rPr>
                <w:rFonts w:hint="default" w:ascii="Times New Roman" w:hAnsi="Times New Roman" w:eastAsia="宋体" w:cs="Times New Roman"/>
                <w:color w:val="auto"/>
                <w:u w:val="none"/>
                <w:lang w:eastAsia="zh-CN"/>
              </w:rPr>
            </w:pPr>
            <w:r>
              <w:rPr>
                <w:rFonts w:hint="default" w:ascii="Times New Roman" w:hAnsi="Times New Roman" w:eastAsia="宋体" w:cs="Times New Roman"/>
                <w:color w:val="auto"/>
                <w:u w:val="none"/>
                <w:lang w:eastAsia="zh-CN"/>
              </w:rPr>
              <w:object>
                <v:shape id="_x0000_i1025" o:spt="75" type="#_x0000_t75" style="height:354.1pt;width:402.15pt;" o:ole="t" filled="f" o:preferrelative="t" stroked="f" coordsize="21600,21600">
                  <v:path/>
                  <v:fill on="f" focussize="0,0"/>
                  <v:stroke on="f"/>
                  <v:imagedata r:id="rId10" o:title=""/>
                  <o:lock v:ext="edit" aspectratio="t"/>
                  <w10:wrap type="none"/>
                  <w10:anchorlock/>
                </v:shape>
                <o:OLEObject Type="Embed" ProgID="Visio.Drawing.15" ShapeID="_x0000_i1025" DrawAspect="Content" ObjectID="_1468075725" r:id="rId9">
                  <o:LockedField>false</o:LockedField>
                </o:OLEObject>
              </w:object>
            </w:r>
          </w:p>
          <w:p>
            <w:pPr>
              <w:pStyle w:val="57"/>
              <w:bidi w:val="0"/>
              <w:jc w:val="center"/>
              <w:rPr>
                <w:rFonts w:hint="default" w:ascii="Times New Roman" w:hAnsi="Times New Roman" w:cs="Times New Roman"/>
                <w:lang w:eastAsia="zh-CN"/>
              </w:rPr>
            </w:pPr>
            <w:r>
              <w:rPr>
                <w:rStyle w:val="64"/>
                <w:rFonts w:hint="default" w:ascii="Times New Roman" w:hAnsi="Times New Roman" w:cs="Times New Roman"/>
                <w:highlight w:val="none"/>
                <w:lang w:eastAsia="zh-CN"/>
              </w:rPr>
              <w:t>图</w:t>
            </w:r>
            <w:r>
              <w:rPr>
                <w:rStyle w:val="64"/>
                <w:rFonts w:hint="default" w:ascii="Times New Roman" w:hAnsi="Times New Roman" w:cs="Times New Roman"/>
                <w:highlight w:val="none"/>
                <w:lang w:val="en-US" w:eastAsia="zh-CN"/>
              </w:rPr>
              <w:t>2</w:t>
            </w:r>
            <w:r>
              <w:rPr>
                <w:rStyle w:val="64"/>
                <w:rFonts w:hint="default" w:ascii="Times New Roman" w:hAnsi="Times New Roman" w:cs="Times New Roman"/>
                <w:highlight w:val="none"/>
              </w:rPr>
              <w:t>-</w:t>
            </w:r>
            <w:r>
              <w:rPr>
                <w:rStyle w:val="64"/>
                <w:rFonts w:hint="default" w:ascii="Times New Roman" w:hAnsi="Times New Roman" w:cs="Times New Roman"/>
                <w:highlight w:val="none"/>
                <w:lang w:val="en-US" w:eastAsia="zh-CN"/>
              </w:rPr>
              <w:t>2</w:t>
            </w:r>
            <w:r>
              <w:rPr>
                <w:rStyle w:val="64"/>
                <w:rFonts w:hint="default" w:ascii="Times New Roman" w:hAnsi="Times New Roman" w:cs="Times New Roman"/>
                <w:highlight w:val="none"/>
              </w:rPr>
              <w:t xml:space="preserve"> 水平衡图（最大用水量，单位：m</w:t>
            </w:r>
            <w:r>
              <w:rPr>
                <w:rStyle w:val="64"/>
                <w:rFonts w:hint="default" w:ascii="Times New Roman" w:hAnsi="Times New Roman" w:cs="Times New Roman"/>
                <w:highlight w:val="none"/>
                <w:vertAlign w:val="superscript"/>
              </w:rPr>
              <w:t>3</w:t>
            </w:r>
            <w:r>
              <w:rPr>
                <w:rStyle w:val="64"/>
                <w:rFonts w:hint="default" w:ascii="Times New Roman" w:hAnsi="Times New Roman" w:cs="Times New Roman"/>
                <w:highlight w:val="none"/>
              </w:rPr>
              <w:t>/</w:t>
            </w:r>
            <w:r>
              <w:rPr>
                <w:rStyle w:val="64"/>
                <w:rFonts w:hint="default" w:ascii="Times New Roman" w:hAnsi="Times New Roman" w:cs="Times New Roman"/>
                <w:highlight w:val="none"/>
                <w:lang w:val="en-US" w:eastAsia="zh-CN"/>
              </w:rPr>
              <w:t>a</w:t>
            </w:r>
            <w:r>
              <w:rPr>
                <w:rStyle w:val="64"/>
                <w:rFonts w:hint="default" w:ascii="Times New Roman" w:hAnsi="Times New Roman" w:cs="Times New Roman"/>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44" w:hRule="atLeast"/>
          <w:jc w:val="center"/>
        </w:trPr>
        <w:tc>
          <w:tcPr>
            <w:tcW w:w="737" w:type="dxa"/>
            <w:noWrap w:val="0"/>
            <w:vAlign w:val="center"/>
          </w:tcPr>
          <w:p>
            <w:pPr>
              <w:pStyle w:val="18"/>
              <w:adjustRightInd w:val="0"/>
              <w:snapToGrid w:val="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4"/>
                <w:szCs w:val="24"/>
              </w:rPr>
              <w:t>工艺流程和产排污环节</w:t>
            </w:r>
          </w:p>
        </w:tc>
        <w:tc>
          <w:tcPr>
            <w:tcW w:w="8334" w:type="dxa"/>
            <w:noWrap w:val="0"/>
            <w:vAlign w:val="top"/>
          </w:tcPr>
          <w:p>
            <w:pPr>
              <w:pStyle w:val="36"/>
              <w:numPr>
                <w:ilvl w:val="0"/>
                <w:numId w:val="0"/>
              </w:numPr>
              <w:bidi w:val="0"/>
              <w:ind w:firstLine="480" w:firstLineChars="200"/>
              <w:rPr>
                <w:rFonts w:hint="default" w:ascii="Times New Roman" w:hAnsi="Times New Roman" w:cs="Times New Roman"/>
              </w:rPr>
            </w:pPr>
            <w:r>
              <w:rPr>
                <w:rFonts w:hint="default" w:ascii="Times New Roman" w:hAnsi="Times New Roman" w:cs="Times New Roman"/>
              </w:rPr>
              <w:t>营运期：</w:t>
            </w:r>
          </w:p>
          <w:p>
            <w:pPr>
              <w:pStyle w:val="36"/>
              <w:bidi w:val="0"/>
              <w:rPr>
                <w:rFonts w:hint="default" w:ascii="Times New Roman" w:hAnsi="Times New Roman" w:cs="Times New Roman"/>
                <w:lang w:val="en-US" w:eastAsia="zh-CN"/>
              </w:rPr>
            </w:pPr>
            <w:r>
              <w:rPr>
                <w:rFonts w:hint="default" w:ascii="Times New Roman" w:hAnsi="Times New Roman" w:cs="Times New Roman"/>
                <w:lang w:val="en-US" w:eastAsia="zh-CN"/>
              </w:rPr>
              <w:t>（1）初步净水及污泥处理工艺流程：</w:t>
            </w:r>
          </w:p>
          <w:p>
            <w:pPr>
              <w:jc w:val="center"/>
              <w:rPr>
                <w:rFonts w:hint="default" w:ascii="Times New Roman" w:hAnsi="Times New Roman" w:eastAsia="宋体" w:cs="Times New Roman"/>
                <w:lang w:val="en-US" w:eastAsia="zh-CN"/>
              </w:rPr>
            </w:pPr>
            <w:r>
              <w:rPr>
                <w:rFonts w:hint="default" w:ascii="Times New Roman" w:hAnsi="Times New Roman" w:cs="Times New Roman"/>
                <w:color w:val="auto"/>
              </w:rPr>
              <w:drawing>
                <wp:inline distT="0" distB="0" distL="114300" distR="114300">
                  <wp:extent cx="4081145" cy="5612765"/>
                  <wp:effectExtent l="0" t="0" r="14605" b="6985"/>
                  <wp:docPr id="8" name="图片 2" descr="C:\Users\Administrator\Pictures\恒光科技\一体化净水器.jpg一体化净水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C:\Users\Administrator\Pictures\恒光科技\一体化净水器.jpg一体化净水器"/>
                          <pic:cNvPicPr>
                            <a:picLocks noChangeAspect="1"/>
                          </pic:cNvPicPr>
                        </pic:nvPicPr>
                        <pic:blipFill>
                          <a:blip r:embed="rId11"/>
                          <a:srcRect/>
                          <a:stretch>
                            <a:fillRect/>
                          </a:stretch>
                        </pic:blipFill>
                        <pic:spPr>
                          <a:xfrm>
                            <a:off x="0" y="0"/>
                            <a:ext cx="4081145" cy="5612765"/>
                          </a:xfrm>
                          <a:prstGeom prst="rect">
                            <a:avLst/>
                          </a:prstGeom>
                          <a:noFill/>
                          <a:ln>
                            <a:noFill/>
                          </a:ln>
                        </pic:spPr>
                      </pic:pic>
                    </a:graphicData>
                  </a:graphic>
                </wp:inline>
              </w:drawing>
            </w:r>
          </w:p>
          <w:p>
            <w:pPr>
              <w:pStyle w:val="32"/>
              <w:bidi w:val="0"/>
              <w:rPr>
                <w:rFonts w:hint="default" w:ascii="Times New Roman" w:hAnsi="Times New Roman" w:cs="Times New Roman"/>
                <w:lang w:val="en-US" w:eastAsia="zh-CN"/>
              </w:rPr>
            </w:pPr>
            <w:r>
              <w:rPr>
                <w:rFonts w:hint="default" w:ascii="Times New Roman" w:hAnsi="Times New Roman" w:cs="Times New Roman"/>
              </w:rPr>
              <w:t>图2-</w:t>
            </w:r>
            <w:r>
              <w:rPr>
                <w:rFonts w:hint="eastAsia" w:cs="Times New Roman"/>
                <w:lang w:val="en-US" w:eastAsia="zh-CN"/>
              </w:rPr>
              <w:t>3</w:t>
            </w:r>
            <w:r>
              <w:rPr>
                <w:rFonts w:hint="default" w:ascii="Times New Roman" w:hAnsi="Times New Roman" w:cs="Times New Roman"/>
                <w:lang w:val="en-US" w:eastAsia="zh-CN"/>
              </w:rPr>
              <w:t xml:space="preserve">  初步净水及污泥处理工艺流程及产污节点图</w:t>
            </w:r>
          </w:p>
          <w:p>
            <w:pPr>
              <w:pStyle w:val="36"/>
              <w:bidi w:val="0"/>
              <w:rPr>
                <w:rFonts w:hint="default" w:ascii="Times New Roman" w:hAnsi="Times New Roman" w:cs="Times New Roman"/>
                <w:color w:val="auto"/>
                <w:u w:val="none"/>
              </w:rPr>
            </w:pPr>
            <w:r>
              <w:rPr>
                <w:rFonts w:hint="default" w:ascii="Times New Roman" w:hAnsi="Times New Roman" w:cs="Times New Roman"/>
                <w:color w:val="auto"/>
                <w:u w:val="none"/>
              </w:rPr>
              <w:t>工艺流程</w:t>
            </w:r>
            <w:r>
              <w:rPr>
                <w:rFonts w:hint="default" w:ascii="Times New Roman" w:hAnsi="Times New Roman" w:cs="Times New Roman"/>
                <w:color w:val="auto"/>
                <w:u w:val="none"/>
                <w:lang w:val="en-US" w:eastAsia="zh-CN"/>
              </w:rPr>
              <w:t>简述</w:t>
            </w:r>
            <w:r>
              <w:rPr>
                <w:rFonts w:hint="default" w:ascii="Times New Roman" w:hAnsi="Times New Roman" w:cs="Times New Roman"/>
                <w:color w:val="auto"/>
                <w:u w:val="none"/>
              </w:rPr>
              <w:t>：</w:t>
            </w:r>
          </w:p>
          <w:p>
            <w:pPr>
              <w:pStyle w:val="36"/>
              <w:bidi w:val="0"/>
              <w:rPr>
                <w:rFonts w:hint="default" w:ascii="Times New Roman" w:hAnsi="Times New Roman" w:cs="Times New Roman"/>
                <w:color w:val="000000" w:themeColor="text1"/>
                <w:u w:val="none"/>
                <w:lang w:val="en-US" w:eastAsia="zh-CN"/>
                <w14:textFill>
                  <w14:solidFill>
                    <w14:schemeClr w14:val="tx1"/>
                  </w14:solidFill>
                </w14:textFill>
              </w:rPr>
            </w:pPr>
            <w:r>
              <w:rPr>
                <w:rFonts w:hint="default" w:ascii="Times New Roman" w:hAnsi="Times New Roman" w:cs="Times New Roman"/>
                <w:color w:val="000000" w:themeColor="text1"/>
                <w:u w:val="none"/>
                <w:lang w:val="en-US" w:eastAsia="zh-CN"/>
                <w14:textFill>
                  <w14:solidFill>
                    <w14:schemeClr w14:val="tx1"/>
                  </w14:solidFill>
                </w14:textFill>
              </w:rPr>
              <w:t>1、取水</w:t>
            </w:r>
          </w:p>
          <w:p>
            <w:pPr>
              <w:pStyle w:val="36"/>
              <w:bidi w:val="0"/>
              <w:rPr>
                <w:rFonts w:hint="default" w:ascii="Times New Roman" w:hAnsi="Times New Roman" w:cs="Times New Roman"/>
                <w:color w:val="000000" w:themeColor="text1"/>
                <w:u w:val="none"/>
                <w:lang w:val="en-US" w:eastAsia="zh-CN"/>
                <w14:textFill>
                  <w14:solidFill>
                    <w14:schemeClr w14:val="tx1"/>
                  </w14:solidFill>
                </w14:textFill>
              </w:rPr>
            </w:pPr>
            <w:r>
              <w:rPr>
                <w:rFonts w:hint="default" w:ascii="Times New Roman" w:hAnsi="Times New Roman" w:cs="Times New Roman"/>
                <w:color w:val="000000" w:themeColor="text1"/>
                <w:u w:val="none"/>
                <w:lang w:val="en-US" w:eastAsia="zh-CN"/>
                <w14:textFill>
                  <w14:solidFill>
                    <w14:schemeClr w14:val="tx1"/>
                  </w14:solidFill>
                </w14:textFill>
              </w:rPr>
              <w:t>通过深井泵IS200-150-315（1450）运送至取水塔，然后通过管道运输至厂内。</w:t>
            </w:r>
          </w:p>
          <w:p>
            <w:pPr>
              <w:pStyle w:val="36"/>
              <w:bidi w:val="0"/>
              <w:rPr>
                <w:rFonts w:hint="default" w:ascii="Times New Roman" w:hAnsi="Times New Roman" w:cs="Times New Roman"/>
                <w:color w:val="000000" w:themeColor="text1"/>
                <w:u w:val="none"/>
                <w:lang w:val="en-US" w:eastAsia="zh-CN"/>
                <w14:textFill>
                  <w14:solidFill>
                    <w14:schemeClr w14:val="tx1"/>
                  </w14:solidFill>
                </w14:textFill>
              </w:rPr>
            </w:pPr>
            <w:r>
              <w:rPr>
                <w:rFonts w:hint="default" w:ascii="Times New Roman" w:hAnsi="Times New Roman" w:cs="Times New Roman"/>
                <w:color w:val="000000" w:themeColor="text1"/>
                <w:u w:val="none"/>
                <w:lang w:val="en-US" w:eastAsia="zh-CN"/>
                <w14:textFill>
                  <w14:solidFill>
                    <w14:schemeClr w14:val="tx1"/>
                  </w14:solidFill>
                </w14:textFill>
              </w:rPr>
              <w:t>2、加药</w:t>
            </w:r>
          </w:p>
          <w:p>
            <w:pPr>
              <w:pStyle w:val="36"/>
              <w:bidi w:val="0"/>
              <w:rPr>
                <w:rFonts w:hint="default" w:ascii="Times New Roman" w:hAnsi="Times New Roman" w:cs="Times New Roman"/>
                <w:color w:val="000000" w:themeColor="text1"/>
                <w:u w:val="none"/>
                <w:lang w:val="en-US" w:eastAsia="zh-CN"/>
                <w14:textFill>
                  <w14:solidFill>
                    <w14:schemeClr w14:val="tx1"/>
                  </w14:solidFill>
                </w14:textFill>
              </w:rPr>
            </w:pPr>
            <w:r>
              <w:rPr>
                <w:rFonts w:hint="default" w:ascii="Times New Roman" w:hAnsi="Times New Roman" w:cs="Times New Roman"/>
                <w:color w:val="000000" w:themeColor="text1"/>
                <w:u w:val="none"/>
                <w:lang w:val="en-US" w:eastAsia="zh-CN"/>
                <w14:textFill>
                  <w14:solidFill>
                    <w14:schemeClr w14:val="tx1"/>
                  </w14:solidFill>
                </w14:textFill>
              </w:rPr>
              <w:t>河水进入厂内后进行加药（絮凝剂、助凝剂）预处理，使水中部分悬浮物沉淀提高水质。</w:t>
            </w:r>
          </w:p>
          <w:p>
            <w:pPr>
              <w:pStyle w:val="36"/>
              <w:bidi w:val="0"/>
              <w:rPr>
                <w:rFonts w:hint="default" w:ascii="Times New Roman" w:hAnsi="Times New Roman" w:eastAsia="宋体" w:cs="Times New Roman"/>
                <w:color w:val="000000" w:themeColor="text1"/>
                <w:u w:val="none"/>
                <w:lang w:val="en-US" w:eastAsia="zh-CN"/>
                <w14:textFill>
                  <w14:solidFill>
                    <w14:schemeClr w14:val="tx1"/>
                  </w14:solidFill>
                </w14:textFill>
              </w:rPr>
            </w:pPr>
            <w:r>
              <w:rPr>
                <w:rFonts w:hint="default" w:ascii="Times New Roman" w:hAnsi="Times New Roman" w:cs="Times New Roman"/>
                <w:color w:val="000000" w:themeColor="text1"/>
                <w:u w:val="none"/>
                <w:lang w:val="en-US" w:eastAsia="zh-CN"/>
                <w14:textFill>
                  <w14:solidFill>
                    <w14:schemeClr w14:val="tx1"/>
                  </w14:solidFill>
                </w14:textFill>
              </w:rPr>
              <w:t>3、一体化净水</w:t>
            </w:r>
            <w:r>
              <w:rPr>
                <w:rFonts w:hint="default" w:ascii="Times New Roman" w:hAnsi="Times New Roman" w:cs="Times New Roman"/>
                <w:lang w:val="en-US" w:eastAsia="zh-CN"/>
              </w:rPr>
              <w:t>器</w:t>
            </w:r>
          </w:p>
          <w:p>
            <w:pPr>
              <w:pStyle w:val="36"/>
              <w:bidi w:val="0"/>
              <w:rPr>
                <w:rFonts w:hint="default" w:ascii="Times New Roman" w:hAnsi="Times New Roman" w:cs="Times New Roman"/>
                <w:color w:val="000000" w:themeColor="text1"/>
                <w:u w:val="none"/>
                <w:lang w:val="en-US" w:eastAsia="zh-CN"/>
                <w14:textFill>
                  <w14:solidFill>
                    <w14:schemeClr w14:val="tx1"/>
                  </w14:solidFill>
                </w14:textFill>
              </w:rPr>
            </w:pPr>
            <w:r>
              <w:rPr>
                <w:rFonts w:hint="default" w:ascii="Times New Roman" w:hAnsi="Times New Roman" w:cs="Times New Roman"/>
                <w:color w:val="000000" w:themeColor="text1"/>
                <w:u w:val="none"/>
                <w:lang w:val="en-US" w:eastAsia="zh-CN"/>
                <w14:textFill>
                  <w14:solidFill>
                    <w14:schemeClr w14:val="tx1"/>
                  </w14:solidFill>
                </w14:textFill>
              </w:rPr>
              <w:t>经加药预处理后的河水流入一体化净水器，经过一体化净水器处理后得到初步净化水，初步净化水流入清水池。该工序产生污泥，污泥经反洗随反洗水进入反洗水调节池处理。</w:t>
            </w:r>
          </w:p>
          <w:p>
            <w:pPr>
              <w:pStyle w:val="36"/>
              <w:bidi w:val="0"/>
              <w:rPr>
                <w:rFonts w:hint="default" w:ascii="Times New Roman" w:hAnsi="Times New Roman" w:cs="Times New Roman"/>
                <w:color w:val="000000" w:themeColor="text1"/>
                <w:u w:val="none"/>
                <w:lang w:val="en-US" w:eastAsia="zh-CN"/>
                <w14:textFill>
                  <w14:solidFill>
                    <w14:schemeClr w14:val="tx1"/>
                  </w14:solidFill>
                </w14:textFill>
              </w:rPr>
            </w:pPr>
            <w:r>
              <w:rPr>
                <w:rFonts w:hint="default" w:ascii="Times New Roman" w:hAnsi="Times New Roman" w:cs="Times New Roman"/>
                <w:color w:val="000000" w:themeColor="text1"/>
                <w:u w:val="none"/>
                <w:lang w:val="en-US" w:eastAsia="zh-CN"/>
                <w14:textFill>
                  <w14:solidFill>
                    <w14:schemeClr w14:val="tx1"/>
                  </w14:solidFill>
                </w14:textFill>
              </w:rPr>
              <w:t>4、反洗水调节池</w:t>
            </w:r>
          </w:p>
          <w:p>
            <w:pPr>
              <w:pStyle w:val="36"/>
              <w:bidi w:val="0"/>
              <w:rPr>
                <w:rFonts w:hint="default" w:ascii="Times New Roman" w:hAnsi="Times New Roman" w:cs="Times New Roman"/>
                <w:color w:val="000000" w:themeColor="text1"/>
                <w:u w:val="none"/>
                <w:lang w:val="en-US" w:eastAsia="zh-CN"/>
                <w14:textFill>
                  <w14:solidFill>
                    <w14:schemeClr w14:val="tx1"/>
                  </w14:solidFill>
                </w14:textFill>
              </w:rPr>
            </w:pPr>
            <w:r>
              <w:rPr>
                <w:rFonts w:hint="default" w:ascii="Times New Roman" w:hAnsi="Times New Roman" w:cs="Times New Roman"/>
                <w:color w:val="000000" w:themeColor="text1"/>
                <w:u w:val="none"/>
                <w:lang w:val="en-US" w:eastAsia="zh-CN"/>
                <w14:textFill>
                  <w14:solidFill>
                    <w14:schemeClr w14:val="tx1"/>
                  </w14:solidFill>
                </w14:textFill>
              </w:rPr>
              <w:t>反洗水在反洗水调节池通过泥水提升泵进入浓缩罐进行浓缩处理，在泥水提升泵进口处加助凝剂处理。</w:t>
            </w:r>
          </w:p>
          <w:p>
            <w:pPr>
              <w:pStyle w:val="36"/>
              <w:numPr>
                <w:ilvl w:val="0"/>
                <w:numId w:val="5"/>
              </w:numPr>
              <w:bidi w:val="0"/>
              <w:rPr>
                <w:rFonts w:hint="default" w:ascii="Times New Roman" w:hAnsi="Times New Roman" w:cs="Times New Roman"/>
                <w:color w:val="000000" w:themeColor="text1"/>
                <w:u w:val="none"/>
                <w:lang w:val="en-US" w:eastAsia="zh-CN"/>
                <w14:textFill>
                  <w14:solidFill>
                    <w14:schemeClr w14:val="tx1"/>
                  </w14:solidFill>
                </w14:textFill>
              </w:rPr>
            </w:pPr>
            <w:r>
              <w:rPr>
                <w:rFonts w:hint="default" w:ascii="Times New Roman" w:hAnsi="Times New Roman" w:cs="Times New Roman"/>
                <w:color w:val="000000" w:themeColor="text1"/>
                <w:u w:val="none"/>
                <w:lang w:val="en-US" w:eastAsia="zh-CN"/>
                <w14:textFill>
                  <w14:solidFill>
                    <w14:schemeClr w14:val="tx1"/>
                  </w14:solidFill>
                </w14:textFill>
              </w:rPr>
              <w:t>浓缩沉淀池</w:t>
            </w:r>
          </w:p>
          <w:p>
            <w:pPr>
              <w:pStyle w:val="36"/>
              <w:numPr>
                <w:ilvl w:val="0"/>
                <w:numId w:val="0"/>
              </w:numPr>
              <w:bidi w:val="0"/>
              <w:ind w:firstLine="480" w:firstLineChars="200"/>
              <w:rPr>
                <w:rFonts w:hint="default" w:ascii="Times New Roman" w:hAnsi="Times New Roman" w:cs="Times New Roman"/>
                <w:color w:val="000000" w:themeColor="text1"/>
                <w:u w:val="none"/>
                <w:lang w:val="en-US" w:eastAsia="zh-CN"/>
                <w14:textFill>
                  <w14:solidFill>
                    <w14:schemeClr w14:val="tx1"/>
                  </w14:solidFill>
                </w14:textFill>
              </w:rPr>
            </w:pPr>
            <w:r>
              <w:rPr>
                <w:rFonts w:hint="default" w:ascii="Times New Roman" w:hAnsi="Times New Roman" w:cs="Times New Roman"/>
                <w:color w:val="000000" w:themeColor="text1"/>
                <w:u w:val="none"/>
                <w:lang w:val="en-US" w:eastAsia="zh-CN"/>
                <w14:textFill>
                  <w14:solidFill>
                    <w14:schemeClr w14:val="tx1"/>
                  </w14:solidFill>
                </w14:textFill>
              </w:rPr>
              <w:t>反洗水通过泥水提升泵进入浓缩沉淀池进行浓缩，浓缩后上层清液进入净水池，下层污泥通过压滤泵进入叠螺污泥脱水机处理，在</w:t>
            </w:r>
            <w:r>
              <w:rPr>
                <w:rFonts w:hint="default" w:ascii="Times New Roman" w:hAnsi="Times New Roman" w:cs="Times New Roman"/>
                <w:lang w:val="en-US" w:eastAsia="zh-CN"/>
              </w:rPr>
              <w:t>叠螺污泥脱水机</w:t>
            </w:r>
            <w:r>
              <w:rPr>
                <w:rFonts w:hint="default" w:ascii="Times New Roman" w:hAnsi="Times New Roman" w:cs="Times New Roman"/>
                <w:color w:val="000000" w:themeColor="text1"/>
                <w:u w:val="none"/>
                <w:lang w:val="en-US" w:eastAsia="zh-CN"/>
                <w14:textFill>
                  <w14:solidFill>
                    <w14:schemeClr w14:val="tx1"/>
                  </w14:solidFill>
                </w14:textFill>
              </w:rPr>
              <w:t>进口处加助凝剂处理。</w:t>
            </w:r>
          </w:p>
          <w:p>
            <w:pPr>
              <w:pStyle w:val="36"/>
              <w:numPr>
                <w:ilvl w:val="0"/>
                <w:numId w:val="0"/>
              </w:numPr>
              <w:bidi w:val="0"/>
              <w:ind w:firstLine="480" w:firstLineChars="200"/>
              <w:rPr>
                <w:rFonts w:hint="default" w:ascii="Times New Roman" w:hAnsi="Times New Roman" w:cs="Times New Roman"/>
                <w:color w:val="000000" w:themeColor="text1"/>
                <w:u w:val="none"/>
                <w:lang w:val="en-US" w:eastAsia="zh-CN"/>
                <w14:textFill>
                  <w14:solidFill>
                    <w14:schemeClr w14:val="tx1"/>
                  </w14:solidFill>
                </w14:textFill>
              </w:rPr>
            </w:pPr>
            <w:r>
              <w:rPr>
                <w:rFonts w:hint="default" w:ascii="Times New Roman" w:hAnsi="Times New Roman" w:cs="Times New Roman"/>
                <w:color w:val="000000" w:themeColor="text1"/>
                <w:u w:val="none"/>
                <w:lang w:val="en-US" w:eastAsia="zh-CN"/>
                <w14:textFill>
                  <w14:solidFill>
                    <w14:schemeClr w14:val="tx1"/>
                  </w14:solidFill>
                </w14:textFill>
              </w:rPr>
              <w:t>6、</w:t>
            </w:r>
            <w:r>
              <w:rPr>
                <w:rFonts w:hint="default" w:ascii="Times New Roman" w:hAnsi="Times New Roman" w:cs="Times New Roman"/>
                <w:lang w:val="en-US" w:eastAsia="zh-CN"/>
              </w:rPr>
              <w:t>污泥脱水</w:t>
            </w:r>
          </w:p>
          <w:p>
            <w:pPr>
              <w:pStyle w:val="36"/>
              <w:numPr>
                <w:ilvl w:val="0"/>
                <w:numId w:val="0"/>
              </w:numPr>
              <w:bidi w:val="0"/>
              <w:ind w:firstLine="480" w:firstLineChars="200"/>
              <w:rPr>
                <w:rFonts w:hint="default" w:ascii="Times New Roman" w:hAnsi="Times New Roman" w:cs="Times New Roman"/>
                <w:color w:val="000000" w:themeColor="text1"/>
                <w:u w:val="none"/>
                <w:lang w:val="en-US" w:eastAsia="zh-CN"/>
                <w14:textFill>
                  <w14:solidFill>
                    <w14:schemeClr w14:val="tx1"/>
                  </w14:solidFill>
                </w14:textFill>
              </w:rPr>
            </w:pPr>
            <w:r>
              <w:rPr>
                <w:rFonts w:hint="default" w:ascii="Times New Roman" w:hAnsi="Times New Roman" w:cs="Times New Roman"/>
                <w:color w:val="000000" w:themeColor="text1"/>
                <w:u w:val="none"/>
                <w:lang w:val="en-US" w:eastAsia="zh-CN"/>
                <w14:textFill>
                  <w14:solidFill>
                    <w14:schemeClr w14:val="tx1"/>
                  </w14:solidFill>
                </w14:textFill>
              </w:rPr>
              <w:t>浓缩后的污泥进入叠螺污泥脱水机处理，处理后污泥含水率降至60%以下，透过液进入净水池回用，干泥外运洪江区金鸿固废处理有限公司综合处理。</w:t>
            </w:r>
          </w:p>
          <w:p>
            <w:pPr>
              <w:pStyle w:val="36"/>
              <w:numPr>
                <w:ilvl w:val="0"/>
                <w:numId w:val="6"/>
              </w:numPr>
              <w:bidi w:val="0"/>
              <w:ind w:firstLine="480" w:firstLineChars="200"/>
              <w:rPr>
                <w:rFonts w:hint="default" w:ascii="Times New Roman" w:hAnsi="Times New Roman" w:cs="Times New Roman"/>
                <w:color w:val="000000" w:themeColor="text1"/>
                <w:u w:val="none"/>
                <w:lang w:val="en-US" w:eastAsia="zh-CN"/>
                <w14:textFill>
                  <w14:solidFill>
                    <w14:schemeClr w14:val="tx1"/>
                  </w14:solidFill>
                </w14:textFill>
              </w:rPr>
            </w:pPr>
            <w:r>
              <w:rPr>
                <w:rFonts w:hint="default" w:ascii="Times New Roman" w:hAnsi="Times New Roman" w:cs="Times New Roman"/>
                <w:color w:val="000000" w:themeColor="text1"/>
                <w:u w:val="none"/>
                <w:lang w:val="en-US" w:eastAsia="zh-CN"/>
                <w14:textFill>
                  <w14:solidFill>
                    <w14:schemeClr w14:val="tx1"/>
                  </w14:solidFill>
                </w14:textFill>
              </w:rPr>
              <w:t>软水制备工艺流程</w:t>
            </w:r>
          </w:p>
          <w:p>
            <w:pPr>
              <w:pStyle w:val="36"/>
              <w:numPr>
                <w:ilvl w:val="0"/>
                <w:numId w:val="0"/>
              </w:numPr>
              <w:bidi w:val="0"/>
              <w:jc w:val="center"/>
              <w:rPr>
                <w:rFonts w:hint="default" w:ascii="Times New Roman" w:hAnsi="Times New Roman" w:cs="Times New Roman"/>
                <w:color w:val="000000" w:themeColor="text1"/>
                <w:u w:val="none"/>
                <w:lang w:val="en-US" w:eastAsia="zh-CN"/>
                <w14:textFill>
                  <w14:solidFill>
                    <w14:schemeClr w14:val="tx1"/>
                  </w14:solidFill>
                </w14:textFill>
              </w:rPr>
            </w:pPr>
            <w:r>
              <w:rPr>
                <w:rFonts w:hint="default" w:ascii="Times New Roman" w:hAnsi="Times New Roman" w:cs="Times New Roman"/>
                <w:color w:val="000000" w:themeColor="text1"/>
                <w:u w:val="none"/>
                <w:lang w:val="en-US" w:eastAsia="zh-CN"/>
                <w14:textFill>
                  <w14:solidFill>
                    <w14:schemeClr w14:val="tx1"/>
                  </w14:solidFill>
                </w14:textFill>
              </w:rPr>
              <w:drawing>
                <wp:inline distT="0" distB="0" distL="114300" distR="114300">
                  <wp:extent cx="4004310" cy="2553335"/>
                  <wp:effectExtent l="0" t="0" r="15240" b="18415"/>
                  <wp:docPr id="3" name="图片 3" descr="C:\Users\Administrator\Pictures\恒光科技\软水工艺流程.png软水工艺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Pictures\恒光科技\软水工艺流程.png软水工艺流程"/>
                          <pic:cNvPicPr>
                            <a:picLocks noChangeAspect="1"/>
                          </pic:cNvPicPr>
                        </pic:nvPicPr>
                        <pic:blipFill>
                          <a:blip r:embed="rId12"/>
                          <a:srcRect/>
                          <a:stretch>
                            <a:fillRect/>
                          </a:stretch>
                        </pic:blipFill>
                        <pic:spPr>
                          <a:xfrm>
                            <a:off x="0" y="0"/>
                            <a:ext cx="4004310" cy="2553335"/>
                          </a:xfrm>
                          <a:prstGeom prst="rect">
                            <a:avLst/>
                          </a:prstGeom>
                        </pic:spPr>
                      </pic:pic>
                    </a:graphicData>
                  </a:graphic>
                </wp:inline>
              </w:drawing>
            </w:r>
          </w:p>
          <w:p>
            <w:pPr>
              <w:pStyle w:val="32"/>
              <w:bidi w:val="0"/>
              <w:rPr>
                <w:rFonts w:hint="default" w:ascii="Times New Roman" w:hAnsi="Times New Roman" w:cs="Times New Roman"/>
                <w:lang w:val="en-US" w:eastAsia="zh-CN"/>
              </w:rPr>
            </w:pPr>
            <w:r>
              <w:rPr>
                <w:rFonts w:hint="default" w:ascii="Times New Roman" w:hAnsi="Times New Roman" w:cs="Times New Roman"/>
              </w:rPr>
              <w:t>图2-</w:t>
            </w:r>
            <w:r>
              <w:rPr>
                <w:rFonts w:hint="eastAsia" w:cs="Times New Roman"/>
                <w:lang w:val="en-US" w:eastAsia="zh-CN"/>
              </w:rPr>
              <w:t>4</w:t>
            </w:r>
            <w:r>
              <w:rPr>
                <w:rFonts w:hint="default" w:ascii="Times New Roman" w:hAnsi="Times New Roman" w:cs="Times New Roman"/>
                <w:lang w:val="en-US" w:eastAsia="zh-CN"/>
              </w:rPr>
              <w:t xml:space="preserve">  </w:t>
            </w:r>
            <w:r>
              <w:rPr>
                <w:rFonts w:hint="default" w:ascii="Times New Roman" w:hAnsi="Times New Roman" w:cs="Times New Roman"/>
                <w:color w:val="000000" w:themeColor="text1"/>
                <w:u w:val="none"/>
                <w:lang w:val="en-US" w:eastAsia="zh-CN"/>
                <w14:textFill>
                  <w14:solidFill>
                    <w14:schemeClr w14:val="tx1"/>
                  </w14:solidFill>
                </w14:textFill>
              </w:rPr>
              <w:t>软水制备</w:t>
            </w:r>
            <w:r>
              <w:rPr>
                <w:rFonts w:hint="default" w:ascii="Times New Roman" w:hAnsi="Times New Roman" w:cs="Times New Roman"/>
                <w:lang w:val="en-US" w:eastAsia="zh-CN"/>
              </w:rPr>
              <w:t>工艺流程图</w:t>
            </w:r>
          </w:p>
          <w:p>
            <w:pPr>
              <w:pStyle w:val="36"/>
              <w:bidi w:val="0"/>
              <w:rPr>
                <w:rFonts w:hint="default" w:ascii="Times New Roman" w:hAnsi="Times New Roman" w:cs="Times New Roman"/>
                <w:color w:val="auto"/>
                <w:u w:val="none"/>
              </w:rPr>
            </w:pPr>
            <w:r>
              <w:rPr>
                <w:rFonts w:hint="default" w:ascii="Times New Roman" w:hAnsi="Times New Roman" w:cs="Times New Roman"/>
                <w:color w:val="auto"/>
                <w:u w:val="none"/>
              </w:rPr>
              <w:t>工艺流程</w:t>
            </w:r>
            <w:r>
              <w:rPr>
                <w:rFonts w:hint="default" w:ascii="Times New Roman" w:hAnsi="Times New Roman" w:cs="Times New Roman"/>
                <w:color w:val="auto"/>
                <w:u w:val="none"/>
                <w:lang w:val="en-US" w:eastAsia="zh-CN"/>
              </w:rPr>
              <w:t>简述</w:t>
            </w:r>
            <w:r>
              <w:rPr>
                <w:rFonts w:hint="default" w:ascii="Times New Roman" w:hAnsi="Times New Roman" w:cs="Times New Roman"/>
                <w:color w:val="auto"/>
                <w:u w:val="none"/>
              </w:rPr>
              <w:t>：</w:t>
            </w:r>
          </w:p>
          <w:p>
            <w:pPr>
              <w:pStyle w:val="36"/>
              <w:numPr>
                <w:ilvl w:val="0"/>
                <w:numId w:val="7"/>
              </w:numPr>
              <w:bidi w:val="0"/>
              <w:rPr>
                <w:rFonts w:hint="default" w:ascii="Times New Roman" w:hAnsi="Times New Roman" w:cs="Times New Roman"/>
                <w:color w:val="000000" w:themeColor="text1"/>
                <w:u w:val="none"/>
                <w:lang w:val="en-US" w:eastAsia="zh-CN"/>
                <w14:textFill>
                  <w14:solidFill>
                    <w14:schemeClr w14:val="tx1"/>
                  </w14:solidFill>
                </w14:textFill>
              </w:rPr>
            </w:pPr>
            <w:r>
              <w:rPr>
                <w:rFonts w:hint="default" w:ascii="Times New Roman" w:hAnsi="Times New Roman" w:cs="Times New Roman"/>
                <w:color w:val="000000" w:themeColor="text1"/>
                <w:u w:val="none"/>
                <w:lang w:val="en-US" w:eastAsia="zh-CN"/>
                <w14:textFill>
                  <w14:solidFill>
                    <w14:schemeClr w14:val="tx1"/>
                  </w14:solidFill>
                </w14:textFill>
              </w:rPr>
              <w:t>离子交换</w:t>
            </w:r>
          </w:p>
          <w:p>
            <w:pPr>
              <w:pStyle w:val="36"/>
              <w:numPr>
                <w:ilvl w:val="0"/>
                <w:numId w:val="0"/>
              </w:numPr>
              <w:bidi w:val="0"/>
              <w:ind w:firstLine="480" w:firstLineChars="200"/>
              <w:rPr>
                <w:rFonts w:hint="default" w:ascii="Times New Roman" w:hAnsi="Times New Roman" w:cs="Times New Roman"/>
                <w:color w:val="000000" w:themeColor="text1"/>
                <w:u w:val="none"/>
                <w:lang w:val="en-US" w:eastAsia="zh-CN"/>
                <w14:textFill>
                  <w14:solidFill>
                    <w14:schemeClr w14:val="tx1"/>
                  </w14:solidFill>
                </w14:textFill>
              </w:rPr>
            </w:pPr>
            <w:r>
              <w:rPr>
                <w:rFonts w:hint="default" w:ascii="Times New Roman" w:hAnsi="Times New Roman" w:cs="Times New Roman"/>
                <w:color w:val="000000" w:themeColor="text1"/>
                <w:u w:val="none"/>
                <w:lang w:val="en-US" w:eastAsia="zh-CN"/>
                <w14:textFill>
                  <w14:solidFill>
                    <w14:schemeClr w14:val="tx1"/>
                  </w14:solidFill>
                </w14:textFill>
              </w:rPr>
              <w:t>开启设备进水阀，在交换塔内，树脂与原水相遇时，水中的钙(Ca2</w:t>
            </w:r>
            <w:r>
              <w:rPr>
                <w:rFonts w:hint="default" w:ascii="Times New Roman" w:hAnsi="Times New Roman" w:cs="Times New Roman"/>
                <w:color w:val="000000" w:themeColor="text1"/>
                <w:u w:val="none"/>
                <w:vertAlign w:val="superscript"/>
                <w:lang w:val="en-US" w:eastAsia="zh-CN"/>
                <w14:textFill>
                  <w14:solidFill>
                    <w14:schemeClr w14:val="tx1"/>
                  </w14:solidFill>
                </w14:textFill>
              </w:rPr>
              <w:t>+</w:t>
            </w:r>
            <w:r>
              <w:rPr>
                <w:rFonts w:hint="default" w:ascii="Times New Roman" w:hAnsi="Times New Roman" w:cs="Times New Roman"/>
                <w:color w:val="000000" w:themeColor="text1"/>
                <w:u w:val="none"/>
                <w:lang w:val="en-US" w:eastAsia="zh-CN"/>
                <w14:textFill>
                  <w14:solidFill>
                    <w14:schemeClr w14:val="tx1"/>
                  </w14:solidFill>
                </w14:textFill>
              </w:rPr>
              <w:t>)、镁(Mg2</w:t>
            </w:r>
            <w:r>
              <w:rPr>
                <w:rFonts w:hint="default" w:ascii="Times New Roman" w:hAnsi="Times New Roman" w:cs="Times New Roman"/>
                <w:color w:val="000000" w:themeColor="text1"/>
                <w:u w:val="none"/>
                <w:vertAlign w:val="superscript"/>
                <w:lang w:val="en-US" w:eastAsia="zh-CN"/>
                <w14:textFill>
                  <w14:solidFill>
                    <w14:schemeClr w14:val="tx1"/>
                  </w14:solidFill>
                </w14:textFill>
              </w:rPr>
              <w:t>+</w:t>
            </w:r>
            <w:r>
              <w:rPr>
                <w:rFonts w:hint="default" w:ascii="Times New Roman" w:hAnsi="Times New Roman" w:cs="Times New Roman"/>
                <w:color w:val="000000" w:themeColor="text1"/>
                <w:u w:val="none"/>
                <w:lang w:val="en-US" w:eastAsia="zh-CN"/>
                <w14:textFill>
                  <w14:solidFill>
                    <w14:schemeClr w14:val="tx1"/>
                  </w14:solidFill>
                </w14:textFill>
              </w:rPr>
              <w:t>)等离子与树脂(NaR)进行反应，去除水中的钙镁盐类，使硬水变为软水。实际生产中，原水从交换塔下部进入，树脂从交换塔上部落下，树脂与原水反向交流，进行离子交换，原水逐渐软化，变成合格的软水，从塔上部经出水管输出，流入软水储槽送给使用设备。一般情况下，采用一级钠离子交换（即三塔式流动床），交换率99.6%，出水残余硬度&lt;0.03 mmo1/L。</w:t>
            </w:r>
          </w:p>
          <w:p>
            <w:pPr>
              <w:pStyle w:val="36"/>
              <w:numPr>
                <w:ilvl w:val="0"/>
                <w:numId w:val="7"/>
              </w:numPr>
              <w:bidi w:val="0"/>
              <w:ind w:left="0" w:leftChars="0"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树脂再生</w:t>
            </w:r>
          </w:p>
          <w:p>
            <w:pPr>
              <w:pStyle w:val="36"/>
              <w:numPr>
                <w:ilvl w:val="0"/>
                <w:numId w:val="0"/>
              </w:numPr>
              <w:bidi w:val="0"/>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与原水交换后的树脂恢复成为饱和树脂,饱和树脂在一定的动力作用下送入再生塔,在再生塔内与再生剂盐水进行置换反应,恢复交换能力。实际系统中，当树脂从交换塔上部下落、充分吸附水中的钙镁离子、到达塔下部时达到饱和，这时，树脂在设各位差压力和管道的引流下被送到再生塔上部，与塔下逆向上升的再生剂进行交流置换，还原成新生树脂。</w:t>
            </w:r>
            <w:r>
              <w:rPr>
                <w:rFonts w:hint="default" w:ascii="Times New Roman" w:hAnsi="Times New Roman" w:cs="Times New Roman"/>
                <w:sz w:val="24"/>
                <w:szCs w:val="24"/>
                <w:lang w:val="en-US" w:eastAsia="zh-CN"/>
              </w:rPr>
              <w:t>此工序产生废水。</w:t>
            </w:r>
          </w:p>
          <w:p>
            <w:pPr>
              <w:pStyle w:val="36"/>
              <w:numPr>
                <w:ilvl w:val="0"/>
                <w:numId w:val="7"/>
              </w:numPr>
              <w:bidi w:val="0"/>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树脂清洗</w:t>
            </w:r>
          </w:p>
          <w:p>
            <w:pPr>
              <w:pStyle w:val="36"/>
              <w:numPr>
                <w:ilvl w:val="0"/>
                <w:numId w:val="0"/>
              </w:numPr>
              <w:bidi w:val="0"/>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经过再生的树脂恢复交换能力后，同样在一定的动力作用下送入清洗塔，用软水清洗掉再生剂，再通过喷射器将树脂送回交换塔继续使用。具体过程:由再生塔吸送过来的新生树脂，由清洗塔上部进入塔内，由分水缸压出的软水由清洗塔下部向上流动，与新生树脂交流洗涤，直到树脂落入塔底部完成清洗;这时，一路从分水缸引出的软化水经过喷射器，产生足够的吸送作用，将清洗塔底的树脂输送到交换塔上部，进入交换循环。</w:t>
            </w:r>
          </w:p>
          <w:p>
            <w:pPr>
              <w:pStyle w:val="36"/>
              <w:numPr>
                <w:ilvl w:val="0"/>
                <w:numId w:val="0"/>
              </w:numPr>
              <w:bidi w:val="0"/>
              <w:ind w:leftChars="200"/>
              <w:jc w:val="both"/>
              <w:rPr>
                <w:rFonts w:hint="default" w:ascii="Times New Roman" w:hAnsi="Times New Roman" w:cs="Times New Roman"/>
                <w:color w:val="000000" w:themeColor="text1"/>
                <w:u w:val="none"/>
                <w:lang w:val="en-US" w:eastAsia="zh-CN"/>
                <w14:textFill>
                  <w14:solidFill>
                    <w14:schemeClr w14:val="tx1"/>
                  </w14:solidFill>
                </w14:textFill>
              </w:rPr>
            </w:pPr>
            <w:r>
              <w:rPr>
                <w:rFonts w:hint="default" w:ascii="Times New Roman" w:hAnsi="Times New Roman" w:cs="Times New Roman"/>
                <w:color w:val="000000" w:themeColor="text1"/>
                <w:u w:val="none"/>
                <w:lang w:val="en-US" w:eastAsia="zh-CN"/>
                <w14:textFill>
                  <w14:solidFill>
                    <w14:schemeClr w14:val="tx1"/>
                  </w14:solidFill>
                </w14:textFill>
              </w:rPr>
              <w:t>（3）纯水制备工艺流程</w:t>
            </w:r>
          </w:p>
          <w:p>
            <w:pPr>
              <w:pStyle w:val="36"/>
              <w:numPr>
                <w:ilvl w:val="0"/>
                <w:numId w:val="0"/>
              </w:numPr>
              <w:bidi w:val="0"/>
              <w:jc w:val="both"/>
              <w:rPr>
                <w:rFonts w:hint="default" w:ascii="Times New Roman" w:hAnsi="Times New Roman" w:cs="Times New Roman"/>
                <w:color w:val="000000" w:themeColor="text1"/>
                <w:u w:val="none"/>
                <w:lang w:val="en-US" w:eastAsia="zh-CN"/>
                <w14:textFill>
                  <w14:solidFill>
                    <w14:schemeClr w14:val="tx1"/>
                  </w14:solidFill>
                </w14:textFill>
              </w:rPr>
            </w:pPr>
            <w:r>
              <w:rPr>
                <w:rFonts w:hint="default" w:ascii="Times New Roman" w:hAnsi="Times New Roman" w:cs="Times New Roman"/>
                <w:color w:val="000000" w:themeColor="text1"/>
                <w:u w:val="none"/>
                <w:lang w:val="en-US" w:eastAsia="zh-CN"/>
                <w14:textFill>
                  <w14:solidFill>
                    <w14:schemeClr w14:val="tx1"/>
                  </w14:solidFill>
                </w14:textFill>
              </w:rPr>
              <w:drawing>
                <wp:inline distT="0" distB="0" distL="114300" distR="114300">
                  <wp:extent cx="5059680" cy="2640330"/>
                  <wp:effectExtent l="0" t="0" r="7620" b="7620"/>
                  <wp:docPr id="7" name="图片 7" descr="C:\Users\Administrator\Pictures\恒光科技\纯水工艺.png纯水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Pictures\恒光科技\纯水工艺.png纯水工艺"/>
                          <pic:cNvPicPr>
                            <a:picLocks noChangeAspect="1"/>
                          </pic:cNvPicPr>
                        </pic:nvPicPr>
                        <pic:blipFill>
                          <a:blip r:embed="rId13"/>
                          <a:srcRect/>
                          <a:stretch>
                            <a:fillRect/>
                          </a:stretch>
                        </pic:blipFill>
                        <pic:spPr>
                          <a:xfrm>
                            <a:off x="0" y="0"/>
                            <a:ext cx="5059680" cy="2640330"/>
                          </a:xfrm>
                          <a:prstGeom prst="rect">
                            <a:avLst/>
                          </a:prstGeom>
                        </pic:spPr>
                      </pic:pic>
                    </a:graphicData>
                  </a:graphic>
                </wp:inline>
              </w:drawing>
            </w:r>
          </w:p>
          <w:p>
            <w:pPr>
              <w:pStyle w:val="32"/>
              <w:bidi w:val="0"/>
              <w:rPr>
                <w:rFonts w:hint="default" w:ascii="Times New Roman" w:hAnsi="Times New Roman" w:cs="Times New Roman"/>
                <w:lang w:val="en-US" w:eastAsia="zh-CN"/>
              </w:rPr>
            </w:pPr>
            <w:r>
              <w:rPr>
                <w:rFonts w:hint="default" w:ascii="Times New Roman" w:hAnsi="Times New Roman" w:cs="Times New Roman"/>
              </w:rPr>
              <w:t>图2-</w:t>
            </w:r>
            <w:r>
              <w:rPr>
                <w:rFonts w:hint="eastAsia" w:cs="Times New Roman"/>
                <w:lang w:val="en-US" w:eastAsia="zh-CN"/>
              </w:rPr>
              <w:t>5</w:t>
            </w:r>
            <w:r>
              <w:rPr>
                <w:rFonts w:hint="default" w:ascii="Times New Roman" w:hAnsi="Times New Roman" w:cs="Times New Roman"/>
                <w:lang w:val="en-US" w:eastAsia="zh-CN"/>
              </w:rPr>
              <w:t xml:space="preserve">  </w:t>
            </w:r>
            <w:r>
              <w:rPr>
                <w:rFonts w:hint="default" w:ascii="Times New Roman" w:hAnsi="Times New Roman" w:cs="Times New Roman"/>
                <w:color w:val="000000" w:themeColor="text1"/>
                <w:u w:val="none"/>
                <w:lang w:val="en-US" w:eastAsia="zh-CN"/>
                <w14:textFill>
                  <w14:solidFill>
                    <w14:schemeClr w14:val="tx1"/>
                  </w14:solidFill>
                </w14:textFill>
              </w:rPr>
              <w:t>纯水制备</w:t>
            </w:r>
            <w:r>
              <w:rPr>
                <w:rFonts w:hint="default" w:ascii="Times New Roman" w:hAnsi="Times New Roman" w:cs="Times New Roman"/>
                <w:lang w:val="en-US" w:eastAsia="zh-CN"/>
              </w:rPr>
              <w:t>工艺流程图</w:t>
            </w:r>
          </w:p>
          <w:p>
            <w:pPr>
              <w:pStyle w:val="57"/>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1、加药</w:t>
            </w:r>
          </w:p>
          <w:p>
            <w:pPr>
              <w:pStyle w:val="57"/>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原水泵从清水池抽取初步净化水加入絮凝剂和杀菌剂处理，进一步提高水质。</w:t>
            </w:r>
          </w:p>
          <w:p>
            <w:pPr>
              <w:pStyle w:val="57"/>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2、机械过滤</w:t>
            </w:r>
          </w:p>
          <w:p>
            <w:pPr>
              <w:pStyle w:val="57"/>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zCs w:val="24"/>
              </w:rPr>
            </w:pPr>
            <w:r>
              <w:rPr>
                <w:rFonts w:hint="default" w:ascii="Times New Roman" w:hAnsi="Times New Roman" w:cs="Times New Roman"/>
                <w:color w:val="000000"/>
                <w:highlight w:val="none"/>
                <w:lang w:val="en-US" w:eastAsia="zh-CN"/>
              </w:rPr>
              <w:t>通过加药处理后的水进行机械过滤，</w:t>
            </w:r>
            <w:r>
              <w:rPr>
                <w:rFonts w:hint="default" w:ascii="Times New Roman" w:hAnsi="Times New Roman" w:eastAsia="宋体" w:cs="Times New Roman"/>
                <w:sz w:val="24"/>
                <w:szCs w:val="24"/>
              </w:rPr>
              <w:t>机械过滤器也称压力过滤器是纯水制备的前期预处理，水净化系统的重要组成部分</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多介质过滤器的介质是石英砂</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功能是滤除悬浮物机械杂质、有机物等，降低水的浑浊度。</w:t>
            </w:r>
          </w:p>
          <w:p>
            <w:pPr>
              <w:pStyle w:val="57"/>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3、活性炭过滤</w:t>
            </w:r>
          </w:p>
          <w:p>
            <w:pPr>
              <w:pStyle w:val="57"/>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sz w:val="24"/>
                <w:szCs w:val="24"/>
                <w:lang w:val="en-US" w:eastAsia="zh-CN"/>
              </w:rPr>
              <w:t>机械过滤后再进行活性炭过滤，</w:t>
            </w:r>
            <w:r>
              <w:rPr>
                <w:rFonts w:hint="default" w:ascii="Times New Roman" w:hAnsi="Times New Roman" w:eastAsia="宋体" w:cs="Times New Roman"/>
                <w:sz w:val="24"/>
                <w:szCs w:val="24"/>
              </w:rPr>
              <w:t>活性碳过滤介质为活性炭，目的是吸附、去除水中的色素、有机物、余氯、胶体等。</w:t>
            </w:r>
          </w:p>
          <w:p>
            <w:pPr>
              <w:pStyle w:val="57"/>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4、保安过滤</w:t>
            </w:r>
          </w:p>
          <w:p>
            <w:pPr>
              <w:pStyle w:val="57"/>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活性炭过滤后进行</w:t>
            </w:r>
            <w:r>
              <w:rPr>
                <w:rFonts w:hint="default" w:ascii="Times New Roman" w:hAnsi="Times New Roman" w:eastAsia="宋体" w:cs="Times New Roman"/>
                <w:sz w:val="24"/>
                <w:szCs w:val="24"/>
              </w:rPr>
              <w:t>保安过滤</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保安过滤是采用成型的滤材,原液通过滤材,滤渣留在滤材壁上，滤液透过滤材流出，从而达到过滤的目的。</w:t>
            </w:r>
            <w:r>
              <w:rPr>
                <w:rFonts w:hint="default" w:ascii="Times New Roman" w:hAnsi="Times New Roman" w:eastAsia="宋体" w:cs="Times New Roman"/>
                <w:sz w:val="24"/>
                <w:szCs w:val="24"/>
                <w:lang w:val="en-US" w:eastAsia="zh-CN"/>
              </w:rPr>
              <w:t>保安过滤后水质达到反渗透进水要求。</w:t>
            </w:r>
          </w:p>
          <w:p>
            <w:pPr>
              <w:pStyle w:val="57"/>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5、反渗透净水</w:t>
            </w:r>
          </w:p>
          <w:p>
            <w:pPr>
              <w:pStyle w:val="57"/>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保安过滤</w:t>
            </w:r>
            <w:r>
              <w:rPr>
                <w:rFonts w:hint="default" w:ascii="Times New Roman" w:hAnsi="Times New Roman" w:eastAsia="宋体" w:cs="Times New Roman"/>
                <w:sz w:val="24"/>
                <w:szCs w:val="24"/>
                <w:lang w:val="en-US" w:eastAsia="zh-CN"/>
              </w:rPr>
              <w:t>后进行反渗透净水，</w:t>
            </w:r>
            <w:r>
              <w:rPr>
                <w:rFonts w:hint="default" w:ascii="Times New Roman" w:hAnsi="Times New Roman" w:eastAsia="宋体" w:cs="Times New Roman"/>
                <w:sz w:val="24"/>
                <w:szCs w:val="24"/>
              </w:rPr>
              <w:t>反渗透是一种借助于选择透过(半透过）性膜的</w:t>
            </w:r>
            <w:r>
              <w:rPr>
                <w:rFonts w:hint="default" w:ascii="Times New Roman" w:hAnsi="Times New Roman" w:cs="Times New Roman"/>
                <w:sz w:val="24"/>
                <w:szCs w:val="24"/>
                <w:lang w:val="en-US" w:eastAsia="zh-CN"/>
              </w:rPr>
              <w:t>功能</w:t>
            </w:r>
            <w:r>
              <w:rPr>
                <w:rFonts w:hint="default" w:ascii="Times New Roman" w:hAnsi="Times New Roman" w:eastAsia="宋体" w:cs="Times New Roman"/>
                <w:sz w:val="24"/>
                <w:szCs w:val="24"/>
              </w:rPr>
              <w:t>以压力为推动力的膜分离技术，当系统中所加的压力大于进水溶液渗透压时，水分子不断地透过膜，经过产水流道流入中心管，然后在一端流出水中的杂质，如离子、有机物、细菌、病毒等，被截留在膜的进水侧，然后在浓水出水端流出，从而达到分离净化目的。</w:t>
            </w:r>
            <w:r>
              <w:rPr>
                <w:rFonts w:hint="default" w:ascii="Times New Roman" w:hAnsi="Times New Roman" w:cs="Times New Roman"/>
                <w:sz w:val="24"/>
                <w:szCs w:val="24"/>
                <w:lang w:val="en-US" w:eastAsia="zh-CN"/>
              </w:rPr>
              <w:t>此工序产生废水。</w:t>
            </w:r>
          </w:p>
          <w:p>
            <w:pPr>
              <w:pStyle w:val="57"/>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6、混合离子交换</w:t>
            </w:r>
          </w:p>
          <w:p>
            <w:pPr>
              <w:pStyle w:val="36"/>
              <w:numPr>
                <w:ilvl w:val="0"/>
                <w:numId w:val="0"/>
              </w:numPr>
              <w:bidi w:val="0"/>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混合离子交换器（混床），正常工作时,阴阳离子树脂按一定比例合在一起进一步去除水中溶解性离子，设计不同组合其出水电导可达到1~18M-cm用于阳阴交换器,电渗析、反渗透除盐设备后，制取高纯水。离子交换树脂交换容量饱和，即需再生处理，在容器内把阳阴离子分层，进行酸、碱再生，再生完毕后用压缩气体使阳阴离子重新混合。</w:t>
            </w:r>
            <w:r>
              <w:rPr>
                <w:rFonts w:hint="default" w:ascii="Times New Roman" w:hAnsi="Times New Roman" w:cs="Times New Roman"/>
                <w:sz w:val="24"/>
                <w:szCs w:val="24"/>
                <w:lang w:val="en-US" w:eastAsia="zh-CN"/>
              </w:rPr>
              <w:t>此工序产生废水。</w:t>
            </w:r>
          </w:p>
          <w:p>
            <w:pPr>
              <w:pStyle w:val="36"/>
              <w:numPr>
                <w:ilvl w:val="0"/>
                <w:numId w:val="0"/>
              </w:numPr>
              <w:bidi w:val="0"/>
              <w:ind w:left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7、除盐</w:t>
            </w:r>
          </w:p>
          <w:p>
            <w:pPr>
              <w:pStyle w:val="36"/>
              <w:numPr>
                <w:ilvl w:val="0"/>
                <w:numId w:val="0"/>
              </w:numPr>
              <w:bidi w:val="0"/>
              <w:ind w:firstLine="480" w:firstLineChars="200"/>
              <w:jc w:val="both"/>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利用</w:t>
            </w:r>
            <w:r>
              <w:rPr>
                <w:rFonts w:hint="default" w:ascii="Times New Roman" w:hAnsi="Times New Roman" w:eastAsia="宋体" w:cs="Times New Roman"/>
                <w:sz w:val="24"/>
                <w:szCs w:val="24"/>
                <w:lang w:val="en-US" w:eastAsia="zh-CN"/>
              </w:rPr>
              <w:t>除盐箱</w:t>
            </w:r>
            <w:r>
              <w:rPr>
                <w:rFonts w:hint="default" w:ascii="Times New Roman" w:hAnsi="Times New Roman" w:eastAsia="宋体" w:cs="Times New Roman"/>
                <w:sz w:val="24"/>
                <w:szCs w:val="24"/>
              </w:rPr>
              <w:t>，除去悬浮物、胶体和无机的阳离子、阴离子等水中杂质后，所得到的</w:t>
            </w:r>
            <w:r>
              <w:rPr>
                <w:rFonts w:hint="default" w:ascii="Times New Roman" w:hAnsi="Times New Roman" w:eastAsia="宋体" w:cs="Times New Roman"/>
                <w:sz w:val="24"/>
                <w:szCs w:val="24"/>
                <w:lang w:val="en-US" w:eastAsia="zh-CN"/>
              </w:rPr>
              <w:t>除盐水</w:t>
            </w:r>
            <w:r>
              <w:rPr>
                <w:rFonts w:hint="default" w:ascii="Times New Roman" w:hAnsi="Times New Roman" w:eastAsia="宋体" w:cs="Times New Roman"/>
                <w:sz w:val="24"/>
                <w:szCs w:val="24"/>
              </w:rPr>
              <w:t>。除盐水并不意味着水中盐类被全部去除干净，由于技术方面的原因以及制水成本上的考虑，根据不同用途，允许除盐水含有微量杂质。除盐水中杂质越少，水纯度越高</w:t>
            </w:r>
            <w:r>
              <w:rPr>
                <w:rFonts w:hint="default" w:ascii="Times New Roman" w:hAnsi="Times New Roman" w:eastAsia="宋体" w:cs="Times New Roman"/>
                <w:sz w:val="24"/>
                <w:szCs w:val="24"/>
                <w:lang w:eastAsia="zh-CN"/>
              </w:rPr>
              <w:t>。</w:t>
            </w:r>
          </w:p>
          <w:p>
            <w:pPr>
              <w:pStyle w:val="36"/>
              <w:numPr>
                <w:ilvl w:val="0"/>
                <w:numId w:val="8"/>
              </w:numPr>
              <w:bidi w:val="0"/>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加氨</w:t>
            </w:r>
          </w:p>
          <w:p>
            <w:pPr>
              <w:pStyle w:val="36"/>
              <w:numPr>
                <w:ilvl w:val="0"/>
                <w:numId w:val="0"/>
              </w:numPr>
              <w:bidi w:val="0"/>
              <w:ind w:firstLine="480" w:firstLineChars="200"/>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lang w:val="en-US" w:eastAsia="zh-CN"/>
              </w:rPr>
              <w:t>除盐后得到的纯水</w:t>
            </w:r>
            <w:r>
              <w:rPr>
                <w:rFonts w:hint="default" w:ascii="Times New Roman" w:hAnsi="Times New Roman" w:cs="Times New Roman"/>
                <w:sz w:val="24"/>
                <w:szCs w:val="24"/>
                <w:lang w:val="en-US" w:eastAsia="zh-CN"/>
              </w:rPr>
              <w:t>，</w:t>
            </w:r>
            <w:r>
              <w:rPr>
                <w:rFonts w:hint="default" w:ascii="Times New Roman" w:hAnsi="Times New Roman" w:cs="Times New Roman"/>
              </w:rPr>
              <w:t>氯碱新线氢气锅炉</w:t>
            </w:r>
            <w:r>
              <w:rPr>
                <w:rFonts w:hint="default" w:ascii="Times New Roman" w:hAnsi="Times New Roman" w:cs="Times New Roman"/>
                <w:lang w:val="en-US" w:eastAsia="zh-CN"/>
              </w:rPr>
              <w:t>和硫酸老线余热锅炉用水需要</w:t>
            </w:r>
            <w:r>
              <w:rPr>
                <w:rFonts w:hint="default" w:ascii="Times New Roman" w:hAnsi="Times New Roman" w:cs="Times New Roman"/>
                <w:sz w:val="24"/>
                <w:szCs w:val="24"/>
                <w:lang w:val="en-US" w:eastAsia="zh-CN"/>
              </w:rPr>
              <w:t>进行</w:t>
            </w:r>
            <w:r>
              <w:rPr>
                <w:rFonts w:hint="default" w:ascii="Times New Roman" w:hAnsi="Times New Roman" w:eastAsia="宋体" w:cs="Times New Roman"/>
                <w:sz w:val="24"/>
                <w:szCs w:val="24"/>
                <w:lang w:val="en-US" w:eastAsia="zh-CN"/>
              </w:rPr>
              <w:t>加氨处理</w:t>
            </w:r>
            <w:r>
              <w:rPr>
                <w:rFonts w:hint="default" w:ascii="Times New Roman" w:hAnsi="Times New Roman" w:cs="Times New Roman"/>
                <w:sz w:val="24"/>
                <w:szCs w:val="24"/>
                <w:lang w:val="en-US" w:eastAsia="zh-CN"/>
              </w:rPr>
              <w:t>（提高水的pH到9），两条线的锅炉用水量约25m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vertAlign w:val="baseline"/>
                <w:lang w:val="en-US" w:eastAsia="zh-CN"/>
              </w:rPr>
              <w:t>/d。</w:t>
            </w:r>
          </w:p>
          <w:p>
            <w:pPr>
              <w:pStyle w:val="36"/>
              <w:numPr>
                <w:ilvl w:val="0"/>
                <w:numId w:val="8"/>
              </w:numPr>
              <w:bidi w:val="0"/>
              <w:ind w:left="0" w:leftChars="0"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供水</w:t>
            </w:r>
          </w:p>
          <w:p>
            <w:pPr>
              <w:pStyle w:val="36"/>
              <w:numPr>
                <w:ilvl w:val="0"/>
                <w:numId w:val="0"/>
              </w:numPr>
              <w:bidi w:val="0"/>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处理</w:t>
            </w:r>
            <w:r>
              <w:rPr>
                <w:rFonts w:hint="default" w:ascii="Times New Roman" w:hAnsi="Times New Roman" w:eastAsia="宋体" w:cs="Times New Roman"/>
                <w:sz w:val="24"/>
                <w:szCs w:val="24"/>
                <w:lang w:val="en-US" w:eastAsia="zh-CN"/>
              </w:rPr>
              <w:t>后</w:t>
            </w:r>
            <w:r>
              <w:rPr>
                <w:rFonts w:hint="default" w:ascii="Times New Roman" w:hAnsi="Times New Roman" w:cs="Times New Roman"/>
                <w:sz w:val="24"/>
                <w:szCs w:val="24"/>
                <w:lang w:val="en-US" w:eastAsia="zh-CN"/>
              </w:rPr>
              <w:t>的纯水通过输水管道</w:t>
            </w:r>
            <w:r>
              <w:rPr>
                <w:rFonts w:hint="default" w:ascii="Times New Roman" w:hAnsi="Times New Roman" w:eastAsia="宋体" w:cs="Times New Roman"/>
                <w:sz w:val="24"/>
                <w:szCs w:val="24"/>
                <w:lang w:val="en-US" w:eastAsia="zh-CN"/>
              </w:rPr>
              <w:t>输送至用水点</w:t>
            </w:r>
            <w:r>
              <w:rPr>
                <w:rFonts w:hint="default" w:ascii="Times New Roman" w:hAnsi="Times New Roman" w:cs="Times New Roman"/>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737" w:type="dxa"/>
            <w:noWrap w:val="0"/>
            <w:vAlign w:val="center"/>
          </w:tcPr>
          <w:p>
            <w:pPr>
              <w:pStyle w:val="18"/>
              <w:adjustRightInd w:val="0"/>
              <w:snapToGrid w:val="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bCs/>
                <w:kern w:val="2"/>
                <w:sz w:val="24"/>
                <w:szCs w:val="24"/>
              </w:rPr>
              <w:t>与项目有关的原有环境污染问题</w:t>
            </w:r>
          </w:p>
        </w:tc>
        <w:tc>
          <w:tcPr>
            <w:tcW w:w="8334" w:type="dxa"/>
            <w:noWrap w:val="0"/>
            <w:vAlign w:val="top"/>
          </w:tcPr>
          <w:p>
            <w:pPr>
              <w:pStyle w:val="57"/>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湖南恒光科技股份有限公司成立于2008年，法定代表人曹立祥，注册资本8000万元，占地面积300多亩，拥有各类员工300多人，公司下设全资子公司湖南恒光化工有限公司，控股子公司衡阳恒荣高纯半导体材料有限公司、衡阳丰联精细化工有限公司。</w:t>
            </w:r>
          </w:p>
          <w:p>
            <w:pPr>
              <w:pStyle w:val="57"/>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湖南恒光科技股份有限公司位于洪江高新技术产业开发区（洪江区），占地面积13万多平方米，注册资本8000万元，拥有（不含子公司）年产10万吨烧碱、12万吨硫酸、5万吨氯酸钠、3万吨三氯化铝、1万吨三氯化磷主要生产装置，其中氯酸钠、三氯化铝生产规模居湖南省第一，是怀化及周边省市重要的基础化工原料生产基地，洪江高新区龙头企业、省认定高新技术企业、新三板挂牌企业。公司连续三年纳入湖南省重点上市后备企业，公司及其全资子公司均属于省级高新技术企业。</w:t>
            </w:r>
          </w:p>
          <w:p>
            <w:pPr>
              <w:pStyle w:val="57"/>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FF0000"/>
                <w:highlight w:val="none"/>
                <w:u w:val="single"/>
                <w:lang w:val="en-US" w:eastAsia="zh-CN"/>
              </w:rPr>
            </w:pPr>
            <w:r>
              <w:rPr>
                <w:rFonts w:hint="eastAsia" w:cs="Times New Roman"/>
                <w:color w:val="FF0000"/>
                <w:highlight w:val="none"/>
                <w:u w:val="single"/>
                <w:lang w:val="en-US" w:eastAsia="zh-CN"/>
              </w:rPr>
              <w:t>原供水系统环评为《湖南恒光化工有限公司新建年产12万吨硫酸项目环境影响报告书》，于2005年10月28日取得了湖南省环境保护局的批复（湘环评[2005]107号）；2014年12月30日湖南省环境保护局以湘环评验[2014]77号予以验收。</w:t>
            </w:r>
          </w:p>
          <w:p>
            <w:pPr>
              <w:keepNext w:val="0"/>
              <w:keepLines w:val="0"/>
              <w:pageBreakBefore w:val="0"/>
              <w:widowControl w:val="0"/>
              <w:kinsoku/>
              <w:wordWrap/>
              <w:overflowPunct/>
              <w:topLinePunct w:val="0"/>
              <w:autoSpaceDE/>
              <w:autoSpaceDN/>
              <w:bidi w:val="0"/>
              <w:adjustRightInd/>
              <w:snapToGrid/>
              <w:spacing w:line="360" w:lineRule="auto"/>
              <w:ind w:firstLine="560"/>
              <w:jc w:val="left"/>
              <w:textAlignment w:val="auto"/>
              <w:rPr>
                <w:rFonts w:hint="default" w:ascii="Times New Roman" w:hAnsi="Times New Roman" w:eastAsia="宋体" w:cs="Times New Roman"/>
                <w:b/>
                <w:bCs/>
                <w:szCs w:val="22"/>
                <w:u w:val="none" w:color="auto"/>
              </w:rPr>
            </w:pPr>
            <w:r>
              <w:rPr>
                <w:rFonts w:hint="default" w:ascii="Times New Roman" w:hAnsi="Times New Roman" w:eastAsia="宋体" w:cs="Times New Roman"/>
                <w:b/>
                <w:bCs/>
                <w:szCs w:val="22"/>
                <w:u w:val="none" w:color="auto"/>
                <w:lang w:eastAsia="zh-CN"/>
              </w:rPr>
              <w:t>（</w:t>
            </w:r>
            <w:r>
              <w:rPr>
                <w:rFonts w:hint="default" w:ascii="Times New Roman" w:hAnsi="Times New Roman" w:eastAsia="宋体" w:cs="Times New Roman"/>
                <w:b/>
                <w:bCs/>
                <w:szCs w:val="22"/>
                <w:u w:val="none" w:color="auto"/>
                <w:lang w:val="en-US" w:eastAsia="zh-CN"/>
              </w:rPr>
              <w:t>1</w:t>
            </w:r>
            <w:r>
              <w:rPr>
                <w:rFonts w:hint="default" w:ascii="Times New Roman" w:hAnsi="Times New Roman" w:eastAsia="宋体" w:cs="Times New Roman"/>
                <w:b/>
                <w:bCs/>
                <w:szCs w:val="22"/>
                <w:u w:val="none" w:color="auto"/>
                <w:lang w:eastAsia="zh-CN"/>
              </w:rPr>
              <w:t>）</w:t>
            </w:r>
            <w:r>
              <w:rPr>
                <w:rFonts w:hint="default" w:ascii="Times New Roman" w:hAnsi="Times New Roman" w:eastAsia="宋体" w:cs="Times New Roman"/>
                <w:b/>
                <w:bCs/>
                <w:szCs w:val="22"/>
                <w:u w:val="none" w:color="auto"/>
              </w:rPr>
              <w:t>企业现有工程环保手续</w:t>
            </w:r>
          </w:p>
          <w:p>
            <w:pPr>
              <w:pStyle w:val="21"/>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kern w:val="0"/>
                <w:sz w:val="24"/>
                <w:szCs w:val="24"/>
                <w:u w:val="none" w:color="auto"/>
                <w:lang w:val="en-US" w:eastAsia="zh-CN" w:bidi="ar-SA"/>
              </w:rPr>
            </w:pPr>
            <w:r>
              <w:rPr>
                <w:rFonts w:hint="default" w:ascii="Times New Roman" w:hAnsi="Times New Roman" w:eastAsia="宋体" w:cs="Times New Roman"/>
                <w:kern w:val="0"/>
                <w:sz w:val="24"/>
                <w:szCs w:val="24"/>
                <w:u w:val="none" w:color="auto"/>
                <w:lang w:val="en-US" w:eastAsia="zh-CN" w:bidi="ar-SA"/>
              </w:rPr>
              <w:t>企业现有工程环保手续详见下表。</w:t>
            </w:r>
          </w:p>
          <w:p>
            <w:pPr>
              <w:pStyle w:val="10"/>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eastAsia="宋体" w:cs="Times New Roman"/>
                <w:sz w:val="21"/>
                <w:szCs w:val="21"/>
                <w:highlight w:val="none"/>
                <w:u w:val="none" w:color="auto"/>
              </w:rPr>
            </w:pPr>
            <w:r>
              <w:rPr>
                <w:rFonts w:hint="default" w:ascii="Times New Roman" w:hAnsi="Times New Roman" w:eastAsia="宋体" w:cs="Times New Roman"/>
                <w:sz w:val="21"/>
                <w:szCs w:val="21"/>
                <w:highlight w:val="none"/>
                <w:u w:val="none" w:color="auto"/>
              </w:rPr>
              <w:t>表</w:t>
            </w:r>
            <w:r>
              <w:rPr>
                <w:rFonts w:hint="default" w:ascii="Times New Roman" w:hAnsi="Times New Roman" w:eastAsia="宋体" w:cs="Times New Roman"/>
                <w:sz w:val="21"/>
                <w:szCs w:val="21"/>
                <w:highlight w:val="none"/>
                <w:u w:val="none" w:color="auto"/>
                <w:lang w:val="en-US" w:eastAsia="zh-CN"/>
              </w:rPr>
              <w:t>2</w:t>
            </w:r>
            <w:r>
              <w:rPr>
                <w:rFonts w:hint="default" w:ascii="Times New Roman" w:hAnsi="Times New Roman" w:eastAsia="宋体" w:cs="Times New Roman"/>
                <w:sz w:val="21"/>
                <w:szCs w:val="21"/>
                <w:highlight w:val="none"/>
                <w:u w:val="none" w:color="auto"/>
              </w:rPr>
              <w:t>-</w:t>
            </w:r>
            <w:r>
              <w:rPr>
                <w:rFonts w:hint="default" w:ascii="Times New Roman" w:hAnsi="Times New Roman" w:eastAsia="宋体" w:cs="Times New Roman"/>
                <w:sz w:val="21"/>
                <w:szCs w:val="21"/>
                <w:highlight w:val="none"/>
                <w:u w:val="none" w:color="auto"/>
                <w:lang w:val="en-US" w:eastAsia="zh-CN"/>
              </w:rPr>
              <w:t>8</w:t>
            </w:r>
            <w:r>
              <w:rPr>
                <w:rFonts w:hint="default" w:ascii="Times New Roman" w:hAnsi="Times New Roman" w:eastAsia="宋体" w:cs="Times New Roman"/>
                <w:sz w:val="21"/>
                <w:szCs w:val="21"/>
                <w:highlight w:val="none"/>
                <w:u w:val="none" w:color="auto"/>
              </w:rPr>
              <w:t xml:space="preserve"> 现有工程产品种类与生产规模及环保手续履行情况表</w:t>
            </w:r>
          </w:p>
          <w:tbl>
            <w:tblPr>
              <w:tblStyle w:val="22"/>
              <w:tblW w:w="8038" w:type="dxa"/>
              <w:tblInd w:w="-1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36"/>
              <w:gridCol w:w="1469"/>
              <w:gridCol w:w="1470"/>
              <w:gridCol w:w="2272"/>
              <w:gridCol w:w="219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51" w:hRule="atLeast"/>
              </w:trPr>
              <w:tc>
                <w:tcPr>
                  <w:tcW w:w="636" w:type="dxa"/>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编号</w:t>
                  </w:r>
                </w:p>
              </w:tc>
              <w:tc>
                <w:tcPr>
                  <w:tcW w:w="2939" w:type="dxa"/>
                  <w:gridSpan w:val="2"/>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项目名称</w:t>
                  </w:r>
                </w:p>
              </w:tc>
              <w:tc>
                <w:tcPr>
                  <w:tcW w:w="2272" w:type="dxa"/>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环评批复时间与批文号</w:t>
                  </w:r>
                </w:p>
              </w:tc>
              <w:tc>
                <w:tcPr>
                  <w:tcW w:w="2191" w:type="dxa"/>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环评验收时间与批文号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636" w:type="dxa"/>
                  <w:vMerge w:val="restar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1</w:t>
                  </w:r>
                </w:p>
              </w:tc>
              <w:tc>
                <w:tcPr>
                  <w:tcW w:w="2939" w:type="dxa"/>
                  <w:gridSpan w:val="2"/>
                  <w:vMerge w:val="restar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sz w:val="21"/>
                      <w:szCs w:val="21"/>
                      <w:u w:val="none" w:color="auto"/>
                    </w:rPr>
                    <w:t>10万吨/年离子膜烧碱技改项目</w:t>
                  </w:r>
                </w:p>
              </w:tc>
              <w:tc>
                <w:tcPr>
                  <w:tcW w:w="2272" w:type="dxa"/>
                  <w:vMerge w:val="restar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编制了建设项目环境影响登记表，取得了怀化市洪江区环境保护局的审批意见（2008年10月15日）</w:t>
                  </w:r>
                </w:p>
              </w:tc>
              <w:tc>
                <w:tcPr>
                  <w:tcW w:w="2191" w:type="dxa"/>
                  <w:vMerge w:val="restar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lang w:eastAsia="zh-CN"/>
                    </w:rPr>
                  </w:pPr>
                  <w:r>
                    <w:rPr>
                      <w:rFonts w:hint="default" w:ascii="Times New Roman" w:hAnsi="Times New Roman" w:eastAsia="宋体" w:cs="Times New Roman"/>
                      <w:kern w:val="0"/>
                      <w:sz w:val="21"/>
                      <w:szCs w:val="21"/>
                      <w:u w:val="none" w:color="auto"/>
                    </w:rPr>
                    <w:t>离子膜技改已于2010年在洪江区环保局办理备案</w:t>
                  </w:r>
                  <w:r>
                    <w:rPr>
                      <w:rFonts w:hint="default" w:ascii="Times New Roman" w:hAnsi="Times New Roman" w:eastAsia="宋体" w:cs="Times New Roman"/>
                      <w:kern w:val="0"/>
                      <w:sz w:val="21"/>
                      <w:szCs w:val="21"/>
                      <w:u w:val="none" w:color="auto"/>
                      <w:lang w:eastAsia="zh-CN"/>
                    </w:rPr>
                    <w:t>，搬迁至第一次募投地块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64" w:hRule="atLeast"/>
              </w:trPr>
              <w:tc>
                <w:tcPr>
                  <w:tcW w:w="636" w:type="dxa"/>
                  <w:vMerge w:val="continue"/>
                  <w:vAlign w:val="center"/>
                </w:tcPr>
                <w:p>
                  <w:pPr>
                    <w:widowControl/>
                    <w:spacing w:line="240" w:lineRule="auto"/>
                    <w:ind w:firstLine="0" w:firstLineChars="0"/>
                    <w:jc w:val="left"/>
                    <w:rPr>
                      <w:rFonts w:hint="default" w:ascii="Times New Roman" w:hAnsi="Times New Roman" w:eastAsia="宋体" w:cs="Times New Roman"/>
                      <w:kern w:val="0"/>
                      <w:sz w:val="21"/>
                      <w:szCs w:val="21"/>
                      <w:u w:val="none" w:color="auto"/>
                    </w:rPr>
                  </w:pPr>
                </w:p>
              </w:tc>
              <w:tc>
                <w:tcPr>
                  <w:tcW w:w="2939" w:type="dxa"/>
                  <w:gridSpan w:val="2"/>
                  <w:vMerge w:val="continue"/>
                  <w:vAlign w:val="center"/>
                </w:tcPr>
                <w:p>
                  <w:pPr>
                    <w:widowControl/>
                    <w:spacing w:line="240" w:lineRule="auto"/>
                    <w:ind w:firstLine="0" w:firstLineChars="0"/>
                    <w:jc w:val="left"/>
                    <w:rPr>
                      <w:rFonts w:hint="default" w:ascii="Times New Roman" w:hAnsi="Times New Roman" w:eastAsia="宋体" w:cs="Times New Roman"/>
                      <w:kern w:val="0"/>
                      <w:sz w:val="21"/>
                      <w:szCs w:val="21"/>
                      <w:u w:val="none" w:color="auto"/>
                    </w:rPr>
                  </w:pPr>
                </w:p>
              </w:tc>
              <w:tc>
                <w:tcPr>
                  <w:tcW w:w="2272" w:type="dxa"/>
                  <w:vMerge w:val="continue"/>
                  <w:vAlign w:val="center"/>
                </w:tcPr>
                <w:p>
                  <w:pPr>
                    <w:widowControl/>
                    <w:spacing w:line="240" w:lineRule="auto"/>
                    <w:ind w:firstLine="0" w:firstLineChars="0"/>
                    <w:jc w:val="left"/>
                    <w:rPr>
                      <w:rFonts w:hint="default" w:ascii="Times New Roman" w:hAnsi="Times New Roman" w:eastAsia="宋体" w:cs="Times New Roman"/>
                      <w:kern w:val="0"/>
                      <w:sz w:val="21"/>
                      <w:szCs w:val="21"/>
                      <w:u w:val="none" w:color="auto"/>
                    </w:rPr>
                  </w:pPr>
                </w:p>
              </w:tc>
              <w:tc>
                <w:tcPr>
                  <w:tcW w:w="2191" w:type="dxa"/>
                  <w:vMerge w:val="continue"/>
                  <w:vAlign w:val="center"/>
                </w:tcPr>
                <w:p>
                  <w:pPr>
                    <w:widowControl/>
                    <w:spacing w:line="240" w:lineRule="auto"/>
                    <w:ind w:firstLine="0" w:firstLineChars="0"/>
                    <w:jc w:val="left"/>
                    <w:rPr>
                      <w:rFonts w:hint="default" w:ascii="Times New Roman" w:hAnsi="Times New Roman" w:eastAsia="宋体" w:cs="Times New Roman"/>
                      <w:kern w:val="0"/>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12" w:hRule="atLeast"/>
              </w:trPr>
              <w:tc>
                <w:tcPr>
                  <w:tcW w:w="636" w:type="dxa"/>
                  <w:vMerge w:val="continue"/>
                  <w:vAlign w:val="center"/>
                </w:tcPr>
                <w:p>
                  <w:pPr>
                    <w:widowControl/>
                    <w:spacing w:line="240" w:lineRule="auto"/>
                    <w:ind w:firstLine="0" w:firstLineChars="0"/>
                    <w:jc w:val="left"/>
                    <w:rPr>
                      <w:rFonts w:hint="default" w:ascii="Times New Roman" w:hAnsi="Times New Roman" w:eastAsia="宋体" w:cs="Times New Roman"/>
                      <w:kern w:val="0"/>
                      <w:sz w:val="21"/>
                      <w:szCs w:val="21"/>
                      <w:u w:val="none" w:color="auto"/>
                    </w:rPr>
                  </w:pPr>
                </w:p>
              </w:tc>
              <w:tc>
                <w:tcPr>
                  <w:tcW w:w="2939" w:type="dxa"/>
                  <w:gridSpan w:val="2"/>
                  <w:vMerge w:val="continue"/>
                  <w:vAlign w:val="center"/>
                </w:tcPr>
                <w:p>
                  <w:pPr>
                    <w:widowControl/>
                    <w:spacing w:line="240" w:lineRule="auto"/>
                    <w:ind w:firstLine="0" w:firstLineChars="0"/>
                    <w:jc w:val="left"/>
                    <w:rPr>
                      <w:rFonts w:hint="default" w:ascii="Times New Roman" w:hAnsi="Times New Roman" w:eastAsia="宋体" w:cs="Times New Roman"/>
                      <w:kern w:val="0"/>
                      <w:sz w:val="21"/>
                      <w:szCs w:val="21"/>
                      <w:u w:val="none" w:color="auto"/>
                    </w:rPr>
                  </w:pPr>
                </w:p>
              </w:tc>
              <w:tc>
                <w:tcPr>
                  <w:tcW w:w="2272" w:type="dxa"/>
                  <w:vMerge w:val="continue"/>
                  <w:vAlign w:val="center"/>
                </w:tcPr>
                <w:p>
                  <w:pPr>
                    <w:widowControl/>
                    <w:spacing w:line="240" w:lineRule="auto"/>
                    <w:ind w:firstLine="0" w:firstLineChars="0"/>
                    <w:jc w:val="left"/>
                    <w:rPr>
                      <w:rFonts w:hint="default" w:ascii="Times New Roman" w:hAnsi="Times New Roman" w:eastAsia="宋体" w:cs="Times New Roman"/>
                      <w:kern w:val="0"/>
                      <w:sz w:val="21"/>
                      <w:szCs w:val="21"/>
                      <w:u w:val="none" w:color="auto"/>
                    </w:rPr>
                  </w:pPr>
                </w:p>
              </w:tc>
              <w:tc>
                <w:tcPr>
                  <w:tcW w:w="2191" w:type="dxa"/>
                  <w:vMerge w:val="continue"/>
                  <w:vAlign w:val="center"/>
                </w:tcPr>
                <w:p>
                  <w:pPr>
                    <w:widowControl/>
                    <w:spacing w:line="240" w:lineRule="auto"/>
                    <w:ind w:firstLine="0" w:firstLineChars="0"/>
                    <w:jc w:val="left"/>
                    <w:rPr>
                      <w:rFonts w:hint="default" w:ascii="Times New Roman" w:hAnsi="Times New Roman" w:eastAsia="宋体" w:cs="Times New Roman"/>
                      <w:kern w:val="0"/>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64" w:hRule="atLeast"/>
              </w:trPr>
              <w:tc>
                <w:tcPr>
                  <w:tcW w:w="636" w:type="dxa"/>
                  <w:vMerge w:val="restar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2</w:t>
                  </w:r>
                </w:p>
              </w:tc>
              <w:tc>
                <w:tcPr>
                  <w:tcW w:w="2939" w:type="dxa"/>
                  <w:gridSpan w:val="2"/>
                  <w:vMerge w:val="restar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12万吨硫酸生产项目</w:t>
                  </w:r>
                </w:p>
              </w:tc>
              <w:tc>
                <w:tcPr>
                  <w:tcW w:w="2272" w:type="dxa"/>
                  <w:vMerge w:val="restar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湘环评[2005]107号</w:t>
                  </w:r>
                </w:p>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2005.10.28</w:t>
                  </w:r>
                </w:p>
              </w:tc>
              <w:tc>
                <w:tcPr>
                  <w:tcW w:w="2191" w:type="dxa"/>
                  <w:vMerge w:val="restar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一期已验收{2014.12.30</w:t>
                  </w:r>
                </w:p>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湘环评验[2014]77号}；二期已取消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932" w:hRule="atLeast"/>
              </w:trPr>
              <w:tc>
                <w:tcPr>
                  <w:tcW w:w="636" w:type="dxa"/>
                  <w:vMerge w:val="continue"/>
                  <w:vAlign w:val="center"/>
                </w:tcPr>
                <w:p>
                  <w:pPr>
                    <w:widowControl/>
                    <w:spacing w:line="240" w:lineRule="auto"/>
                    <w:ind w:firstLine="0" w:firstLineChars="0"/>
                    <w:jc w:val="left"/>
                    <w:rPr>
                      <w:rFonts w:hint="default" w:ascii="Times New Roman" w:hAnsi="Times New Roman" w:eastAsia="宋体" w:cs="Times New Roman"/>
                      <w:kern w:val="0"/>
                      <w:sz w:val="21"/>
                      <w:szCs w:val="21"/>
                      <w:u w:val="none" w:color="auto"/>
                    </w:rPr>
                  </w:pPr>
                </w:p>
              </w:tc>
              <w:tc>
                <w:tcPr>
                  <w:tcW w:w="2939" w:type="dxa"/>
                  <w:gridSpan w:val="2"/>
                  <w:vMerge w:val="continue"/>
                  <w:vAlign w:val="center"/>
                </w:tcPr>
                <w:p>
                  <w:pPr>
                    <w:widowControl/>
                    <w:spacing w:line="240" w:lineRule="auto"/>
                    <w:ind w:firstLine="0" w:firstLineChars="0"/>
                    <w:jc w:val="left"/>
                    <w:rPr>
                      <w:rFonts w:hint="default" w:ascii="Times New Roman" w:hAnsi="Times New Roman" w:eastAsia="宋体" w:cs="Times New Roman"/>
                      <w:kern w:val="0"/>
                      <w:sz w:val="21"/>
                      <w:szCs w:val="21"/>
                      <w:u w:val="none" w:color="auto"/>
                    </w:rPr>
                  </w:pPr>
                </w:p>
              </w:tc>
              <w:tc>
                <w:tcPr>
                  <w:tcW w:w="2272" w:type="dxa"/>
                  <w:vMerge w:val="continue"/>
                  <w:vAlign w:val="center"/>
                </w:tcPr>
                <w:p>
                  <w:pPr>
                    <w:widowControl/>
                    <w:spacing w:line="240" w:lineRule="auto"/>
                    <w:ind w:firstLine="0" w:firstLineChars="0"/>
                    <w:jc w:val="left"/>
                    <w:rPr>
                      <w:rFonts w:hint="default" w:ascii="Times New Roman" w:hAnsi="Times New Roman" w:eastAsia="宋体" w:cs="Times New Roman"/>
                      <w:kern w:val="0"/>
                      <w:sz w:val="21"/>
                      <w:szCs w:val="21"/>
                      <w:u w:val="none" w:color="auto"/>
                    </w:rPr>
                  </w:pPr>
                </w:p>
              </w:tc>
              <w:tc>
                <w:tcPr>
                  <w:tcW w:w="2191" w:type="dxa"/>
                  <w:vMerge w:val="continue"/>
                  <w:vAlign w:val="center"/>
                </w:tcPr>
                <w:p>
                  <w:pPr>
                    <w:widowControl/>
                    <w:spacing w:line="240" w:lineRule="auto"/>
                    <w:ind w:firstLine="0" w:firstLineChars="0"/>
                    <w:jc w:val="left"/>
                    <w:rPr>
                      <w:rFonts w:hint="default" w:ascii="Times New Roman" w:hAnsi="Times New Roman" w:eastAsia="宋体" w:cs="Times New Roman"/>
                      <w:kern w:val="0"/>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56" w:hRule="atLeast"/>
              </w:trPr>
              <w:tc>
                <w:tcPr>
                  <w:tcW w:w="636" w:type="dxa"/>
                  <w:vMerge w:val="restart"/>
                  <w:tcBorders>
                    <w:bottom w:val="single" w:color="auto" w:sz="6" w:space="0"/>
                  </w:tcBorders>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3</w:t>
                  </w:r>
                </w:p>
              </w:tc>
              <w:tc>
                <w:tcPr>
                  <w:tcW w:w="2939" w:type="dxa"/>
                  <w:gridSpan w:val="2"/>
                  <w:tcBorders>
                    <w:bottom w:val="single" w:color="auto" w:sz="6" w:space="0"/>
                  </w:tcBorders>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2万t/a氯酸钠技改工程项目</w:t>
                  </w:r>
                </w:p>
              </w:tc>
              <w:tc>
                <w:tcPr>
                  <w:tcW w:w="2272" w:type="dxa"/>
                  <w:tcBorders>
                    <w:bottom w:val="single" w:color="auto" w:sz="6" w:space="0"/>
                  </w:tcBorders>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怀环审[2008]22号</w:t>
                  </w:r>
                </w:p>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2008.5.30</w:t>
                  </w:r>
                </w:p>
              </w:tc>
              <w:tc>
                <w:tcPr>
                  <w:tcW w:w="2191" w:type="dxa"/>
                  <w:tcBorders>
                    <w:bottom w:val="single" w:color="auto" w:sz="6" w:space="0"/>
                  </w:tcBorders>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环验[2008]06号</w:t>
                  </w:r>
                </w:p>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2008.8.18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56" w:hRule="atLeast"/>
              </w:trPr>
              <w:tc>
                <w:tcPr>
                  <w:tcW w:w="636" w:type="dxa"/>
                  <w:vMerge w:val="continue"/>
                  <w:tcBorders>
                    <w:bottom w:val="single" w:color="auto" w:sz="4" w:space="0"/>
                  </w:tcBorders>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rPr>
                  </w:pPr>
                </w:p>
              </w:tc>
              <w:tc>
                <w:tcPr>
                  <w:tcW w:w="2939" w:type="dxa"/>
                  <w:gridSpan w:val="2"/>
                  <w:tcBorders>
                    <w:bottom w:val="single" w:color="auto" w:sz="4" w:space="0"/>
                  </w:tcBorders>
                  <w:vAlign w:val="center"/>
                </w:tcPr>
                <w:p>
                  <w:pPr>
                    <w:widowControl/>
                    <w:spacing w:line="240" w:lineRule="auto"/>
                    <w:ind w:firstLine="0" w:firstLineChars="0"/>
                    <w:jc w:val="left"/>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5万t/a氯酸钠技改项目二期工程（3万t/a）</w:t>
                  </w:r>
                </w:p>
              </w:tc>
              <w:tc>
                <w:tcPr>
                  <w:tcW w:w="2272" w:type="dxa"/>
                  <w:tcBorders>
                    <w:bottom w:val="single" w:color="auto" w:sz="4" w:space="0"/>
                  </w:tcBorders>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怀环审[2008]49号</w:t>
                  </w:r>
                </w:p>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2008.12.1</w:t>
                  </w:r>
                </w:p>
              </w:tc>
              <w:tc>
                <w:tcPr>
                  <w:tcW w:w="2191" w:type="dxa"/>
                  <w:tcBorders>
                    <w:bottom w:val="single" w:color="auto" w:sz="4" w:space="0"/>
                  </w:tcBorders>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环验[2009]1号</w:t>
                  </w:r>
                </w:p>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lang w:eastAsia="zh-CN"/>
                    </w:rPr>
                  </w:pPr>
                  <w:r>
                    <w:rPr>
                      <w:rFonts w:hint="default" w:ascii="Times New Roman" w:hAnsi="Times New Roman" w:eastAsia="宋体" w:cs="Times New Roman"/>
                      <w:kern w:val="0"/>
                      <w:sz w:val="21"/>
                      <w:szCs w:val="21"/>
                      <w:u w:val="none" w:color="auto"/>
                    </w:rPr>
                    <w:t>2008.12.28</w:t>
                  </w:r>
                  <w:r>
                    <w:rPr>
                      <w:rFonts w:hint="default" w:ascii="Times New Roman" w:hAnsi="Times New Roman" w:eastAsia="宋体" w:cs="Times New Roman"/>
                      <w:kern w:val="0"/>
                      <w:sz w:val="21"/>
                      <w:szCs w:val="21"/>
                      <w:u w:val="none" w:color="auto"/>
                      <w:lang w:eastAsia="zh-CN"/>
                    </w:rPr>
                    <w:t>，搬迁至第一次募投地块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64" w:hRule="atLeast"/>
              </w:trPr>
              <w:tc>
                <w:tcPr>
                  <w:tcW w:w="636" w:type="dxa"/>
                  <w:vMerge w:val="restar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4</w:t>
                  </w:r>
                </w:p>
              </w:tc>
              <w:tc>
                <w:tcPr>
                  <w:tcW w:w="2939" w:type="dxa"/>
                  <w:gridSpan w:val="2"/>
                  <w:vMerge w:val="restar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3万吨/年氯化铝项目</w:t>
                  </w:r>
                </w:p>
              </w:tc>
              <w:tc>
                <w:tcPr>
                  <w:tcW w:w="2272" w:type="dxa"/>
                  <w:vMerge w:val="restar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湘环评[2014]82号</w:t>
                  </w:r>
                </w:p>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2014.7.1</w:t>
                  </w:r>
                </w:p>
              </w:tc>
              <w:tc>
                <w:tcPr>
                  <w:tcW w:w="2191" w:type="dxa"/>
                  <w:vMerge w:val="restar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怀环审[2017]148号</w:t>
                  </w:r>
                </w:p>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2017.7.13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64" w:hRule="atLeast"/>
              </w:trPr>
              <w:tc>
                <w:tcPr>
                  <w:tcW w:w="636" w:type="dxa"/>
                  <w:vMerge w:val="continue"/>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rPr>
                  </w:pPr>
                </w:p>
              </w:tc>
              <w:tc>
                <w:tcPr>
                  <w:tcW w:w="2939" w:type="dxa"/>
                  <w:gridSpan w:val="2"/>
                  <w:vMerge w:val="continue"/>
                  <w:vAlign w:val="center"/>
                </w:tcPr>
                <w:p>
                  <w:pPr>
                    <w:widowControl/>
                    <w:spacing w:line="240" w:lineRule="auto"/>
                    <w:ind w:firstLine="0" w:firstLineChars="0"/>
                    <w:jc w:val="left"/>
                    <w:rPr>
                      <w:rFonts w:hint="default" w:ascii="Times New Roman" w:hAnsi="Times New Roman" w:eastAsia="宋体" w:cs="Times New Roman"/>
                      <w:kern w:val="0"/>
                      <w:sz w:val="21"/>
                      <w:szCs w:val="21"/>
                      <w:u w:val="none" w:color="auto"/>
                    </w:rPr>
                  </w:pPr>
                </w:p>
              </w:tc>
              <w:tc>
                <w:tcPr>
                  <w:tcW w:w="2272" w:type="dxa"/>
                  <w:vMerge w:val="continue"/>
                  <w:vAlign w:val="center"/>
                </w:tcPr>
                <w:p>
                  <w:pPr>
                    <w:widowControl/>
                    <w:spacing w:line="240" w:lineRule="auto"/>
                    <w:ind w:firstLine="0" w:firstLineChars="0"/>
                    <w:jc w:val="left"/>
                    <w:rPr>
                      <w:rFonts w:hint="default" w:ascii="Times New Roman" w:hAnsi="Times New Roman" w:eastAsia="宋体" w:cs="Times New Roman"/>
                      <w:kern w:val="0"/>
                      <w:sz w:val="21"/>
                      <w:szCs w:val="21"/>
                      <w:u w:val="none" w:color="auto"/>
                    </w:rPr>
                  </w:pPr>
                </w:p>
              </w:tc>
              <w:tc>
                <w:tcPr>
                  <w:tcW w:w="2191" w:type="dxa"/>
                  <w:vMerge w:val="continue"/>
                  <w:vAlign w:val="center"/>
                </w:tcPr>
                <w:p>
                  <w:pPr>
                    <w:widowControl/>
                    <w:spacing w:line="240" w:lineRule="auto"/>
                    <w:ind w:firstLine="0" w:firstLineChars="0"/>
                    <w:jc w:val="left"/>
                    <w:rPr>
                      <w:rFonts w:hint="default" w:ascii="Times New Roman" w:hAnsi="Times New Roman" w:eastAsia="宋体" w:cs="Times New Roman"/>
                      <w:kern w:val="0"/>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12" w:hRule="atLeast"/>
              </w:trPr>
              <w:tc>
                <w:tcPr>
                  <w:tcW w:w="636" w:type="dxa"/>
                  <w:vMerge w:val="continue"/>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rPr>
                  </w:pPr>
                </w:p>
              </w:tc>
              <w:tc>
                <w:tcPr>
                  <w:tcW w:w="2939" w:type="dxa"/>
                  <w:gridSpan w:val="2"/>
                  <w:vMerge w:val="continue"/>
                  <w:vAlign w:val="center"/>
                </w:tcPr>
                <w:p>
                  <w:pPr>
                    <w:widowControl/>
                    <w:spacing w:line="240" w:lineRule="auto"/>
                    <w:ind w:firstLine="0" w:firstLineChars="0"/>
                    <w:jc w:val="left"/>
                    <w:rPr>
                      <w:rFonts w:hint="default" w:ascii="Times New Roman" w:hAnsi="Times New Roman" w:eastAsia="宋体" w:cs="Times New Roman"/>
                      <w:kern w:val="0"/>
                      <w:sz w:val="21"/>
                      <w:szCs w:val="21"/>
                      <w:u w:val="none" w:color="auto"/>
                    </w:rPr>
                  </w:pPr>
                </w:p>
              </w:tc>
              <w:tc>
                <w:tcPr>
                  <w:tcW w:w="2272" w:type="dxa"/>
                  <w:vMerge w:val="continue"/>
                  <w:vAlign w:val="center"/>
                </w:tcPr>
                <w:p>
                  <w:pPr>
                    <w:widowControl/>
                    <w:spacing w:line="240" w:lineRule="auto"/>
                    <w:ind w:firstLine="0" w:firstLineChars="0"/>
                    <w:jc w:val="left"/>
                    <w:rPr>
                      <w:rFonts w:hint="default" w:ascii="Times New Roman" w:hAnsi="Times New Roman" w:eastAsia="宋体" w:cs="Times New Roman"/>
                      <w:kern w:val="0"/>
                      <w:sz w:val="21"/>
                      <w:szCs w:val="21"/>
                      <w:u w:val="none" w:color="auto"/>
                    </w:rPr>
                  </w:pPr>
                </w:p>
              </w:tc>
              <w:tc>
                <w:tcPr>
                  <w:tcW w:w="2191" w:type="dxa"/>
                  <w:vMerge w:val="continue"/>
                  <w:vAlign w:val="center"/>
                </w:tcPr>
                <w:p>
                  <w:pPr>
                    <w:widowControl/>
                    <w:spacing w:line="240" w:lineRule="auto"/>
                    <w:ind w:firstLine="0" w:firstLineChars="0"/>
                    <w:jc w:val="left"/>
                    <w:rPr>
                      <w:rFonts w:hint="default" w:ascii="Times New Roman" w:hAnsi="Times New Roman" w:eastAsia="宋体" w:cs="Times New Roman"/>
                      <w:kern w:val="0"/>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56" w:hRule="atLeast"/>
              </w:trPr>
              <w:tc>
                <w:tcPr>
                  <w:tcW w:w="636"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5</w:t>
                  </w:r>
                </w:p>
              </w:tc>
              <w:tc>
                <w:tcPr>
                  <w:tcW w:w="2939" w:type="dxa"/>
                  <w:gridSpan w:val="2"/>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10000吨/年三氯化磷项目</w:t>
                  </w:r>
                </w:p>
              </w:tc>
              <w:tc>
                <w:tcPr>
                  <w:tcW w:w="2272" w:type="dxa"/>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怀环审[2015]184号</w:t>
                  </w:r>
                </w:p>
                <w:p>
                  <w:pPr>
                    <w:widowControl/>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2015.12.25</w:t>
                  </w:r>
                </w:p>
              </w:tc>
              <w:tc>
                <w:tcPr>
                  <w:tcW w:w="2191"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lang w:eastAsia="zh-CN"/>
                    </w:rPr>
                  </w:pPr>
                  <w:r>
                    <w:rPr>
                      <w:rFonts w:hint="default" w:ascii="Times New Roman" w:hAnsi="Times New Roman" w:eastAsia="宋体" w:cs="Times New Roman"/>
                      <w:kern w:val="0"/>
                      <w:sz w:val="21"/>
                      <w:szCs w:val="21"/>
                      <w:u w:val="none" w:color="auto"/>
                    </w:rPr>
                    <w:t>已由建设单位自行验收</w:t>
                  </w:r>
                  <w:r>
                    <w:rPr>
                      <w:rFonts w:hint="default" w:ascii="Times New Roman" w:hAnsi="Times New Roman" w:eastAsia="宋体" w:cs="Times New Roman"/>
                      <w:kern w:val="0"/>
                      <w:sz w:val="21"/>
                      <w:szCs w:val="21"/>
                      <w:u w:val="none" w:color="auto"/>
                      <w:lang w:eastAsia="zh-CN"/>
                    </w:rPr>
                    <w:t>，搬迁至第一次募投地块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56" w:hRule="atLeast"/>
              </w:trPr>
              <w:tc>
                <w:tcPr>
                  <w:tcW w:w="636" w:type="dxa"/>
                  <w:vMerge w:val="restart"/>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6</w:t>
                  </w:r>
                </w:p>
              </w:tc>
              <w:tc>
                <w:tcPr>
                  <w:tcW w:w="1469" w:type="dxa"/>
                  <w:vMerge w:val="restart"/>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《年产13.3万吨精细化工新材料及配套产品建设项目》一期</w:t>
                  </w:r>
                </w:p>
              </w:tc>
              <w:tc>
                <w:tcPr>
                  <w:tcW w:w="1470"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5万吨/年聚氯化铝项目</w:t>
                  </w:r>
                </w:p>
              </w:tc>
              <w:tc>
                <w:tcPr>
                  <w:tcW w:w="2272" w:type="dxa"/>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怀环审[2020]41号</w:t>
                  </w:r>
                </w:p>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2020.4.20</w:t>
                  </w:r>
                </w:p>
              </w:tc>
              <w:tc>
                <w:tcPr>
                  <w:tcW w:w="2191" w:type="dxa"/>
                  <w:vMerge w:val="restart"/>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lang w:eastAsia="zh-CN"/>
                    </w:rPr>
                  </w:pPr>
                  <w:r>
                    <w:rPr>
                      <w:rFonts w:hint="default" w:ascii="Times New Roman" w:hAnsi="Times New Roman" w:eastAsia="宋体" w:cs="Times New Roman"/>
                      <w:kern w:val="0"/>
                      <w:sz w:val="21"/>
                      <w:szCs w:val="21"/>
                      <w:u w:val="none" w:color="auto"/>
                    </w:rPr>
                    <w:t>尚未开工</w:t>
                  </w:r>
                  <w:r>
                    <w:rPr>
                      <w:rFonts w:hint="default" w:ascii="Times New Roman" w:hAnsi="Times New Roman" w:eastAsia="宋体" w:cs="Times New Roman"/>
                      <w:kern w:val="0"/>
                      <w:sz w:val="21"/>
                      <w:szCs w:val="21"/>
                      <w:u w:val="none" w:color="auto"/>
                      <w:lang w:eastAsia="zh-CN"/>
                    </w:rPr>
                    <w:t>，搬迁至第二次募投地块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976" w:hRule="atLeast"/>
              </w:trPr>
              <w:tc>
                <w:tcPr>
                  <w:tcW w:w="636" w:type="dxa"/>
                  <w:vMerge w:val="continue"/>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rPr>
                  </w:pPr>
                </w:p>
              </w:tc>
              <w:tc>
                <w:tcPr>
                  <w:tcW w:w="1469" w:type="dxa"/>
                  <w:vMerge w:val="continue"/>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rPr>
                  </w:pPr>
                </w:p>
              </w:tc>
              <w:tc>
                <w:tcPr>
                  <w:tcW w:w="1470"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5万吨/年过硫酸盐及配套项目</w:t>
                  </w:r>
                </w:p>
              </w:tc>
              <w:tc>
                <w:tcPr>
                  <w:tcW w:w="2272" w:type="dxa"/>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怀环审[2020]40号</w:t>
                  </w:r>
                </w:p>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2020.4.20</w:t>
                  </w:r>
                </w:p>
              </w:tc>
              <w:tc>
                <w:tcPr>
                  <w:tcW w:w="2191" w:type="dxa"/>
                  <w:vMerge w:val="continue"/>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35" w:hRule="atLeast"/>
              </w:trPr>
              <w:tc>
                <w:tcPr>
                  <w:tcW w:w="636" w:type="dxa"/>
                  <w:vMerge w:val="continue"/>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rPr>
                  </w:pPr>
                </w:p>
              </w:tc>
              <w:tc>
                <w:tcPr>
                  <w:tcW w:w="1469" w:type="dxa"/>
                  <w:vMerge w:val="continue"/>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rPr>
                  </w:pPr>
                </w:p>
              </w:tc>
              <w:tc>
                <w:tcPr>
                  <w:tcW w:w="1470"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5000吨/年氯代吡啶项目</w:t>
                  </w:r>
                </w:p>
              </w:tc>
              <w:tc>
                <w:tcPr>
                  <w:tcW w:w="2272" w:type="dxa"/>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怀环审[2020]42号</w:t>
                  </w:r>
                </w:p>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2020.4.20</w:t>
                  </w:r>
                </w:p>
              </w:tc>
              <w:tc>
                <w:tcPr>
                  <w:tcW w:w="2191" w:type="dxa"/>
                  <w:vMerge w:val="continue"/>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35" w:hRule="atLeast"/>
              </w:trPr>
              <w:tc>
                <w:tcPr>
                  <w:tcW w:w="636" w:type="dxa"/>
                  <w:vMerge w:val="restart"/>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lang w:val="en-US" w:eastAsia="zh-CN"/>
                    </w:rPr>
                  </w:pPr>
                  <w:r>
                    <w:rPr>
                      <w:rFonts w:hint="default" w:ascii="Times New Roman" w:hAnsi="Times New Roman" w:eastAsia="宋体" w:cs="Times New Roman"/>
                      <w:kern w:val="0"/>
                      <w:sz w:val="21"/>
                      <w:szCs w:val="21"/>
                      <w:u w:val="none" w:color="auto"/>
                      <w:lang w:val="en-US" w:eastAsia="zh-CN"/>
                    </w:rPr>
                    <w:t>7</w:t>
                  </w:r>
                </w:p>
              </w:tc>
              <w:tc>
                <w:tcPr>
                  <w:tcW w:w="1469" w:type="dxa"/>
                  <w:vMerge w:val="restart"/>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湖南恒光科技股份有限公司年产10万吨离子膜氯碱搬迁升级改造及配套建设项目环境影响报告书</w:t>
                  </w:r>
                </w:p>
              </w:tc>
              <w:tc>
                <w:tcPr>
                  <w:tcW w:w="1470" w:type="dxa"/>
                  <w:vAlign w:val="center"/>
                </w:tcPr>
                <w:p>
                  <w:pPr>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sz w:val="21"/>
                      <w:szCs w:val="21"/>
                      <w:u w:val="none" w:color="auto"/>
                    </w:rPr>
                    <w:t>10万吨（折百）离子膜烧碱线</w:t>
                  </w:r>
                </w:p>
              </w:tc>
              <w:tc>
                <w:tcPr>
                  <w:tcW w:w="2272" w:type="dxa"/>
                  <w:vMerge w:val="restar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lang w:val="en-US" w:eastAsia="zh-CN"/>
                    </w:rPr>
                  </w:pPr>
                  <w:r>
                    <w:rPr>
                      <w:rFonts w:hint="default" w:ascii="Times New Roman" w:hAnsi="Times New Roman" w:eastAsia="宋体" w:cs="Times New Roman"/>
                      <w:kern w:val="0"/>
                      <w:sz w:val="21"/>
                      <w:szCs w:val="21"/>
                      <w:u w:val="none" w:color="auto"/>
                      <w:lang w:eastAsia="zh-CN"/>
                    </w:rPr>
                    <w:t>怀环评</w:t>
                  </w:r>
                  <w:r>
                    <w:rPr>
                      <w:rFonts w:hint="default" w:ascii="Times New Roman" w:hAnsi="Times New Roman" w:eastAsia="宋体" w:cs="Times New Roman"/>
                      <w:kern w:val="0"/>
                      <w:sz w:val="21"/>
                      <w:szCs w:val="21"/>
                      <w:u w:val="none" w:color="auto"/>
                      <w:lang w:val="en-US" w:eastAsia="zh-CN"/>
                    </w:rPr>
                    <w:t>[2021]104号</w:t>
                  </w:r>
                </w:p>
              </w:tc>
              <w:tc>
                <w:tcPr>
                  <w:tcW w:w="2191"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lang w:eastAsia="zh-CN"/>
                    </w:rPr>
                  </w:pPr>
                  <w:r>
                    <w:rPr>
                      <w:rFonts w:hint="default" w:ascii="Times New Roman" w:hAnsi="Times New Roman" w:eastAsia="宋体" w:cs="Times New Roman"/>
                      <w:kern w:val="0"/>
                      <w:sz w:val="21"/>
                      <w:szCs w:val="21"/>
                      <w:u w:val="none" w:color="auto"/>
                      <w:lang w:eastAsia="zh-CN"/>
                    </w:rPr>
                    <w:t>尚未开工，由老厂区搬迁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35" w:hRule="atLeast"/>
              </w:trPr>
              <w:tc>
                <w:tcPr>
                  <w:tcW w:w="636" w:type="dxa"/>
                  <w:vMerge w:val="continue"/>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rPr>
                  </w:pPr>
                </w:p>
              </w:tc>
              <w:tc>
                <w:tcPr>
                  <w:tcW w:w="1469" w:type="dxa"/>
                  <w:vMerge w:val="continue"/>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rPr>
                  </w:pPr>
                </w:p>
              </w:tc>
              <w:tc>
                <w:tcPr>
                  <w:tcW w:w="1470" w:type="dxa"/>
                  <w:vAlign w:val="center"/>
                </w:tcPr>
                <w:p>
                  <w:pPr>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sz w:val="21"/>
                      <w:szCs w:val="21"/>
                      <w:u w:val="none" w:color="auto"/>
                    </w:rPr>
                    <w:t>5万吨31%高纯盐酸线</w:t>
                  </w:r>
                </w:p>
              </w:tc>
              <w:tc>
                <w:tcPr>
                  <w:tcW w:w="2272" w:type="dxa"/>
                  <w:vMerge w:val="continue"/>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p>
              </w:tc>
              <w:tc>
                <w:tcPr>
                  <w:tcW w:w="2191"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lang w:eastAsia="zh-CN"/>
                    </w:rPr>
                    <w:t>尚未开工，由老厂区搬迁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35" w:hRule="atLeast"/>
              </w:trPr>
              <w:tc>
                <w:tcPr>
                  <w:tcW w:w="636" w:type="dxa"/>
                  <w:vMerge w:val="continue"/>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rPr>
                  </w:pPr>
                </w:p>
              </w:tc>
              <w:tc>
                <w:tcPr>
                  <w:tcW w:w="1469" w:type="dxa"/>
                  <w:vMerge w:val="continue"/>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rPr>
                  </w:pPr>
                </w:p>
              </w:tc>
              <w:tc>
                <w:tcPr>
                  <w:tcW w:w="1470" w:type="dxa"/>
                  <w:vAlign w:val="center"/>
                </w:tcPr>
                <w:p>
                  <w:pPr>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sz w:val="21"/>
                      <w:szCs w:val="21"/>
                      <w:u w:val="none" w:color="auto"/>
                    </w:rPr>
                    <w:t>2万吨10%次氯酸钠线</w:t>
                  </w:r>
                </w:p>
              </w:tc>
              <w:tc>
                <w:tcPr>
                  <w:tcW w:w="2272" w:type="dxa"/>
                  <w:vMerge w:val="continue"/>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p>
              </w:tc>
              <w:tc>
                <w:tcPr>
                  <w:tcW w:w="2191"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lang w:eastAsia="zh-CN"/>
                    </w:rPr>
                    <w:t>尚未开工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35" w:hRule="atLeast"/>
              </w:trPr>
              <w:tc>
                <w:tcPr>
                  <w:tcW w:w="636" w:type="dxa"/>
                  <w:vMerge w:val="continue"/>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rPr>
                  </w:pPr>
                </w:p>
              </w:tc>
              <w:tc>
                <w:tcPr>
                  <w:tcW w:w="1469" w:type="dxa"/>
                  <w:vMerge w:val="continue"/>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rPr>
                  </w:pPr>
                </w:p>
              </w:tc>
              <w:tc>
                <w:tcPr>
                  <w:tcW w:w="1470" w:type="dxa"/>
                  <w:vAlign w:val="center"/>
                </w:tcPr>
                <w:p>
                  <w:pPr>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sz w:val="21"/>
                      <w:szCs w:val="21"/>
                      <w:u w:val="none" w:color="auto"/>
                    </w:rPr>
                    <w:t>5万吨一氯甲烷线</w:t>
                  </w:r>
                </w:p>
              </w:tc>
              <w:tc>
                <w:tcPr>
                  <w:tcW w:w="2272" w:type="dxa"/>
                  <w:vMerge w:val="continue"/>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p>
              </w:tc>
              <w:tc>
                <w:tcPr>
                  <w:tcW w:w="2191"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lang w:eastAsia="zh-CN"/>
                    </w:rPr>
                    <w:t>尚未开工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35" w:hRule="atLeast"/>
              </w:trPr>
              <w:tc>
                <w:tcPr>
                  <w:tcW w:w="636" w:type="dxa"/>
                  <w:vMerge w:val="continue"/>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rPr>
                  </w:pPr>
                </w:p>
              </w:tc>
              <w:tc>
                <w:tcPr>
                  <w:tcW w:w="1469" w:type="dxa"/>
                  <w:vMerge w:val="continue"/>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rPr>
                  </w:pPr>
                </w:p>
              </w:tc>
              <w:tc>
                <w:tcPr>
                  <w:tcW w:w="1470" w:type="dxa"/>
                  <w:vAlign w:val="center"/>
                </w:tcPr>
                <w:p>
                  <w:pPr>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sz w:val="21"/>
                      <w:szCs w:val="21"/>
                      <w:u w:val="none" w:color="auto"/>
                    </w:rPr>
                    <w:t>2万吨二（三氯甲基）碳酸酯</w:t>
                  </w:r>
                </w:p>
              </w:tc>
              <w:tc>
                <w:tcPr>
                  <w:tcW w:w="2272" w:type="dxa"/>
                  <w:vMerge w:val="continue"/>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p>
              </w:tc>
              <w:tc>
                <w:tcPr>
                  <w:tcW w:w="2191"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lang w:eastAsia="zh-CN"/>
                    </w:rPr>
                    <w:t>尚未开工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35" w:hRule="atLeast"/>
              </w:trPr>
              <w:tc>
                <w:tcPr>
                  <w:tcW w:w="636" w:type="dxa"/>
                  <w:vMerge w:val="continue"/>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rPr>
                  </w:pPr>
                </w:p>
              </w:tc>
              <w:tc>
                <w:tcPr>
                  <w:tcW w:w="1469" w:type="dxa"/>
                  <w:vMerge w:val="continue"/>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rPr>
                  </w:pPr>
                </w:p>
              </w:tc>
              <w:tc>
                <w:tcPr>
                  <w:tcW w:w="1470" w:type="dxa"/>
                  <w:vAlign w:val="center"/>
                </w:tcPr>
                <w:p>
                  <w:pPr>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sz w:val="21"/>
                      <w:szCs w:val="21"/>
                      <w:u w:val="none" w:color="auto"/>
                    </w:rPr>
                    <w:t>1万吨三氯化磷线</w:t>
                  </w:r>
                </w:p>
              </w:tc>
              <w:tc>
                <w:tcPr>
                  <w:tcW w:w="2272" w:type="dxa"/>
                  <w:vMerge w:val="continue"/>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p>
              </w:tc>
              <w:tc>
                <w:tcPr>
                  <w:tcW w:w="2191"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lang w:eastAsia="zh-CN"/>
                    </w:rPr>
                    <w:t>尚未开工，由老厂区搬迁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35" w:hRule="atLeast"/>
              </w:trPr>
              <w:tc>
                <w:tcPr>
                  <w:tcW w:w="636" w:type="dxa"/>
                  <w:vMerge w:val="continue"/>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rPr>
                  </w:pPr>
                </w:p>
              </w:tc>
              <w:tc>
                <w:tcPr>
                  <w:tcW w:w="1469" w:type="dxa"/>
                  <w:vMerge w:val="continue"/>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rPr>
                  </w:pPr>
                </w:p>
              </w:tc>
              <w:tc>
                <w:tcPr>
                  <w:tcW w:w="1470" w:type="dxa"/>
                  <w:vAlign w:val="center"/>
                </w:tcPr>
                <w:p>
                  <w:pPr>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sz w:val="21"/>
                      <w:szCs w:val="21"/>
                      <w:u w:val="none" w:color="auto"/>
                    </w:rPr>
                    <w:t>3万吨三氯氧磷线</w:t>
                  </w:r>
                </w:p>
              </w:tc>
              <w:tc>
                <w:tcPr>
                  <w:tcW w:w="2272" w:type="dxa"/>
                  <w:vMerge w:val="continue"/>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p>
              </w:tc>
              <w:tc>
                <w:tcPr>
                  <w:tcW w:w="2191"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lang w:eastAsia="zh-CN"/>
                    </w:rPr>
                    <w:t>尚未开工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35" w:hRule="atLeast"/>
              </w:trPr>
              <w:tc>
                <w:tcPr>
                  <w:tcW w:w="636" w:type="dxa"/>
                  <w:vMerge w:val="continue"/>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rPr>
                  </w:pPr>
                </w:p>
              </w:tc>
              <w:tc>
                <w:tcPr>
                  <w:tcW w:w="1469" w:type="dxa"/>
                  <w:vMerge w:val="continue"/>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rPr>
                  </w:pPr>
                </w:p>
              </w:tc>
              <w:tc>
                <w:tcPr>
                  <w:tcW w:w="1470" w:type="dxa"/>
                  <w:vAlign w:val="center"/>
                </w:tcPr>
                <w:p>
                  <w:pPr>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sz w:val="21"/>
                      <w:szCs w:val="21"/>
                      <w:u w:val="none" w:color="auto"/>
                    </w:rPr>
                    <w:t>1万吨五氯化磷线</w:t>
                  </w:r>
                </w:p>
              </w:tc>
              <w:tc>
                <w:tcPr>
                  <w:tcW w:w="2272" w:type="dxa"/>
                  <w:vMerge w:val="continue"/>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p>
              </w:tc>
              <w:tc>
                <w:tcPr>
                  <w:tcW w:w="2191"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lang w:eastAsia="zh-CN"/>
                    </w:rPr>
                    <w:t>尚未开工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35" w:hRule="atLeast"/>
              </w:trPr>
              <w:tc>
                <w:tcPr>
                  <w:tcW w:w="636" w:type="dxa"/>
                  <w:vMerge w:val="continue"/>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rPr>
                  </w:pPr>
                </w:p>
              </w:tc>
              <w:tc>
                <w:tcPr>
                  <w:tcW w:w="1469" w:type="dxa"/>
                  <w:vMerge w:val="continue"/>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rPr>
                  </w:pPr>
                </w:p>
              </w:tc>
              <w:tc>
                <w:tcPr>
                  <w:tcW w:w="1470" w:type="dxa"/>
                  <w:vAlign w:val="center"/>
                </w:tcPr>
                <w:p>
                  <w:pPr>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sz w:val="21"/>
                      <w:szCs w:val="21"/>
                      <w:u w:val="none" w:color="auto"/>
                    </w:rPr>
                    <w:t>5000吨胡椒环线</w:t>
                  </w:r>
                </w:p>
              </w:tc>
              <w:tc>
                <w:tcPr>
                  <w:tcW w:w="2272" w:type="dxa"/>
                  <w:vMerge w:val="continue"/>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p>
              </w:tc>
              <w:tc>
                <w:tcPr>
                  <w:tcW w:w="2191"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lang w:eastAsia="zh-CN"/>
                    </w:rPr>
                    <w:t>尚未开工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35" w:hRule="atLeast"/>
              </w:trPr>
              <w:tc>
                <w:tcPr>
                  <w:tcW w:w="636"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lang w:val="en-US" w:eastAsia="zh-CN"/>
                    </w:rPr>
                  </w:pPr>
                  <w:r>
                    <w:rPr>
                      <w:rFonts w:hint="default" w:ascii="Times New Roman" w:hAnsi="Times New Roman" w:eastAsia="宋体" w:cs="Times New Roman"/>
                      <w:kern w:val="0"/>
                      <w:sz w:val="21"/>
                      <w:szCs w:val="21"/>
                      <w:u w:val="none" w:color="auto"/>
                      <w:lang w:val="en-US" w:eastAsia="zh-CN"/>
                    </w:rPr>
                    <w:t>8</w:t>
                  </w:r>
                </w:p>
              </w:tc>
              <w:tc>
                <w:tcPr>
                  <w:tcW w:w="2939" w:type="dxa"/>
                  <w:gridSpan w:val="2"/>
                  <w:vAlign w:val="center"/>
                </w:tcPr>
                <w:p>
                  <w:pPr>
                    <w:widowControl/>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kern w:val="0"/>
                      <w:sz w:val="21"/>
                      <w:szCs w:val="21"/>
                      <w:u w:val="none" w:color="auto"/>
                    </w:rPr>
                    <w:t>湖南恒光科技股份有限公司试验室升级改造建设项目</w:t>
                  </w:r>
                </w:p>
              </w:tc>
              <w:tc>
                <w:tcPr>
                  <w:tcW w:w="2272" w:type="dxa"/>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lang w:eastAsia="zh-CN"/>
                    </w:rPr>
                    <w:t>怀环评</w:t>
                  </w:r>
                  <w:r>
                    <w:rPr>
                      <w:rFonts w:hint="default" w:ascii="Times New Roman" w:hAnsi="Times New Roman" w:eastAsia="宋体" w:cs="Times New Roman"/>
                      <w:kern w:val="0"/>
                      <w:sz w:val="21"/>
                      <w:szCs w:val="21"/>
                      <w:u w:val="none" w:color="auto"/>
                      <w:lang w:val="en-US" w:eastAsia="zh-CN"/>
                    </w:rPr>
                    <w:t>[2022]2号</w:t>
                  </w:r>
                </w:p>
              </w:tc>
              <w:tc>
                <w:tcPr>
                  <w:tcW w:w="2191" w:type="dxa"/>
                  <w:vAlign w:val="center"/>
                </w:tcPr>
                <w:p>
                  <w:pPr>
                    <w:widowControl/>
                    <w:spacing w:line="240" w:lineRule="auto"/>
                    <w:ind w:firstLine="0" w:firstLineChars="0"/>
                    <w:jc w:val="center"/>
                    <w:rPr>
                      <w:rFonts w:hint="default" w:ascii="Times New Roman" w:hAnsi="Times New Roman" w:eastAsia="宋体" w:cs="Times New Roman"/>
                      <w:kern w:val="0"/>
                      <w:sz w:val="21"/>
                      <w:szCs w:val="21"/>
                      <w:u w:val="none" w:color="auto"/>
                      <w:lang w:eastAsia="zh-CN"/>
                    </w:rPr>
                  </w:pPr>
                  <w:r>
                    <w:rPr>
                      <w:rFonts w:hint="default" w:ascii="Times New Roman" w:hAnsi="Times New Roman" w:eastAsia="宋体" w:cs="Times New Roman"/>
                      <w:kern w:val="0"/>
                      <w:sz w:val="21"/>
                      <w:szCs w:val="21"/>
                      <w:u w:val="none" w:color="auto"/>
                      <w:lang w:eastAsia="zh-CN"/>
                    </w:rPr>
                    <w:t>尚未开工</w:t>
                  </w:r>
                </w:p>
              </w:tc>
            </w:tr>
          </w:tbl>
          <w:p>
            <w:pPr>
              <w:ind w:firstLine="560"/>
              <w:rPr>
                <w:rFonts w:hint="default" w:ascii="Times New Roman" w:hAnsi="Times New Roman" w:eastAsia="宋体" w:cs="Times New Roman"/>
                <w:b/>
                <w:bCs/>
                <w:u w:val="none" w:color="auto"/>
                <w:lang w:val="en-US" w:eastAsia="zh-CN"/>
              </w:rPr>
            </w:pPr>
            <w:r>
              <w:rPr>
                <w:rFonts w:hint="default" w:ascii="Times New Roman" w:hAnsi="Times New Roman" w:eastAsia="宋体" w:cs="Times New Roman"/>
                <w:b/>
                <w:bCs/>
                <w:u w:val="none" w:color="auto"/>
                <w:lang w:val="en-US" w:eastAsia="zh-CN"/>
              </w:rPr>
              <w:t>（2）企业现有生产线</w:t>
            </w:r>
          </w:p>
          <w:p>
            <w:pPr>
              <w:ind w:firstLine="560"/>
              <w:rPr>
                <w:rFonts w:hint="default" w:ascii="Times New Roman" w:hAnsi="Times New Roman" w:eastAsia="宋体" w:cs="Times New Roman"/>
                <w:u w:val="none" w:color="auto"/>
              </w:rPr>
            </w:pPr>
            <w:r>
              <w:rPr>
                <w:rFonts w:hint="default" w:ascii="Times New Roman" w:hAnsi="Times New Roman" w:eastAsia="宋体" w:cs="Times New Roman"/>
                <w:u w:val="none" w:color="auto"/>
              </w:rPr>
              <w:t>企业</w:t>
            </w:r>
            <w:r>
              <w:rPr>
                <w:rFonts w:hint="default" w:ascii="Times New Roman" w:hAnsi="Times New Roman" w:eastAsia="宋体" w:cs="Times New Roman"/>
                <w:u w:val="none" w:color="auto"/>
                <w:lang w:eastAsia="zh-CN"/>
              </w:rPr>
              <w:t>目前</w:t>
            </w:r>
            <w:r>
              <w:rPr>
                <w:rFonts w:hint="default" w:ascii="Times New Roman" w:hAnsi="Times New Roman" w:eastAsia="宋体" w:cs="Times New Roman"/>
                <w:u w:val="none" w:color="auto"/>
              </w:rPr>
              <w:t>生产线</w:t>
            </w:r>
            <w:r>
              <w:rPr>
                <w:rFonts w:hint="default" w:ascii="Times New Roman" w:hAnsi="Times New Roman" w:eastAsia="宋体" w:cs="Times New Roman"/>
                <w:u w:val="none" w:color="auto"/>
                <w:lang w:eastAsia="zh-CN"/>
              </w:rPr>
              <w:t>设置情况</w:t>
            </w:r>
            <w:r>
              <w:rPr>
                <w:rFonts w:hint="default" w:ascii="Times New Roman" w:hAnsi="Times New Roman" w:eastAsia="宋体" w:cs="Times New Roman"/>
                <w:u w:val="none" w:color="auto"/>
              </w:rPr>
              <w:t>详见下表：</w:t>
            </w:r>
          </w:p>
          <w:p>
            <w:pPr>
              <w:pStyle w:val="10"/>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eastAsia="宋体" w:cs="Times New Roman"/>
                <w:sz w:val="21"/>
                <w:szCs w:val="21"/>
                <w:highlight w:val="none"/>
                <w:u w:val="none" w:color="auto"/>
              </w:rPr>
            </w:pPr>
            <w:r>
              <w:rPr>
                <w:rFonts w:hint="default" w:ascii="Times New Roman" w:hAnsi="Times New Roman" w:eastAsia="宋体" w:cs="Times New Roman"/>
                <w:sz w:val="21"/>
                <w:szCs w:val="21"/>
                <w:highlight w:val="none"/>
                <w:u w:val="none" w:color="auto"/>
              </w:rPr>
              <w:t>表</w:t>
            </w:r>
            <w:r>
              <w:rPr>
                <w:rFonts w:hint="default" w:ascii="Times New Roman" w:hAnsi="Times New Roman" w:eastAsia="宋体" w:cs="Times New Roman"/>
                <w:sz w:val="21"/>
                <w:szCs w:val="21"/>
                <w:highlight w:val="none"/>
                <w:u w:val="none" w:color="auto"/>
                <w:lang w:val="en-US" w:eastAsia="zh-CN"/>
              </w:rPr>
              <w:t>2-9</w:t>
            </w:r>
            <w:r>
              <w:rPr>
                <w:rFonts w:hint="default" w:ascii="Times New Roman" w:hAnsi="Times New Roman" w:eastAsia="宋体" w:cs="Times New Roman"/>
                <w:sz w:val="21"/>
                <w:szCs w:val="21"/>
                <w:highlight w:val="none"/>
                <w:u w:val="none" w:color="auto"/>
              </w:rPr>
              <w:t>企业各生产线设置情况一览表</w:t>
            </w:r>
          </w:p>
          <w:tbl>
            <w:tblPr>
              <w:tblStyle w:val="23"/>
              <w:tblW w:w="5000"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553"/>
              <w:gridCol w:w="2886"/>
              <w:gridCol w:w="943"/>
              <w:gridCol w:w="1211"/>
              <w:gridCol w:w="8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394" w:type="pct"/>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序号</w:t>
                  </w:r>
                </w:p>
              </w:tc>
              <w:tc>
                <w:tcPr>
                  <w:tcW w:w="2744" w:type="pct"/>
                  <w:gridSpan w:val="2"/>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生产线设置</w:t>
                  </w:r>
                </w:p>
              </w:tc>
              <w:tc>
                <w:tcPr>
                  <w:tcW w:w="583" w:type="pct"/>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保留</w:t>
                  </w:r>
                </w:p>
              </w:tc>
              <w:tc>
                <w:tcPr>
                  <w:tcW w:w="748" w:type="pct"/>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搬迁扩建</w:t>
                  </w:r>
                </w:p>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（含搬迁）</w:t>
                  </w:r>
                </w:p>
              </w:tc>
              <w:tc>
                <w:tcPr>
                  <w:tcW w:w="529" w:type="pct"/>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4" w:type="pct"/>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1</w:t>
                  </w:r>
                </w:p>
              </w:tc>
              <w:tc>
                <w:tcPr>
                  <w:tcW w:w="960" w:type="pct"/>
                  <w:vMerge w:val="restart"/>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lang w:eastAsia="zh-CN"/>
                    </w:rPr>
                    <w:t>老厂区</w:t>
                  </w:r>
                  <w:r>
                    <w:rPr>
                      <w:rFonts w:hint="default" w:ascii="Times New Roman" w:hAnsi="Times New Roman" w:eastAsia="宋体" w:cs="Times New Roman"/>
                      <w:sz w:val="21"/>
                      <w:szCs w:val="21"/>
                      <w:u w:val="none" w:color="auto"/>
                    </w:rPr>
                    <w:t>现有</w:t>
                  </w:r>
                </w:p>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工程</w:t>
                  </w:r>
                </w:p>
              </w:tc>
              <w:tc>
                <w:tcPr>
                  <w:tcW w:w="1783" w:type="pct"/>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10万吨离子膜烧碱线</w:t>
                  </w:r>
                </w:p>
              </w:tc>
              <w:tc>
                <w:tcPr>
                  <w:tcW w:w="943"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c>
                <w:tcPr>
                  <w:tcW w:w="1211"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ascii="Wingdings 2" w:hAnsi="Wingdings 2" w:eastAsia="宋体"/>
                      <w:sz w:val="21"/>
                      <w:szCs w:val="21"/>
                      <w:u w:val="none" w:color="auto"/>
                    </w:rPr>
                    <w:t></w:t>
                  </w:r>
                </w:p>
              </w:tc>
              <w:tc>
                <w:tcPr>
                  <w:tcW w:w="856"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394" w:type="pct"/>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2</w:t>
                  </w:r>
                </w:p>
              </w:tc>
              <w:tc>
                <w:tcPr>
                  <w:tcW w:w="960" w:type="pct"/>
                  <w:vMerge w:val="continue"/>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c>
                <w:tcPr>
                  <w:tcW w:w="1783" w:type="pct"/>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1万吨三氯化磷线</w:t>
                  </w:r>
                </w:p>
              </w:tc>
              <w:tc>
                <w:tcPr>
                  <w:tcW w:w="943"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c>
                <w:tcPr>
                  <w:tcW w:w="1211"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ascii="Wingdings 2" w:hAnsi="Wingdings 2" w:eastAsia="宋体"/>
                      <w:sz w:val="21"/>
                      <w:szCs w:val="21"/>
                      <w:u w:val="none" w:color="auto"/>
                    </w:rPr>
                    <w:t></w:t>
                  </w:r>
                </w:p>
              </w:tc>
              <w:tc>
                <w:tcPr>
                  <w:tcW w:w="856"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394" w:type="pct"/>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3</w:t>
                  </w:r>
                </w:p>
              </w:tc>
              <w:tc>
                <w:tcPr>
                  <w:tcW w:w="960" w:type="pct"/>
                  <w:vMerge w:val="continue"/>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c>
                <w:tcPr>
                  <w:tcW w:w="1783" w:type="pct"/>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12万吨硫酸线</w:t>
                  </w:r>
                </w:p>
              </w:tc>
              <w:tc>
                <w:tcPr>
                  <w:tcW w:w="943"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ascii="Wingdings 2" w:hAnsi="Wingdings 2" w:eastAsia="宋体"/>
                      <w:sz w:val="21"/>
                      <w:szCs w:val="21"/>
                      <w:u w:val="none" w:color="auto"/>
                    </w:rPr>
                    <w:t></w:t>
                  </w:r>
                </w:p>
              </w:tc>
              <w:tc>
                <w:tcPr>
                  <w:tcW w:w="1211"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c>
                <w:tcPr>
                  <w:tcW w:w="856"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394" w:type="pct"/>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4</w:t>
                  </w:r>
                </w:p>
              </w:tc>
              <w:tc>
                <w:tcPr>
                  <w:tcW w:w="960" w:type="pct"/>
                  <w:vMerge w:val="continue"/>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c>
                <w:tcPr>
                  <w:tcW w:w="1783" w:type="pct"/>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5万吨氯酸钠线</w:t>
                  </w:r>
                </w:p>
              </w:tc>
              <w:tc>
                <w:tcPr>
                  <w:tcW w:w="943"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c>
                <w:tcPr>
                  <w:tcW w:w="1211"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ascii="Wingdings 2" w:hAnsi="Wingdings 2" w:eastAsia="宋体"/>
                      <w:sz w:val="21"/>
                      <w:szCs w:val="21"/>
                      <w:u w:val="none" w:color="auto"/>
                    </w:rPr>
                    <w:t></w:t>
                  </w:r>
                </w:p>
              </w:tc>
              <w:tc>
                <w:tcPr>
                  <w:tcW w:w="856"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394" w:type="pct"/>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5</w:t>
                  </w:r>
                </w:p>
              </w:tc>
              <w:tc>
                <w:tcPr>
                  <w:tcW w:w="960" w:type="pct"/>
                  <w:vMerge w:val="continue"/>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c>
                <w:tcPr>
                  <w:tcW w:w="1783" w:type="pct"/>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3万吨氯化铝线</w:t>
                  </w:r>
                </w:p>
              </w:tc>
              <w:tc>
                <w:tcPr>
                  <w:tcW w:w="943"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ascii="Wingdings 2" w:hAnsi="Wingdings 2" w:eastAsia="宋体"/>
                      <w:sz w:val="21"/>
                      <w:szCs w:val="21"/>
                      <w:u w:val="none" w:color="auto"/>
                    </w:rPr>
                    <w:t></w:t>
                  </w:r>
                </w:p>
              </w:tc>
              <w:tc>
                <w:tcPr>
                  <w:tcW w:w="1211"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c>
                <w:tcPr>
                  <w:tcW w:w="856"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394" w:type="pct"/>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6</w:t>
                  </w:r>
                </w:p>
              </w:tc>
              <w:tc>
                <w:tcPr>
                  <w:tcW w:w="960" w:type="pct"/>
                  <w:vMerge w:val="restart"/>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lang w:eastAsia="zh-CN"/>
                    </w:rPr>
                    <w:t>第二次募投地块</w:t>
                  </w:r>
                  <w:r>
                    <w:rPr>
                      <w:rFonts w:hint="default" w:ascii="Times New Roman" w:hAnsi="Times New Roman" w:eastAsia="宋体" w:cs="Times New Roman"/>
                      <w:sz w:val="21"/>
                      <w:szCs w:val="21"/>
                      <w:u w:val="none" w:color="auto"/>
                    </w:rPr>
                    <w:t>拟建</w:t>
                  </w:r>
                </w:p>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工程</w:t>
                  </w:r>
                </w:p>
              </w:tc>
              <w:tc>
                <w:tcPr>
                  <w:tcW w:w="1783" w:type="pct"/>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5万吨聚氯化铝线</w:t>
                  </w:r>
                </w:p>
              </w:tc>
              <w:tc>
                <w:tcPr>
                  <w:tcW w:w="943"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c>
                <w:tcPr>
                  <w:tcW w:w="1211"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c>
                <w:tcPr>
                  <w:tcW w:w="856"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ascii="Wingdings 2" w:hAnsi="Wingdings 2" w:eastAsia="宋体"/>
                      <w:sz w:val="21"/>
                      <w:szCs w:val="21"/>
                      <w:u w:val="non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394" w:type="pct"/>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7</w:t>
                  </w:r>
                </w:p>
              </w:tc>
              <w:tc>
                <w:tcPr>
                  <w:tcW w:w="960" w:type="pct"/>
                  <w:vMerge w:val="continue"/>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c>
                <w:tcPr>
                  <w:tcW w:w="1783" w:type="pct"/>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5万吨过硫酸盐线</w:t>
                  </w:r>
                </w:p>
              </w:tc>
              <w:tc>
                <w:tcPr>
                  <w:tcW w:w="943"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c>
                <w:tcPr>
                  <w:tcW w:w="1211"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c>
                <w:tcPr>
                  <w:tcW w:w="856"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ascii="Wingdings 2" w:hAnsi="Wingdings 2" w:eastAsia="宋体"/>
                      <w:sz w:val="21"/>
                      <w:szCs w:val="21"/>
                      <w:u w:val="non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394" w:type="pct"/>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8</w:t>
                  </w:r>
                </w:p>
              </w:tc>
              <w:tc>
                <w:tcPr>
                  <w:tcW w:w="960" w:type="pct"/>
                  <w:vMerge w:val="continue"/>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c>
                <w:tcPr>
                  <w:tcW w:w="1783" w:type="pct"/>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5000吨氯代吡啶线</w:t>
                  </w:r>
                </w:p>
              </w:tc>
              <w:tc>
                <w:tcPr>
                  <w:tcW w:w="943"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c>
                <w:tcPr>
                  <w:tcW w:w="1211"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c>
                <w:tcPr>
                  <w:tcW w:w="856"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ascii="Wingdings 2" w:hAnsi="Wingdings 2" w:eastAsia="宋体"/>
                      <w:sz w:val="21"/>
                      <w:szCs w:val="21"/>
                      <w:u w:val="non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394" w:type="pct"/>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9</w:t>
                  </w:r>
                </w:p>
              </w:tc>
              <w:tc>
                <w:tcPr>
                  <w:tcW w:w="960" w:type="pct"/>
                  <w:vMerge w:val="restart"/>
                  <w:vAlign w:val="center"/>
                </w:tcPr>
                <w:p>
                  <w:pPr>
                    <w:spacing w:line="240" w:lineRule="auto"/>
                    <w:ind w:firstLine="0" w:firstLineChars="0"/>
                    <w:jc w:val="center"/>
                    <w:rPr>
                      <w:rFonts w:hint="default" w:ascii="Times New Roman" w:hAnsi="Times New Roman" w:eastAsia="宋体" w:cs="Times New Roman"/>
                      <w:sz w:val="21"/>
                      <w:szCs w:val="21"/>
                      <w:u w:val="none" w:color="auto"/>
                      <w:lang w:eastAsia="zh-CN"/>
                    </w:rPr>
                  </w:pPr>
                  <w:r>
                    <w:rPr>
                      <w:rFonts w:hint="default" w:ascii="Times New Roman" w:hAnsi="Times New Roman" w:eastAsia="宋体" w:cs="Times New Roman"/>
                      <w:sz w:val="21"/>
                      <w:szCs w:val="21"/>
                      <w:u w:val="none" w:color="auto"/>
                      <w:lang w:eastAsia="zh-CN"/>
                    </w:rPr>
                    <w:t>第一次募投地块拟建工程</w:t>
                  </w:r>
                </w:p>
              </w:tc>
              <w:tc>
                <w:tcPr>
                  <w:tcW w:w="1783" w:type="pct"/>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10万吨（折百）离子膜烧碱线</w:t>
                  </w:r>
                </w:p>
              </w:tc>
              <w:tc>
                <w:tcPr>
                  <w:tcW w:w="943"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c>
                <w:tcPr>
                  <w:tcW w:w="1211"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ascii="Wingdings 2" w:hAnsi="Wingdings 2" w:eastAsia="宋体"/>
                      <w:sz w:val="21"/>
                      <w:szCs w:val="21"/>
                      <w:u w:val="none" w:color="auto"/>
                    </w:rPr>
                    <w:t>（由</w:t>
                  </w:r>
                  <w:r>
                    <w:rPr>
                      <w:rFonts w:hint="eastAsia" w:ascii="Wingdings 2" w:hAnsi="Wingdings 2" w:eastAsia="宋体"/>
                      <w:sz w:val="21"/>
                      <w:szCs w:val="21"/>
                      <w:u w:val="none" w:color="auto"/>
                      <w:lang w:eastAsia="zh-CN"/>
                    </w:rPr>
                    <w:t>老厂区</w:t>
                  </w:r>
                  <w:r>
                    <w:rPr>
                      <w:rFonts w:ascii="Wingdings 2" w:hAnsi="Wingdings 2" w:eastAsia="宋体"/>
                      <w:sz w:val="21"/>
                      <w:szCs w:val="21"/>
                      <w:u w:val="none" w:color="auto"/>
                    </w:rPr>
                    <w:t>搬迁）</w:t>
                  </w:r>
                </w:p>
              </w:tc>
              <w:tc>
                <w:tcPr>
                  <w:tcW w:w="856"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394" w:type="pct"/>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10</w:t>
                  </w:r>
                </w:p>
              </w:tc>
              <w:tc>
                <w:tcPr>
                  <w:tcW w:w="960" w:type="pct"/>
                  <w:vMerge w:val="continue"/>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c>
                <w:tcPr>
                  <w:tcW w:w="1783" w:type="pct"/>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5万吨31%高纯盐酸线</w:t>
                  </w:r>
                </w:p>
              </w:tc>
              <w:tc>
                <w:tcPr>
                  <w:tcW w:w="943"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c>
                <w:tcPr>
                  <w:tcW w:w="1211"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ascii="Wingdings 2" w:hAnsi="Wingdings 2" w:eastAsia="宋体"/>
                      <w:sz w:val="21"/>
                      <w:szCs w:val="21"/>
                      <w:u w:val="none" w:color="auto"/>
                    </w:rPr>
                    <w:t>（由</w:t>
                  </w:r>
                  <w:r>
                    <w:rPr>
                      <w:rFonts w:hint="eastAsia" w:ascii="Wingdings 2" w:hAnsi="Wingdings 2" w:eastAsia="宋体"/>
                      <w:sz w:val="21"/>
                      <w:szCs w:val="21"/>
                      <w:u w:val="none" w:color="auto"/>
                      <w:lang w:eastAsia="zh-CN"/>
                    </w:rPr>
                    <w:t>老厂区</w:t>
                  </w:r>
                  <w:r>
                    <w:rPr>
                      <w:rFonts w:ascii="Wingdings 2" w:hAnsi="Wingdings 2" w:eastAsia="宋体"/>
                      <w:sz w:val="21"/>
                      <w:szCs w:val="21"/>
                      <w:u w:val="none" w:color="auto"/>
                    </w:rPr>
                    <w:t>搬迁）</w:t>
                  </w:r>
                </w:p>
              </w:tc>
              <w:tc>
                <w:tcPr>
                  <w:tcW w:w="856"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394" w:type="pct"/>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11</w:t>
                  </w:r>
                </w:p>
              </w:tc>
              <w:tc>
                <w:tcPr>
                  <w:tcW w:w="960" w:type="pct"/>
                  <w:vMerge w:val="continue"/>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c>
                <w:tcPr>
                  <w:tcW w:w="1783" w:type="pct"/>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2万吨10%次氯酸钠线</w:t>
                  </w:r>
                </w:p>
              </w:tc>
              <w:tc>
                <w:tcPr>
                  <w:tcW w:w="943"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c>
                <w:tcPr>
                  <w:tcW w:w="1211"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c>
                <w:tcPr>
                  <w:tcW w:w="856"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ascii="Wingdings 2" w:hAnsi="Wingdings 2" w:eastAsia="宋体"/>
                      <w:sz w:val="21"/>
                      <w:szCs w:val="21"/>
                      <w:u w:val="non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394" w:type="pct"/>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12</w:t>
                  </w:r>
                </w:p>
              </w:tc>
              <w:tc>
                <w:tcPr>
                  <w:tcW w:w="960" w:type="pct"/>
                  <w:vMerge w:val="continue"/>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c>
                <w:tcPr>
                  <w:tcW w:w="1783" w:type="pct"/>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5万吨一氯甲烷线</w:t>
                  </w:r>
                </w:p>
              </w:tc>
              <w:tc>
                <w:tcPr>
                  <w:tcW w:w="943"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c>
                <w:tcPr>
                  <w:tcW w:w="1211"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c>
                <w:tcPr>
                  <w:tcW w:w="856"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ascii="Wingdings 2" w:hAnsi="Wingdings 2" w:eastAsia="宋体"/>
                      <w:sz w:val="21"/>
                      <w:szCs w:val="21"/>
                      <w:u w:val="non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394" w:type="pct"/>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13</w:t>
                  </w:r>
                </w:p>
              </w:tc>
              <w:tc>
                <w:tcPr>
                  <w:tcW w:w="960" w:type="pct"/>
                  <w:vMerge w:val="continue"/>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c>
                <w:tcPr>
                  <w:tcW w:w="1783" w:type="pct"/>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2万吨二（三氯甲基）碳酸酯</w:t>
                  </w:r>
                </w:p>
              </w:tc>
              <w:tc>
                <w:tcPr>
                  <w:tcW w:w="943"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c>
                <w:tcPr>
                  <w:tcW w:w="1211"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c>
                <w:tcPr>
                  <w:tcW w:w="856"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ascii="Wingdings 2" w:hAnsi="Wingdings 2" w:eastAsia="宋体"/>
                      <w:sz w:val="21"/>
                      <w:szCs w:val="21"/>
                      <w:u w:val="non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394" w:type="pct"/>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14</w:t>
                  </w:r>
                </w:p>
              </w:tc>
              <w:tc>
                <w:tcPr>
                  <w:tcW w:w="960" w:type="pct"/>
                  <w:vMerge w:val="continue"/>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c>
                <w:tcPr>
                  <w:tcW w:w="1783" w:type="pct"/>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1万吨三氯化磷线</w:t>
                  </w:r>
                </w:p>
              </w:tc>
              <w:tc>
                <w:tcPr>
                  <w:tcW w:w="943"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c>
                <w:tcPr>
                  <w:tcW w:w="1211"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ascii="Wingdings 2" w:hAnsi="Wingdings 2" w:eastAsia="宋体"/>
                      <w:sz w:val="21"/>
                      <w:szCs w:val="21"/>
                      <w:u w:val="none" w:color="auto"/>
                    </w:rPr>
                    <w:t>（由</w:t>
                  </w:r>
                  <w:r>
                    <w:rPr>
                      <w:rFonts w:hint="eastAsia" w:ascii="Wingdings 2" w:hAnsi="Wingdings 2" w:eastAsia="宋体"/>
                      <w:sz w:val="21"/>
                      <w:szCs w:val="21"/>
                      <w:u w:val="none" w:color="auto"/>
                      <w:lang w:eastAsia="zh-CN"/>
                    </w:rPr>
                    <w:t>老厂区</w:t>
                  </w:r>
                  <w:r>
                    <w:rPr>
                      <w:rFonts w:ascii="Wingdings 2" w:hAnsi="Wingdings 2" w:eastAsia="宋体"/>
                      <w:sz w:val="21"/>
                      <w:szCs w:val="21"/>
                      <w:u w:val="none" w:color="auto"/>
                    </w:rPr>
                    <w:t>搬迁）</w:t>
                  </w:r>
                </w:p>
              </w:tc>
              <w:tc>
                <w:tcPr>
                  <w:tcW w:w="856"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394" w:type="pct"/>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15</w:t>
                  </w:r>
                </w:p>
              </w:tc>
              <w:tc>
                <w:tcPr>
                  <w:tcW w:w="960" w:type="pct"/>
                  <w:vMerge w:val="continue"/>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c>
                <w:tcPr>
                  <w:tcW w:w="1783" w:type="pct"/>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3万吨三氯氧磷线</w:t>
                  </w:r>
                </w:p>
              </w:tc>
              <w:tc>
                <w:tcPr>
                  <w:tcW w:w="943"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c>
                <w:tcPr>
                  <w:tcW w:w="1211"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c>
                <w:tcPr>
                  <w:tcW w:w="856"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ascii="Wingdings 2" w:hAnsi="Wingdings 2" w:eastAsia="宋体"/>
                      <w:sz w:val="21"/>
                      <w:szCs w:val="21"/>
                      <w:u w:val="non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394" w:type="pct"/>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16</w:t>
                  </w:r>
                </w:p>
              </w:tc>
              <w:tc>
                <w:tcPr>
                  <w:tcW w:w="960" w:type="pct"/>
                  <w:vMerge w:val="continue"/>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c>
                <w:tcPr>
                  <w:tcW w:w="1783" w:type="pct"/>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1万吨五氯化磷线</w:t>
                  </w:r>
                </w:p>
              </w:tc>
              <w:tc>
                <w:tcPr>
                  <w:tcW w:w="943"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c>
                <w:tcPr>
                  <w:tcW w:w="1211"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c>
                <w:tcPr>
                  <w:tcW w:w="856"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ascii="Wingdings 2" w:hAnsi="Wingdings 2" w:eastAsia="宋体"/>
                      <w:sz w:val="21"/>
                      <w:szCs w:val="21"/>
                      <w:u w:val="non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394" w:type="pct"/>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17</w:t>
                  </w:r>
                </w:p>
              </w:tc>
              <w:tc>
                <w:tcPr>
                  <w:tcW w:w="960" w:type="pct"/>
                  <w:vMerge w:val="continue"/>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c>
                <w:tcPr>
                  <w:tcW w:w="1783" w:type="pct"/>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5000吨胡椒环线</w:t>
                  </w:r>
                </w:p>
              </w:tc>
              <w:tc>
                <w:tcPr>
                  <w:tcW w:w="943"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c>
                <w:tcPr>
                  <w:tcW w:w="1211"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p>
              </w:tc>
              <w:tc>
                <w:tcPr>
                  <w:tcW w:w="856"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ascii="Wingdings 2" w:hAnsi="Wingdings 2" w:eastAsia="宋体"/>
                      <w:sz w:val="21"/>
                      <w:szCs w:val="21"/>
                      <w:u w:val="none" w:color="auto"/>
                    </w:rPr>
                    <w:t></w:t>
                  </w:r>
                </w:p>
              </w:tc>
            </w:tr>
          </w:tbl>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2" w:firstLineChars="200"/>
              <w:textAlignment w:val="auto"/>
              <w:rPr>
                <w:rFonts w:hint="default" w:ascii="Times New Roman" w:hAnsi="Times New Roman" w:eastAsia="宋体" w:cs="Times New Roman"/>
                <w:b/>
                <w:bCs/>
                <w:sz w:val="24"/>
                <w:szCs w:val="24"/>
                <w:u w:val="none" w:color="auto"/>
                <w:lang w:val="en-US" w:eastAsia="zh-CN"/>
              </w:rPr>
            </w:pPr>
            <w:r>
              <w:rPr>
                <w:rFonts w:hint="default" w:ascii="Times New Roman" w:hAnsi="Times New Roman" w:eastAsia="宋体" w:cs="Times New Roman"/>
                <w:b/>
                <w:bCs/>
                <w:sz w:val="24"/>
                <w:szCs w:val="24"/>
                <w:u w:val="none" w:color="auto"/>
                <w:lang w:val="en-US" w:eastAsia="zh-CN"/>
              </w:rPr>
              <w:t>2、现有工程污染源防治措施</w:t>
            </w:r>
          </w:p>
          <w:p>
            <w:pPr>
              <w:pStyle w:val="8"/>
              <w:keepNext/>
              <w:keepLines/>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1</w:t>
            </w:r>
            <w:r>
              <w:rPr>
                <w:rFonts w:hint="default" w:ascii="Times New Roman" w:hAnsi="Times New Roman" w:eastAsia="宋体" w:cs="Times New Roman"/>
                <w:lang w:eastAsia="zh-CN"/>
              </w:rPr>
              <w:t>）废气</w:t>
            </w:r>
            <w:r>
              <w:rPr>
                <w:rFonts w:hint="default" w:ascii="Times New Roman" w:hAnsi="Times New Roman" w:eastAsia="宋体" w:cs="Times New Roman"/>
              </w:rPr>
              <w:t>防治措施</w:t>
            </w:r>
          </w:p>
          <w:p>
            <w:pPr>
              <w:pageBreakBefore w:val="0"/>
              <w:kinsoku/>
              <w:wordWrap/>
              <w:overflowPunct/>
              <w:topLinePunct w:val="0"/>
              <w:autoSpaceDE/>
              <w:autoSpaceDN/>
              <w:bidi w:val="0"/>
              <w:spacing w:line="360" w:lineRule="auto"/>
              <w:ind w:firstLine="560"/>
              <w:textAlignment w:val="auto"/>
              <w:rPr>
                <w:rFonts w:hint="default" w:ascii="Times New Roman" w:hAnsi="Times New Roman" w:eastAsia="宋体" w:cs="Times New Roman"/>
                <w:u w:val="none" w:color="auto"/>
              </w:rPr>
            </w:pPr>
            <w:r>
              <w:rPr>
                <w:rFonts w:hint="default" w:ascii="Times New Roman" w:hAnsi="Times New Roman" w:eastAsia="宋体" w:cs="Times New Roman"/>
                <w:u w:val="none" w:color="auto"/>
              </w:rPr>
              <w:t>现有离子膜烧碱生产线大气污染源主要为盐酸合成工段产生的氯化氢尾气，经一级碱吸收处理后由25米高排气筒排放。</w:t>
            </w:r>
          </w:p>
          <w:p>
            <w:pPr>
              <w:pageBreakBefore w:val="0"/>
              <w:kinsoku/>
              <w:wordWrap/>
              <w:overflowPunct/>
              <w:topLinePunct w:val="0"/>
              <w:autoSpaceDE/>
              <w:autoSpaceDN/>
              <w:bidi w:val="0"/>
              <w:spacing w:line="360" w:lineRule="auto"/>
              <w:ind w:firstLine="560"/>
              <w:textAlignment w:val="auto"/>
              <w:rPr>
                <w:rFonts w:hint="default" w:ascii="Times New Roman" w:hAnsi="Times New Roman" w:eastAsia="宋体" w:cs="Times New Roman"/>
                <w:u w:val="none" w:color="auto"/>
              </w:rPr>
            </w:pPr>
            <w:r>
              <w:rPr>
                <w:rFonts w:hint="default" w:ascii="Times New Roman" w:hAnsi="Times New Roman" w:eastAsia="宋体" w:cs="Times New Roman"/>
                <w:u w:val="none" w:color="auto"/>
              </w:rPr>
              <w:t>现有氯酸钠生产线大气污染源主要为电解含氢尾气、除次氯酸钠罐废气，对电解含氢尾气采用碱洗及水洗喷淋净化工艺进行吸收和洗涤，经过纯化后氢气的纯度可达到99.5%以上，为园区双阳林化有限公司双氧水的生产提供优质的氢源。除次氯酸钠罐会产生少量的废气，废气中主要为CO</w:t>
            </w:r>
            <w:r>
              <w:rPr>
                <w:rFonts w:hint="default" w:ascii="Times New Roman" w:hAnsi="Times New Roman" w:eastAsia="宋体" w:cs="Times New Roman"/>
                <w:u w:val="none" w:color="auto"/>
                <w:vertAlign w:val="subscript"/>
              </w:rPr>
              <w:t>2</w:t>
            </w:r>
            <w:r>
              <w:rPr>
                <w:rFonts w:hint="default" w:ascii="Times New Roman" w:hAnsi="Times New Roman" w:eastAsia="宋体" w:cs="Times New Roman"/>
                <w:u w:val="none" w:color="auto"/>
              </w:rPr>
              <w:t>和N</w:t>
            </w:r>
            <w:r>
              <w:rPr>
                <w:rFonts w:hint="default" w:ascii="Times New Roman" w:hAnsi="Times New Roman" w:eastAsia="宋体" w:cs="Times New Roman"/>
                <w:u w:val="none" w:color="auto"/>
                <w:vertAlign w:val="subscript"/>
              </w:rPr>
              <w:t>2</w:t>
            </w:r>
            <w:r>
              <w:rPr>
                <w:rFonts w:hint="default" w:ascii="Times New Roman" w:hAnsi="Times New Roman" w:eastAsia="宋体" w:cs="Times New Roman"/>
                <w:u w:val="none" w:color="auto"/>
              </w:rPr>
              <w:t>，其次含少量Cl</w:t>
            </w:r>
            <w:r>
              <w:rPr>
                <w:rFonts w:hint="default" w:ascii="Times New Roman" w:hAnsi="Times New Roman" w:eastAsia="宋体" w:cs="Times New Roman"/>
                <w:u w:val="none" w:color="auto"/>
                <w:vertAlign w:val="subscript"/>
              </w:rPr>
              <w:t>2</w:t>
            </w:r>
            <w:r>
              <w:rPr>
                <w:rFonts w:hint="default" w:ascii="Times New Roman" w:hAnsi="Times New Roman" w:eastAsia="宋体" w:cs="Times New Roman"/>
                <w:u w:val="none" w:color="auto"/>
              </w:rPr>
              <w:t>和HCl，现有工程采用二级碱洗净化工艺处理，处理后由25米高排气筒排放。</w:t>
            </w:r>
          </w:p>
          <w:p>
            <w:pPr>
              <w:pageBreakBefore w:val="0"/>
              <w:kinsoku/>
              <w:wordWrap/>
              <w:overflowPunct/>
              <w:topLinePunct w:val="0"/>
              <w:autoSpaceDE/>
              <w:autoSpaceDN/>
              <w:bidi w:val="0"/>
              <w:spacing w:line="360" w:lineRule="auto"/>
              <w:ind w:firstLine="560"/>
              <w:textAlignment w:val="auto"/>
              <w:rPr>
                <w:rFonts w:hint="default" w:ascii="Times New Roman" w:hAnsi="Times New Roman" w:eastAsia="宋体" w:cs="Times New Roman"/>
                <w:u w:val="none" w:color="auto"/>
              </w:rPr>
            </w:pPr>
            <w:r>
              <w:rPr>
                <w:rFonts w:hint="default" w:ascii="Times New Roman" w:hAnsi="Times New Roman" w:eastAsia="宋体" w:cs="Times New Roman"/>
                <w:u w:val="none" w:color="auto"/>
              </w:rPr>
              <w:t>现有硫酸生产线的主要大气污染源为制酸尾气，制酸尾气中主要污染因子是残留的二氧化硫、酸雾及粉尘，制酸尾气采用双氧水喷淋塔+除雾器处理，再通过45米高的烟囱外排。</w:t>
            </w:r>
          </w:p>
          <w:p>
            <w:pPr>
              <w:pageBreakBefore w:val="0"/>
              <w:kinsoku/>
              <w:wordWrap/>
              <w:overflowPunct/>
              <w:topLinePunct w:val="0"/>
              <w:autoSpaceDE/>
              <w:autoSpaceDN/>
              <w:bidi w:val="0"/>
              <w:spacing w:line="360" w:lineRule="auto"/>
              <w:ind w:firstLine="560"/>
              <w:textAlignment w:val="auto"/>
              <w:rPr>
                <w:rFonts w:hint="default" w:ascii="Times New Roman" w:hAnsi="Times New Roman" w:eastAsia="宋体" w:cs="Times New Roman"/>
                <w:u w:val="none" w:color="auto"/>
              </w:rPr>
            </w:pPr>
            <w:r>
              <w:rPr>
                <w:rFonts w:hint="default" w:ascii="Times New Roman" w:hAnsi="Times New Roman" w:eastAsia="宋体" w:cs="Times New Roman"/>
                <w:u w:val="none" w:color="auto"/>
              </w:rPr>
              <w:t>现有氯化铝生产线氯化反应炉未参加反应的氯气经一级水洗罐+两级碱洗塔吸收后经高25米高排气筒排放。</w:t>
            </w:r>
          </w:p>
          <w:p>
            <w:pPr>
              <w:pageBreakBefore w:val="0"/>
              <w:kinsoku/>
              <w:wordWrap/>
              <w:overflowPunct/>
              <w:topLinePunct w:val="0"/>
              <w:autoSpaceDE/>
              <w:autoSpaceDN/>
              <w:bidi w:val="0"/>
              <w:spacing w:line="360" w:lineRule="auto"/>
              <w:ind w:firstLine="560"/>
              <w:textAlignment w:val="auto"/>
              <w:rPr>
                <w:rFonts w:hint="default" w:ascii="Times New Roman" w:hAnsi="Times New Roman" w:eastAsia="宋体" w:cs="Times New Roman"/>
                <w:u w:val="none" w:color="auto"/>
              </w:rPr>
            </w:pPr>
            <w:r>
              <w:rPr>
                <w:rFonts w:hint="default" w:ascii="Times New Roman" w:hAnsi="Times New Roman" w:eastAsia="宋体" w:cs="Times New Roman"/>
                <w:u w:val="none" w:color="auto"/>
              </w:rPr>
              <w:t>现有三氯化磷生产线主要大气污染源为氯化反应尾气，采用二级水吸收罐+一级碱吸收塔处理后由25米高排气筒排放。</w:t>
            </w:r>
          </w:p>
          <w:p>
            <w:pPr>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u w:val="none" w:color="auto"/>
              </w:rPr>
            </w:pPr>
            <w:bookmarkStart w:id="17" w:name="_GoBack"/>
            <w:bookmarkEnd w:id="17"/>
            <w:r>
              <w:rPr>
                <w:rFonts w:hint="default" w:ascii="Times New Roman" w:hAnsi="Times New Roman" w:eastAsia="宋体" w:cs="Times New Roman"/>
                <w:u w:val="none" w:color="auto"/>
              </w:rPr>
              <w:t>现有工程涉氯排气筒高度均为25米，满足《烧碱、聚氯乙烯工业污染物排放标准》（GB15581-2016）、《大气污染物综合排放标准》（GB16297-1996）中涉氯排气筒高度不低于25米的要求。</w:t>
            </w:r>
          </w:p>
          <w:p>
            <w:pPr>
              <w:pStyle w:val="8"/>
              <w:pageBreakBefore w:val="0"/>
              <w:kinsoku/>
              <w:wordWrap/>
              <w:overflowPunct/>
              <w:topLinePunct w:val="0"/>
              <w:autoSpaceDE/>
              <w:autoSpaceDN/>
              <w:bidi w:val="0"/>
              <w:spacing w:line="360" w:lineRule="auto"/>
              <w:textAlignment w:val="auto"/>
              <w:rPr>
                <w:rFonts w:hint="default" w:ascii="Times New Roman" w:hAnsi="Times New Roman" w:eastAsia="宋体" w:cs="Times New Roman"/>
                <w:u w:val="none" w:color="auto"/>
              </w:rPr>
            </w:pPr>
            <w:r>
              <w:rPr>
                <w:rFonts w:hint="default" w:ascii="Times New Roman" w:hAnsi="Times New Roman" w:eastAsia="宋体" w:cs="Times New Roman"/>
                <w:u w:val="none" w:color="auto"/>
                <w:lang w:eastAsia="zh-CN"/>
              </w:rPr>
              <w:t>（</w:t>
            </w:r>
            <w:r>
              <w:rPr>
                <w:rFonts w:hint="default" w:ascii="Times New Roman" w:hAnsi="Times New Roman" w:eastAsia="宋体" w:cs="Times New Roman"/>
                <w:u w:val="none" w:color="auto"/>
                <w:lang w:val="en-US" w:eastAsia="zh-CN"/>
              </w:rPr>
              <w:t>2</w:t>
            </w:r>
            <w:r>
              <w:rPr>
                <w:rFonts w:hint="default" w:ascii="Times New Roman" w:hAnsi="Times New Roman" w:eastAsia="宋体" w:cs="Times New Roman"/>
                <w:u w:val="none" w:color="auto"/>
                <w:lang w:eastAsia="zh-CN"/>
              </w:rPr>
              <w:t>）</w:t>
            </w:r>
            <w:r>
              <w:rPr>
                <w:rFonts w:hint="default" w:ascii="Times New Roman" w:hAnsi="Times New Roman" w:eastAsia="宋体" w:cs="Times New Roman"/>
                <w:u w:val="none" w:color="auto"/>
              </w:rPr>
              <w:t>废水防治措施</w:t>
            </w:r>
          </w:p>
          <w:p>
            <w:pPr>
              <w:pageBreakBefore w:val="0"/>
              <w:kinsoku/>
              <w:wordWrap/>
              <w:overflowPunct/>
              <w:topLinePunct w:val="0"/>
              <w:autoSpaceDE/>
              <w:autoSpaceDN/>
              <w:bidi w:val="0"/>
              <w:spacing w:line="360" w:lineRule="auto"/>
              <w:ind w:firstLine="560"/>
              <w:textAlignment w:val="auto"/>
              <w:rPr>
                <w:rFonts w:hint="default" w:ascii="Times New Roman" w:hAnsi="Times New Roman" w:eastAsia="宋体" w:cs="Times New Roman"/>
                <w:u w:val="none" w:color="auto"/>
              </w:rPr>
            </w:pPr>
            <w:r>
              <w:rPr>
                <w:rFonts w:hint="default" w:ascii="Times New Roman" w:hAnsi="Times New Roman" w:eastAsia="宋体" w:cs="Times New Roman"/>
                <w:u w:val="none" w:color="auto"/>
              </w:rPr>
              <w:t>现有工程氯碱线生产废水主要少量的酸碱废水，少量酸性或碱性废水经中和池中和后由厂区总排口集中排放。</w:t>
            </w:r>
          </w:p>
          <w:p>
            <w:pPr>
              <w:pageBreakBefore w:val="0"/>
              <w:kinsoku/>
              <w:wordWrap/>
              <w:overflowPunct/>
              <w:topLinePunct w:val="0"/>
              <w:autoSpaceDE/>
              <w:autoSpaceDN/>
              <w:bidi w:val="0"/>
              <w:spacing w:line="360" w:lineRule="auto"/>
              <w:ind w:firstLine="560"/>
              <w:textAlignment w:val="auto"/>
              <w:rPr>
                <w:rFonts w:hint="default" w:ascii="Times New Roman" w:hAnsi="Times New Roman" w:eastAsia="宋体" w:cs="Times New Roman"/>
                <w:u w:val="none" w:color="auto"/>
              </w:rPr>
            </w:pPr>
            <w:r>
              <w:rPr>
                <w:rFonts w:hint="default" w:ascii="Times New Roman" w:hAnsi="Times New Roman" w:eastAsia="宋体" w:cs="Times New Roman"/>
                <w:u w:val="none" w:color="auto"/>
              </w:rPr>
              <w:t>现有工程氯酸钠线产生的结晶水返回生产系统，含铬废水（六价铬）采用还原沉淀法（酸化后加硫酸亚铁、石灰）预处理后进入厂区综合废水处理站处理，含铬废水预处理系统设计处理规模为30m</w:t>
            </w:r>
            <w:r>
              <w:rPr>
                <w:rFonts w:hint="default" w:ascii="Times New Roman" w:hAnsi="Times New Roman" w:eastAsia="宋体" w:cs="Times New Roman"/>
                <w:u w:val="none" w:color="auto"/>
                <w:vertAlign w:val="superscript"/>
              </w:rPr>
              <w:t>3</w:t>
            </w:r>
            <w:r>
              <w:rPr>
                <w:rFonts w:hint="default" w:ascii="Times New Roman" w:hAnsi="Times New Roman" w:eastAsia="宋体" w:cs="Times New Roman"/>
                <w:u w:val="none" w:color="auto"/>
              </w:rPr>
              <w:t>/d，现有氯酸钠线含铬废水产生量为10～15m</w:t>
            </w:r>
            <w:r>
              <w:rPr>
                <w:rFonts w:hint="default" w:ascii="Times New Roman" w:hAnsi="Times New Roman" w:eastAsia="宋体" w:cs="Times New Roman"/>
                <w:u w:val="none" w:color="auto"/>
                <w:vertAlign w:val="superscript"/>
              </w:rPr>
              <w:t>3</w:t>
            </w:r>
            <w:r>
              <w:rPr>
                <w:rFonts w:hint="default" w:ascii="Times New Roman" w:hAnsi="Times New Roman" w:eastAsia="宋体" w:cs="Times New Roman"/>
                <w:u w:val="none" w:color="auto"/>
              </w:rPr>
              <w:t>/d。</w:t>
            </w:r>
          </w:p>
          <w:p>
            <w:pPr>
              <w:pageBreakBefore w:val="0"/>
              <w:kinsoku/>
              <w:wordWrap/>
              <w:overflowPunct/>
              <w:topLinePunct w:val="0"/>
              <w:autoSpaceDE/>
              <w:autoSpaceDN/>
              <w:bidi w:val="0"/>
              <w:spacing w:line="360" w:lineRule="auto"/>
              <w:ind w:firstLine="560"/>
              <w:textAlignment w:val="auto"/>
              <w:rPr>
                <w:rFonts w:hint="default" w:ascii="Times New Roman" w:hAnsi="Times New Roman" w:eastAsia="宋体" w:cs="Times New Roman"/>
                <w:u w:val="none" w:color="auto"/>
              </w:rPr>
            </w:pPr>
            <w:r>
              <w:rPr>
                <w:rFonts w:hint="default" w:ascii="Times New Roman" w:hAnsi="Times New Roman" w:eastAsia="宋体" w:cs="Times New Roman"/>
                <w:u w:val="none" w:color="auto"/>
              </w:rPr>
              <w:t>现有工程硫酸线产生的酸洗净化废水采用高效硫化碱除砷法预处理后，大部分回用于酸洗净化、滚筒增湿排渣，剩余少量的用于含铬废水的酸化，含砷废水处理系统设计处理规模为50m</w:t>
            </w:r>
            <w:r>
              <w:rPr>
                <w:rFonts w:hint="default" w:ascii="Times New Roman" w:hAnsi="Times New Roman" w:eastAsia="宋体" w:cs="Times New Roman"/>
                <w:u w:val="none" w:color="auto"/>
                <w:vertAlign w:val="superscript"/>
              </w:rPr>
              <w:t>3</w:t>
            </w:r>
            <w:r>
              <w:rPr>
                <w:rFonts w:hint="default" w:ascii="Times New Roman" w:hAnsi="Times New Roman" w:eastAsia="宋体" w:cs="Times New Roman"/>
                <w:u w:val="none" w:color="auto"/>
              </w:rPr>
              <w:t>/d，现有硫酸线酸洗净化废水产生量为15～20m</w:t>
            </w:r>
            <w:r>
              <w:rPr>
                <w:rFonts w:hint="default" w:ascii="Times New Roman" w:hAnsi="Times New Roman" w:eastAsia="宋体" w:cs="Times New Roman"/>
                <w:u w:val="none" w:color="auto"/>
                <w:vertAlign w:val="superscript"/>
              </w:rPr>
              <w:t>3</w:t>
            </w:r>
            <w:r>
              <w:rPr>
                <w:rFonts w:hint="default" w:ascii="Times New Roman" w:hAnsi="Times New Roman" w:eastAsia="宋体" w:cs="Times New Roman"/>
                <w:u w:val="none" w:color="auto"/>
              </w:rPr>
              <w:t>/d。</w:t>
            </w:r>
          </w:p>
          <w:p>
            <w:pPr>
              <w:pageBreakBefore w:val="0"/>
              <w:kinsoku/>
              <w:wordWrap/>
              <w:overflowPunct/>
              <w:topLinePunct w:val="0"/>
              <w:autoSpaceDE/>
              <w:autoSpaceDN/>
              <w:bidi w:val="0"/>
              <w:spacing w:line="360" w:lineRule="auto"/>
              <w:ind w:firstLine="560"/>
              <w:textAlignment w:val="auto"/>
              <w:rPr>
                <w:rFonts w:hint="default" w:ascii="Times New Roman" w:hAnsi="Times New Roman" w:eastAsia="宋体" w:cs="Times New Roman"/>
                <w:u w:val="none" w:color="auto"/>
              </w:rPr>
            </w:pPr>
            <w:r>
              <w:rPr>
                <w:rFonts w:hint="default" w:ascii="Times New Roman" w:hAnsi="Times New Roman" w:eastAsia="宋体" w:cs="Times New Roman"/>
                <w:u w:val="none" w:color="auto"/>
              </w:rPr>
              <w:t>现有工程氯化铝线生产过程废水（地坪冲洗水、废气处理废水）排入厂区综合废水处理站处理。</w:t>
            </w:r>
          </w:p>
          <w:p>
            <w:pPr>
              <w:pageBreakBefore w:val="0"/>
              <w:kinsoku/>
              <w:wordWrap/>
              <w:overflowPunct/>
              <w:topLinePunct w:val="0"/>
              <w:autoSpaceDE/>
              <w:autoSpaceDN/>
              <w:bidi w:val="0"/>
              <w:spacing w:line="360" w:lineRule="auto"/>
              <w:ind w:firstLine="560"/>
              <w:textAlignment w:val="auto"/>
              <w:rPr>
                <w:rFonts w:hint="default" w:ascii="Times New Roman" w:hAnsi="Times New Roman" w:eastAsia="宋体" w:cs="Times New Roman"/>
                <w:u w:val="none" w:color="auto"/>
              </w:rPr>
            </w:pPr>
            <w:r>
              <w:rPr>
                <w:rFonts w:hint="default" w:ascii="Times New Roman" w:hAnsi="Times New Roman" w:eastAsia="宋体" w:cs="Times New Roman"/>
                <w:u w:val="none" w:color="auto"/>
              </w:rPr>
              <w:t>现有工程三氯化磷线生产过程废水（黄磷保存过程溢流水、地坪冲洗水、废气处理废水）排入厂区综合废水处理站处理。</w:t>
            </w:r>
          </w:p>
          <w:p>
            <w:pPr>
              <w:pageBreakBefore w:val="0"/>
              <w:kinsoku/>
              <w:wordWrap/>
              <w:overflowPunct/>
              <w:topLinePunct w:val="0"/>
              <w:autoSpaceDE/>
              <w:autoSpaceDN/>
              <w:bidi w:val="0"/>
              <w:spacing w:line="360" w:lineRule="auto"/>
              <w:ind w:firstLine="560"/>
              <w:textAlignment w:val="auto"/>
              <w:rPr>
                <w:rFonts w:hint="default" w:ascii="Times New Roman" w:hAnsi="Times New Roman" w:eastAsia="宋体" w:cs="Times New Roman"/>
                <w:u w:val="none" w:color="auto"/>
              </w:rPr>
            </w:pPr>
            <w:r>
              <w:rPr>
                <w:rFonts w:hint="default" w:ascii="Times New Roman" w:hAnsi="Times New Roman" w:eastAsia="宋体" w:cs="Times New Roman"/>
                <w:u w:val="none" w:color="auto"/>
              </w:rPr>
              <w:t>厂区综合废水处理站采用中和、絮凝沉淀、澄清处理工艺，设计处理规模为1000m</w:t>
            </w:r>
            <w:r>
              <w:rPr>
                <w:rFonts w:hint="default" w:ascii="Times New Roman" w:hAnsi="Times New Roman" w:eastAsia="宋体" w:cs="Times New Roman"/>
                <w:u w:val="none" w:color="auto"/>
                <w:vertAlign w:val="superscript"/>
              </w:rPr>
              <w:t>3</w:t>
            </w:r>
            <w:r>
              <w:rPr>
                <w:rFonts w:hint="default" w:ascii="Times New Roman" w:hAnsi="Times New Roman" w:eastAsia="宋体" w:cs="Times New Roman"/>
                <w:u w:val="none" w:color="auto"/>
              </w:rPr>
              <w:t>/d。</w:t>
            </w:r>
          </w:p>
          <w:p>
            <w:pPr>
              <w:pageBreakBefore w:val="0"/>
              <w:kinsoku/>
              <w:wordWrap/>
              <w:overflowPunct/>
              <w:topLinePunct w:val="0"/>
              <w:autoSpaceDE/>
              <w:autoSpaceDN/>
              <w:bidi w:val="0"/>
              <w:spacing w:line="360" w:lineRule="auto"/>
              <w:ind w:firstLine="560"/>
              <w:textAlignment w:val="auto"/>
              <w:rPr>
                <w:rFonts w:hint="default" w:ascii="Times New Roman" w:hAnsi="Times New Roman" w:eastAsia="宋体" w:cs="Times New Roman"/>
                <w:u w:val="none" w:color="auto"/>
              </w:rPr>
            </w:pPr>
            <w:r>
              <w:rPr>
                <w:rFonts w:hint="default" w:ascii="Times New Roman" w:hAnsi="Times New Roman" w:eastAsia="宋体" w:cs="Times New Roman"/>
                <w:u w:val="none" w:color="auto"/>
              </w:rPr>
              <w:t>现有工程生活废水主要为办公楼卫生、厕所冲洗水，以及食堂、洗澡堂产生的废水，主要采用隔油沉淀池（针对食堂含油废水）、化粪池（共设5个，办公楼后面公共卫生间设一个，氯碱线界区设1个，硫酸线界区设1个，氯酸钠线界区设1个、氯化铝线界区设1个）处理后，通过各界区废水地沟流入公司总排放口，进入园区污水管网，经园区污水处理厂处理后排入沅江。</w:t>
            </w:r>
          </w:p>
          <w:p>
            <w:pPr>
              <w:pageBreakBefore w:val="0"/>
              <w:kinsoku/>
              <w:wordWrap/>
              <w:overflowPunct/>
              <w:topLinePunct w:val="0"/>
              <w:autoSpaceDE/>
              <w:autoSpaceDN/>
              <w:bidi w:val="0"/>
              <w:spacing w:line="360" w:lineRule="auto"/>
              <w:ind w:firstLine="560"/>
              <w:textAlignment w:val="auto"/>
              <w:rPr>
                <w:rFonts w:hint="default" w:ascii="Times New Roman" w:hAnsi="Times New Roman" w:eastAsia="宋体" w:cs="Times New Roman"/>
                <w:u w:val="none" w:color="auto"/>
              </w:rPr>
            </w:pPr>
            <w:r>
              <w:rPr>
                <w:rFonts w:hint="default" w:ascii="Times New Roman" w:hAnsi="Times New Roman" w:eastAsia="宋体" w:cs="Times New Roman"/>
                <w:u w:val="none" w:color="auto"/>
              </w:rPr>
              <w:t>厂内各废水处理设施情况详见下表。</w:t>
            </w:r>
          </w:p>
          <w:p>
            <w:pPr>
              <w:ind w:firstLine="0" w:firstLineChars="0"/>
              <w:jc w:val="center"/>
              <w:rPr>
                <w:rFonts w:hint="default" w:ascii="Times New Roman" w:hAnsi="Times New Roman" w:eastAsia="宋体" w:cs="Times New Roman"/>
                <w:b/>
                <w:kern w:val="2"/>
                <w:sz w:val="21"/>
                <w:szCs w:val="21"/>
                <w:highlight w:val="none"/>
                <w:u w:val="none" w:color="auto"/>
                <w:lang w:val="en-US" w:eastAsia="zh-CN" w:bidi="ar-SA"/>
              </w:rPr>
            </w:pPr>
            <w:r>
              <w:rPr>
                <w:rFonts w:hint="default" w:ascii="Times New Roman" w:hAnsi="Times New Roman" w:eastAsia="宋体" w:cs="Times New Roman"/>
                <w:b/>
                <w:kern w:val="2"/>
                <w:sz w:val="21"/>
                <w:szCs w:val="21"/>
                <w:highlight w:val="none"/>
                <w:u w:val="none" w:color="auto"/>
                <w:lang w:val="en-US" w:eastAsia="zh-CN" w:bidi="ar-SA"/>
              </w:rPr>
              <w:t>表2-10 现有工程主要污水处理设施情况一览表</w:t>
            </w:r>
          </w:p>
          <w:tbl>
            <w:tblPr>
              <w:tblStyle w:val="22"/>
              <w:tblW w:w="5000" w:type="pct"/>
              <w:tblInd w:w="-1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27"/>
              <w:gridCol w:w="1615"/>
              <w:gridCol w:w="1597"/>
              <w:gridCol w:w="19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1810"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名称</w:t>
                  </w:r>
                </w:p>
              </w:tc>
              <w:tc>
                <w:tcPr>
                  <w:tcW w:w="998"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容积</w:t>
                  </w:r>
                </w:p>
              </w:tc>
              <w:tc>
                <w:tcPr>
                  <w:tcW w:w="987"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用途</w:t>
                  </w:r>
                </w:p>
              </w:tc>
              <w:tc>
                <w:tcPr>
                  <w:tcW w:w="1205"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投加药剂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trPr>
              <w:tc>
                <w:tcPr>
                  <w:tcW w:w="1810"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酸洗净化废水除砷罐</w:t>
                  </w:r>
                </w:p>
              </w:tc>
              <w:tc>
                <w:tcPr>
                  <w:tcW w:w="998"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10m</w:t>
                  </w:r>
                  <w:r>
                    <w:rPr>
                      <w:rFonts w:hint="default" w:ascii="Times New Roman" w:hAnsi="Times New Roman" w:eastAsia="宋体" w:cs="Times New Roman"/>
                      <w:kern w:val="0"/>
                      <w:sz w:val="21"/>
                      <w:szCs w:val="21"/>
                      <w:u w:val="none" w:color="auto"/>
                      <w:vertAlign w:val="superscript"/>
                    </w:rPr>
                    <w:t>3</w:t>
                  </w:r>
                </w:p>
              </w:tc>
              <w:tc>
                <w:tcPr>
                  <w:tcW w:w="987"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除砷</w:t>
                  </w:r>
                </w:p>
              </w:tc>
              <w:tc>
                <w:tcPr>
                  <w:tcW w:w="1205"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硫化钠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44" w:hRule="atLeast"/>
              </w:trPr>
              <w:tc>
                <w:tcPr>
                  <w:tcW w:w="1810"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砷渣压滤机</w:t>
                  </w:r>
                </w:p>
              </w:tc>
              <w:tc>
                <w:tcPr>
                  <w:tcW w:w="998"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lang w:val="en-US" w:eastAsia="zh-CN"/>
                    </w:rPr>
                  </w:pPr>
                  <w:r>
                    <w:rPr>
                      <w:rFonts w:hint="default" w:ascii="Times New Roman" w:hAnsi="Times New Roman" w:eastAsia="宋体" w:cs="Times New Roman"/>
                      <w:kern w:val="0"/>
                      <w:sz w:val="21"/>
                      <w:szCs w:val="21"/>
                      <w:u w:val="none" w:color="auto"/>
                      <w:lang w:val="en-US" w:eastAsia="zh-CN"/>
                    </w:rPr>
                    <w:t>/</w:t>
                  </w:r>
                </w:p>
              </w:tc>
              <w:tc>
                <w:tcPr>
                  <w:tcW w:w="987"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砷渣脱水</w:t>
                  </w:r>
                </w:p>
              </w:tc>
              <w:tc>
                <w:tcPr>
                  <w:tcW w:w="1205"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1810"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含铬废水酸化、还原罐</w:t>
                  </w:r>
                </w:p>
              </w:tc>
              <w:tc>
                <w:tcPr>
                  <w:tcW w:w="998"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30m</w:t>
                  </w:r>
                  <w:r>
                    <w:rPr>
                      <w:rFonts w:hint="default" w:ascii="Times New Roman" w:hAnsi="Times New Roman" w:eastAsia="宋体" w:cs="Times New Roman"/>
                      <w:kern w:val="0"/>
                      <w:sz w:val="21"/>
                      <w:szCs w:val="21"/>
                      <w:u w:val="none" w:color="auto"/>
                      <w:vertAlign w:val="superscript"/>
                    </w:rPr>
                    <w:t>3</w:t>
                  </w:r>
                </w:p>
              </w:tc>
              <w:tc>
                <w:tcPr>
                  <w:tcW w:w="987" w:type="pct"/>
                  <w:vMerge w:val="restar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除六价铬</w:t>
                  </w:r>
                </w:p>
              </w:tc>
              <w:tc>
                <w:tcPr>
                  <w:tcW w:w="1205"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硫酸、硫酸亚铁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1810"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含铬废水沉淀罐</w:t>
                  </w:r>
                </w:p>
              </w:tc>
              <w:tc>
                <w:tcPr>
                  <w:tcW w:w="998"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20m</w:t>
                  </w:r>
                  <w:r>
                    <w:rPr>
                      <w:rFonts w:hint="default" w:ascii="Times New Roman" w:hAnsi="Times New Roman" w:eastAsia="宋体" w:cs="Times New Roman"/>
                      <w:kern w:val="0"/>
                      <w:sz w:val="21"/>
                      <w:szCs w:val="21"/>
                      <w:u w:val="none" w:color="auto"/>
                      <w:vertAlign w:val="superscript"/>
                    </w:rPr>
                    <w:t>3</w:t>
                  </w:r>
                </w:p>
              </w:tc>
              <w:tc>
                <w:tcPr>
                  <w:tcW w:w="987" w:type="pct"/>
                  <w:vMerge w:val="continue"/>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p>
              </w:tc>
              <w:tc>
                <w:tcPr>
                  <w:tcW w:w="1205"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石灰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10"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厂区综合废水中和池</w:t>
                  </w:r>
                </w:p>
              </w:tc>
              <w:tc>
                <w:tcPr>
                  <w:tcW w:w="998"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30 m</w:t>
                  </w:r>
                  <w:r>
                    <w:rPr>
                      <w:rFonts w:hint="default" w:ascii="Times New Roman" w:hAnsi="Times New Roman" w:eastAsia="宋体" w:cs="Times New Roman"/>
                      <w:kern w:val="0"/>
                      <w:sz w:val="21"/>
                      <w:szCs w:val="21"/>
                      <w:u w:val="none" w:color="auto"/>
                      <w:vertAlign w:val="superscript"/>
                    </w:rPr>
                    <w:t>3</w:t>
                  </w:r>
                </w:p>
              </w:tc>
              <w:tc>
                <w:tcPr>
                  <w:tcW w:w="987"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中和</w:t>
                  </w:r>
                </w:p>
              </w:tc>
              <w:tc>
                <w:tcPr>
                  <w:tcW w:w="1205"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石灰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1810"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综合废水絮凝反应池</w:t>
                  </w:r>
                </w:p>
              </w:tc>
              <w:tc>
                <w:tcPr>
                  <w:tcW w:w="998"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30m</w:t>
                  </w:r>
                  <w:r>
                    <w:rPr>
                      <w:rFonts w:hint="default" w:ascii="Times New Roman" w:hAnsi="Times New Roman" w:eastAsia="宋体" w:cs="Times New Roman"/>
                      <w:kern w:val="0"/>
                      <w:sz w:val="21"/>
                      <w:szCs w:val="21"/>
                      <w:u w:val="none" w:color="auto"/>
                      <w:vertAlign w:val="superscript"/>
                    </w:rPr>
                    <w:t>3</w:t>
                  </w:r>
                </w:p>
              </w:tc>
              <w:tc>
                <w:tcPr>
                  <w:tcW w:w="987"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絮凝反应</w:t>
                  </w:r>
                </w:p>
              </w:tc>
              <w:tc>
                <w:tcPr>
                  <w:tcW w:w="1205"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硫酸亚铁、PAC</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1810"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综合废水澄清池</w:t>
                  </w:r>
                </w:p>
              </w:tc>
              <w:tc>
                <w:tcPr>
                  <w:tcW w:w="998"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100m</w:t>
                  </w:r>
                  <w:r>
                    <w:rPr>
                      <w:rFonts w:hint="default" w:ascii="Times New Roman" w:hAnsi="Times New Roman" w:eastAsia="宋体" w:cs="Times New Roman"/>
                      <w:kern w:val="0"/>
                      <w:sz w:val="21"/>
                      <w:szCs w:val="21"/>
                      <w:u w:val="none" w:color="auto"/>
                      <w:vertAlign w:val="superscript"/>
                    </w:rPr>
                    <w:t>3</w:t>
                  </w:r>
                </w:p>
              </w:tc>
              <w:tc>
                <w:tcPr>
                  <w:tcW w:w="987"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澄清</w:t>
                  </w:r>
                </w:p>
              </w:tc>
              <w:tc>
                <w:tcPr>
                  <w:tcW w:w="1205"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10"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中和沉淀池压滤机</w:t>
                  </w:r>
                </w:p>
              </w:tc>
              <w:tc>
                <w:tcPr>
                  <w:tcW w:w="998"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lang w:val="en-US" w:eastAsia="zh-CN"/>
                    </w:rPr>
                    <w:t>/</w:t>
                  </w:r>
                </w:p>
              </w:tc>
              <w:tc>
                <w:tcPr>
                  <w:tcW w:w="987"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中和渣脱水</w:t>
                  </w:r>
                </w:p>
              </w:tc>
              <w:tc>
                <w:tcPr>
                  <w:tcW w:w="1205"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1810"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氯碱线中和池</w:t>
                  </w:r>
                </w:p>
              </w:tc>
              <w:tc>
                <w:tcPr>
                  <w:tcW w:w="998"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50m</w:t>
                  </w:r>
                  <w:r>
                    <w:rPr>
                      <w:rFonts w:hint="default" w:ascii="Times New Roman" w:hAnsi="Times New Roman" w:eastAsia="宋体" w:cs="Times New Roman"/>
                      <w:kern w:val="0"/>
                      <w:sz w:val="21"/>
                      <w:szCs w:val="21"/>
                      <w:u w:val="none" w:color="auto"/>
                      <w:vertAlign w:val="superscript"/>
                    </w:rPr>
                    <w:t>3</w:t>
                  </w:r>
                </w:p>
              </w:tc>
              <w:tc>
                <w:tcPr>
                  <w:tcW w:w="987"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中和</w:t>
                  </w:r>
                </w:p>
              </w:tc>
              <w:tc>
                <w:tcPr>
                  <w:tcW w:w="1205"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1810"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事故应急池</w:t>
                  </w:r>
                </w:p>
              </w:tc>
              <w:tc>
                <w:tcPr>
                  <w:tcW w:w="998"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400m</w:t>
                  </w:r>
                  <w:r>
                    <w:rPr>
                      <w:rFonts w:hint="default" w:ascii="Times New Roman" w:hAnsi="Times New Roman" w:eastAsia="宋体" w:cs="Times New Roman"/>
                      <w:kern w:val="0"/>
                      <w:sz w:val="21"/>
                      <w:szCs w:val="21"/>
                      <w:u w:val="none" w:color="auto"/>
                      <w:vertAlign w:val="superscript"/>
                    </w:rPr>
                    <w:t>3</w:t>
                  </w:r>
                </w:p>
              </w:tc>
              <w:tc>
                <w:tcPr>
                  <w:tcW w:w="987"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rPr>
                    <w:t>应急</w:t>
                  </w:r>
                </w:p>
              </w:tc>
              <w:tc>
                <w:tcPr>
                  <w:tcW w:w="1205"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kern w:val="0"/>
                      <w:sz w:val="21"/>
                      <w:szCs w:val="21"/>
                      <w:u w:val="none" w:color="auto"/>
                    </w:rPr>
                  </w:pPr>
                  <w:r>
                    <w:rPr>
                      <w:rFonts w:hint="default" w:ascii="Times New Roman" w:hAnsi="Times New Roman" w:eastAsia="宋体" w:cs="Times New Roman"/>
                      <w:kern w:val="0"/>
                      <w:sz w:val="21"/>
                      <w:szCs w:val="21"/>
                      <w:u w:val="none" w:color="auto"/>
                      <w:lang w:val="en-US"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u w:val="none" w:color="auto"/>
                <w:lang w:eastAsia="zh-CN"/>
              </w:rPr>
            </w:pPr>
            <w:r>
              <w:rPr>
                <w:rFonts w:hint="default" w:ascii="Times New Roman" w:hAnsi="Times New Roman" w:eastAsia="宋体" w:cs="Times New Roman"/>
                <w:u w:val="none" w:color="auto"/>
                <w:lang w:eastAsia="zh-CN"/>
              </w:rPr>
              <w:t>（</w:t>
            </w:r>
            <w:r>
              <w:rPr>
                <w:rFonts w:hint="default" w:ascii="Times New Roman" w:hAnsi="Times New Roman" w:eastAsia="宋体" w:cs="Times New Roman"/>
                <w:u w:val="none" w:color="auto"/>
                <w:lang w:val="en-US" w:eastAsia="zh-CN"/>
              </w:rPr>
              <w:t>3</w:t>
            </w:r>
            <w:r>
              <w:rPr>
                <w:rFonts w:hint="default" w:ascii="Times New Roman" w:hAnsi="Times New Roman" w:eastAsia="宋体" w:cs="Times New Roman"/>
                <w:u w:val="none" w:color="auto"/>
                <w:lang w:eastAsia="zh-CN"/>
              </w:rPr>
              <w:t>）噪声防治措施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eastAsia="zh-CN"/>
              </w:rPr>
              <w:t>现有项目</w:t>
            </w:r>
            <w:r>
              <w:rPr>
                <w:rFonts w:hint="default" w:ascii="Times New Roman" w:hAnsi="Times New Roman" w:eastAsia="宋体" w:cs="Times New Roman"/>
                <w:u w:val="none" w:color="auto"/>
              </w:rPr>
              <w:t>噪声治理的主要措施包括：厂房隔声，基础减震等</w:t>
            </w:r>
            <w:r>
              <w:rPr>
                <w:rFonts w:hint="default" w:ascii="Times New Roman" w:hAnsi="Times New Roman" w:eastAsia="宋体" w:cs="Times New Roman"/>
                <w:u w:val="none" w:color="auto"/>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u w:val="none" w:color="auto"/>
                <w:lang w:val="en-US" w:eastAsia="zh-CN"/>
              </w:rPr>
            </w:pPr>
            <w:r>
              <w:rPr>
                <w:rFonts w:hint="default" w:ascii="Times New Roman" w:hAnsi="Times New Roman" w:eastAsia="宋体" w:cs="Times New Roman"/>
                <w:u w:val="none" w:color="auto"/>
                <w:lang w:val="en-US" w:eastAsia="zh-CN"/>
              </w:rPr>
              <w:t>（4）固废防治措施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u w:val="none" w:color="auto"/>
              </w:rPr>
            </w:pPr>
            <w:r>
              <w:rPr>
                <w:rFonts w:hint="default" w:ascii="Times New Roman" w:hAnsi="Times New Roman" w:eastAsia="宋体" w:cs="Times New Roman"/>
                <w:u w:val="none" w:color="auto"/>
                <w:lang w:eastAsia="zh-CN"/>
              </w:rPr>
              <w:t>现有氯碱线和氯酸钠线产生的废渣主要为盐水精制工段产生的少量盐泥，盐泥</w:t>
            </w:r>
            <w:r>
              <w:rPr>
                <w:rFonts w:hint="default" w:ascii="Times New Roman" w:hAnsi="Times New Roman" w:eastAsia="宋体" w:cs="Times New Roman"/>
                <w:u w:val="none" w:color="auto"/>
              </w:rPr>
              <w:t>处理采用板框压滤机压滤，盐水入化盐工序回收利用。盐泥产生量较少，掺入中和渣外运制砖。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u w:val="none" w:color="auto"/>
              </w:rPr>
            </w:pPr>
            <w:r>
              <w:rPr>
                <w:rFonts w:hint="default" w:ascii="Times New Roman" w:hAnsi="Times New Roman" w:eastAsia="宋体" w:cs="Times New Roman"/>
                <w:u w:val="none" w:color="auto"/>
              </w:rPr>
              <w:t>现有硫酸线产生的固体废物主要为炉渣、污水处理站污泥（砷渣）、废触媒。其中炉渣（铁精粉）属一般工业固体废物，渣中含铁量提高到62%～65%，目前作为副产品外售钢厂；砷渣为危险固废，</w:t>
            </w:r>
            <w:r>
              <w:rPr>
                <w:rFonts w:hint="default" w:ascii="Times New Roman" w:hAnsi="Times New Roman" w:eastAsia="宋体" w:cs="Times New Roman"/>
                <w:u w:val="none" w:color="auto"/>
                <w:lang w:eastAsia="zh-CN"/>
              </w:rPr>
              <w:t>分类</w:t>
            </w:r>
            <w:r>
              <w:rPr>
                <w:rFonts w:hint="default" w:ascii="Times New Roman" w:hAnsi="Times New Roman" w:eastAsia="宋体" w:cs="Times New Roman"/>
                <w:u w:val="none" w:color="auto"/>
              </w:rPr>
              <w:t>暂存于危废暂存间，再委托有资质单位定期清运处置</w:t>
            </w:r>
            <w:r>
              <w:rPr>
                <w:rFonts w:hint="default" w:ascii="Times New Roman" w:hAnsi="Times New Roman" w:eastAsia="宋体" w:cs="Times New Roman"/>
                <w:bCs/>
                <w:u w:val="none" w:color="auto"/>
              </w:rPr>
              <w:t>；</w:t>
            </w:r>
            <w:r>
              <w:rPr>
                <w:rFonts w:hint="default" w:ascii="Times New Roman" w:hAnsi="Times New Roman" w:eastAsia="宋体" w:cs="Times New Roman"/>
                <w:u w:val="none" w:color="auto"/>
              </w:rPr>
              <w:t>废触媒为危险固废，</w:t>
            </w:r>
            <w:r>
              <w:rPr>
                <w:rFonts w:hint="default" w:ascii="Times New Roman" w:hAnsi="Times New Roman" w:eastAsia="宋体" w:cs="Times New Roman"/>
                <w:u w:val="none" w:color="auto"/>
                <w:lang w:eastAsia="zh-CN"/>
              </w:rPr>
              <w:t>分类</w:t>
            </w:r>
            <w:r>
              <w:rPr>
                <w:rFonts w:hint="default" w:ascii="Times New Roman" w:hAnsi="Times New Roman" w:eastAsia="宋体" w:cs="Times New Roman"/>
                <w:u w:val="none" w:color="auto"/>
              </w:rPr>
              <w:t>暂存于危废暂存间，再委托有资质单位定期清运处置。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u w:val="none" w:color="auto"/>
              </w:rPr>
            </w:pPr>
            <w:r>
              <w:rPr>
                <w:rFonts w:hint="default" w:ascii="Times New Roman" w:hAnsi="Times New Roman" w:eastAsia="宋体" w:cs="Times New Roman"/>
                <w:u w:val="none" w:color="auto"/>
              </w:rPr>
              <w:t>现有氯化铝生产线固体废物主要为氧化铝渣，属一般工业固废，外售进行综合利用。现有三氯化磷线固体废物主要有磷渣，磷渣为危险废物，</w:t>
            </w:r>
            <w:r>
              <w:rPr>
                <w:rFonts w:hint="default" w:ascii="Times New Roman" w:hAnsi="Times New Roman" w:eastAsia="宋体" w:cs="Times New Roman"/>
                <w:u w:val="none" w:color="auto"/>
                <w:lang w:eastAsia="zh-CN"/>
              </w:rPr>
              <w:t>分类</w:t>
            </w:r>
            <w:r>
              <w:rPr>
                <w:rFonts w:hint="default" w:ascii="Times New Roman" w:hAnsi="Times New Roman" w:eastAsia="宋体" w:cs="Times New Roman"/>
                <w:u w:val="none" w:color="auto"/>
              </w:rPr>
              <w:t>暂存于危废暂存间，再委托有资质单位处理。厂区综合废水处理站产生的中和沉淀渣量较大，产生量约900t/a，外售进行综合利用。</w:t>
            </w:r>
          </w:p>
          <w:p>
            <w:pPr>
              <w:pStyle w:val="57"/>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1、原项目存在的主要问题及整改措施原项目存在的主要问题：</w:t>
            </w:r>
          </w:p>
          <w:p>
            <w:pPr>
              <w:pStyle w:val="57"/>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（1）公司已有供水系统年代久远，自备纯水的设备已经较为落后，纯水电导率为0.3</w:t>
            </w:r>
            <w:r>
              <w:rPr>
                <w:rFonts w:hint="default" w:ascii="Times New Roman" w:hAnsi="Times New Roman" w:eastAsia="宋体" w:cs="Times New Roman"/>
                <w:sz w:val="24"/>
                <w:szCs w:val="24"/>
              </w:rPr>
              <w:t>μ</w:t>
            </w:r>
            <w:r>
              <w:rPr>
                <w:rFonts w:hint="default" w:ascii="Times New Roman" w:hAnsi="Times New Roman" w:eastAsia="宋体" w:cs="Times New Roman"/>
                <w:sz w:val="24"/>
                <w:szCs w:val="24"/>
                <w:lang w:val="en-US" w:eastAsia="zh-CN"/>
              </w:rPr>
              <w:t>s/cm</w:t>
            </w:r>
            <w:r>
              <w:rPr>
                <w:rFonts w:hint="default" w:ascii="Times New Roman" w:hAnsi="Times New Roman" w:eastAsia="宋体" w:cs="Times New Roman"/>
                <w:color w:val="000000"/>
                <w:highlight w:val="none"/>
                <w:lang w:val="en-US" w:eastAsia="zh-CN"/>
              </w:rPr>
              <w:t>。</w:t>
            </w:r>
          </w:p>
          <w:p>
            <w:pPr>
              <w:pStyle w:val="57"/>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（2）一般固废暂存间建设不规范。</w:t>
            </w:r>
          </w:p>
          <w:p>
            <w:pPr>
              <w:pStyle w:val="57"/>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整改措施：</w:t>
            </w:r>
          </w:p>
          <w:p>
            <w:pPr>
              <w:pStyle w:val="57"/>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（1）建设单位从节约资源、减少浪费、降低成本和保护环境的角度出发，拆除现有阴阳混床纯水设备，新增反渗透混床制纯水设备，并新增污泥处理设施，减少固体废物、能源消耗，提高纯水质量。</w:t>
            </w:r>
          </w:p>
          <w:p>
            <w:pPr>
              <w:pStyle w:val="5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（2）按规范要求，设置标识标牌，分类收集各类固废。</w:t>
            </w:r>
          </w:p>
          <w:p>
            <w:pPr>
              <w:pStyle w:val="5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2、依托原项目概况本项目在湖南恒光科技股份有限公司厂区内进行建设，与依托工程毗邻。具体依托情况如下表2-11：</w:t>
            </w:r>
          </w:p>
          <w:p>
            <w:pPr>
              <w:pStyle w:val="32"/>
              <w:bidi w:val="0"/>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bCs/>
                <w:color w:val="auto"/>
                <w:kern w:val="0"/>
                <w:sz w:val="21"/>
                <w:szCs w:val="21"/>
                <w:u w:val="none"/>
                <w:lang w:val="en-US" w:eastAsia="zh-CN" w:bidi="ar"/>
              </w:rPr>
              <w:t>表2-11 依托关系一览表</w:t>
            </w:r>
          </w:p>
          <w:tbl>
            <w:tblPr>
              <w:tblStyle w:val="23"/>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986"/>
              <w:gridCol w:w="2374"/>
              <w:gridCol w:w="29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813"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序号</w:t>
                  </w:r>
                </w:p>
              </w:tc>
              <w:tc>
                <w:tcPr>
                  <w:tcW w:w="1986"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类别</w:t>
                  </w:r>
                </w:p>
              </w:tc>
              <w:tc>
                <w:tcPr>
                  <w:tcW w:w="2374"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名称</w:t>
                  </w:r>
                </w:p>
              </w:tc>
              <w:tc>
                <w:tcPr>
                  <w:tcW w:w="2915"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7" w:hRule="atLeast"/>
              </w:trPr>
              <w:tc>
                <w:tcPr>
                  <w:tcW w:w="813" w:type="dxa"/>
                  <w:vMerge w:val="restart"/>
                  <w:vAlign w:val="center"/>
                </w:tcPr>
                <w:p>
                  <w:pPr>
                    <w:pStyle w:val="2"/>
                    <w:keepNext w:val="0"/>
                    <w:keepLines w:val="0"/>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w:t>
                  </w:r>
                </w:p>
              </w:tc>
              <w:tc>
                <w:tcPr>
                  <w:tcW w:w="1986" w:type="dxa"/>
                  <w:vMerge w:val="restart"/>
                  <w:vAlign w:val="center"/>
                </w:tcPr>
                <w:p>
                  <w:pPr>
                    <w:pStyle w:val="2"/>
                    <w:keepNext w:val="0"/>
                    <w:keepLines w:val="0"/>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公用工程</w:t>
                  </w:r>
                </w:p>
              </w:tc>
              <w:tc>
                <w:tcPr>
                  <w:tcW w:w="237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kern w:val="0"/>
                      <w:sz w:val="21"/>
                      <w:szCs w:val="21"/>
                      <w:u w:val="none"/>
                      <w:lang w:val="en-US" w:eastAsia="zh-CN" w:bidi="ar"/>
                    </w:rPr>
                    <w:t>供电系统</w:t>
                  </w:r>
                </w:p>
              </w:tc>
              <w:tc>
                <w:tcPr>
                  <w:tcW w:w="2915"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kern w:val="0"/>
                      <w:sz w:val="21"/>
                      <w:szCs w:val="21"/>
                      <w:u w:val="none"/>
                      <w:lang w:val="en-US" w:eastAsia="zh-CN" w:bidi="ar"/>
                    </w:rPr>
                    <w:t>与厂区内其他项目工程共用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3" w:hRule="atLeast"/>
              </w:trPr>
              <w:tc>
                <w:tcPr>
                  <w:tcW w:w="813" w:type="dxa"/>
                  <w:vMerge w:val="continue"/>
                  <w:vAlign w:val="center"/>
                </w:tcPr>
                <w:p>
                  <w:pPr>
                    <w:pStyle w:val="2"/>
                    <w:keepNext w:val="0"/>
                    <w:keepLines w:val="0"/>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p>
              </w:tc>
              <w:tc>
                <w:tcPr>
                  <w:tcW w:w="1986" w:type="dxa"/>
                  <w:vMerge w:val="continue"/>
                  <w:vAlign w:val="center"/>
                </w:tcPr>
                <w:p>
                  <w:pPr>
                    <w:pStyle w:val="2"/>
                    <w:keepNext w:val="0"/>
                    <w:keepLines w:val="0"/>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p>
              </w:tc>
              <w:tc>
                <w:tcPr>
                  <w:tcW w:w="237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kern w:val="0"/>
                      <w:sz w:val="21"/>
                      <w:szCs w:val="21"/>
                      <w:u w:val="none"/>
                      <w:lang w:val="en-US" w:eastAsia="zh-CN" w:bidi="ar"/>
                    </w:rPr>
                    <w:t>排水管网</w:t>
                  </w:r>
                </w:p>
              </w:tc>
              <w:tc>
                <w:tcPr>
                  <w:tcW w:w="2915" w:type="dxa"/>
                  <w:vMerge w:val="continue"/>
                  <w:vAlign w:val="center"/>
                </w:tcPr>
                <w:p>
                  <w:pPr>
                    <w:pStyle w:val="2"/>
                    <w:keepNext w:val="0"/>
                    <w:keepLines w:val="0"/>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80" w:hRule="atLeast"/>
              </w:trPr>
              <w:tc>
                <w:tcPr>
                  <w:tcW w:w="813" w:type="dxa"/>
                  <w:vMerge w:val="restart"/>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2</w:t>
                  </w:r>
                </w:p>
              </w:tc>
              <w:tc>
                <w:tcPr>
                  <w:tcW w:w="1986"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kern w:val="0"/>
                      <w:sz w:val="21"/>
                      <w:szCs w:val="21"/>
                      <w:u w:val="none"/>
                      <w:lang w:val="en-US" w:eastAsia="zh-CN" w:bidi="ar"/>
                    </w:rPr>
                    <w:t>辅助工程</w:t>
                  </w:r>
                </w:p>
              </w:tc>
              <w:tc>
                <w:tcPr>
                  <w:tcW w:w="2374"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食堂</w:t>
                  </w:r>
                </w:p>
              </w:tc>
              <w:tc>
                <w:tcPr>
                  <w:tcW w:w="2915" w:type="dxa"/>
                  <w:vMerge w:val="continue"/>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1" w:hRule="atLeast"/>
              </w:trPr>
              <w:tc>
                <w:tcPr>
                  <w:tcW w:w="813" w:type="dxa"/>
                  <w:vMerge w:val="continue"/>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p>
              </w:tc>
              <w:tc>
                <w:tcPr>
                  <w:tcW w:w="198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u w:val="none"/>
                      <w:lang w:val="en-US" w:eastAsia="zh-CN" w:bidi="ar"/>
                    </w:rPr>
                  </w:pPr>
                </w:p>
              </w:tc>
              <w:tc>
                <w:tcPr>
                  <w:tcW w:w="2374"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宿舍</w:t>
                  </w:r>
                </w:p>
              </w:tc>
              <w:tc>
                <w:tcPr>
                  <w:tcW w:w="2915" w:type="dxa"/>
                  <w:vMerge w:val="continue"/>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kern w:val="0"/>
                      <w:sz w:val="21"/>
                      <w:szCs w:val="21"/>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9" w:hRule="atLeast"/>
              </w:trPr>
              <w:tc>
                <w:tcPr>
                  <w:tcW w:w="813" w:type="dxa"/>
                  <w:vMerge w:val="restart"/>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3</w:t>
                  </w:r>
                </w:p>
              </w:tc>
              <w:tc>
                <w:tcPr>
                  <w:tcW w:w="1986" w:type="dxa"/>
                  <w:vMerge w:val="restart"/>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环保工程</w:t>
                  </w:r>
                </w:p>
              </w:tc>
              <w:tc>
                <w:tcPr>
                  <w:tcW w:w="237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kern w:val="0"/>
                      <w:sz w:val="21"/>
                      <w:szCs w:val="21"/>
                      <w:u w:val="none"/>
                      <w:lang w:val="en-US" w:eastAsia="zh-CN" w:bidi="ar"/>
                    </w:rPr>
                    <w:t>化粪池、初期雨水池</w:t>
                  </w:r>
                </w:p>
              </w:tc>
              <w:tc>
                <w:tcPr>
                  <w:tcW w:w="2915" w:type="dxa"/>
                  <w:vMerge w:val="continue"/>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36" w:hRule="atLeast"/>
              </w:trPr>
              <w:tc>
                <w:tcPr>
                  <w:tcW w:w="813" w:type="dxa"/>
                  <w:vMerge w:val="continue"/>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p>
              </w:tc>
              <w:tc>
                <w:tcPr>
                  <w:tcW w:w="1986" w:type="dxa"/>
                  <w:vMerge w:val="continue"/>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p>
              </w:tc>
              <w:tc>
                <w:tcPr>
                  <w:tcW w:w="237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u w:val="none"/>
                      <w:lang w:val="en-US" w:eastAsia="zh-CN" w:bidi="ar"/>
                    </w:rPr>
                  </w:pPr>
                  <w:r>
                    <w:rPr>
                      <w:rFonts w:hint="default" w:ascii="Times New Roman" w:hAnsi="Times New Roman" w:eastAsia="宋体" w:cs="Times New Roman"/>
                      <w:color w:val="auto"/>
                      <w:kern w:val="0"/>
                      <w:sz w:val="21"/>
                      <w:szCs w:val="21"/>
                      <w:u w:val="none"/>
                      <w:lang w:val="en-US" w:eastAsia="zh-CN" w:bidi="ar"/>
                    </w:rPr>
                    <w:t>一般固废间</w:t>
                  </w:r>
                </w:p>
              </w:tc>
              <w:tc>
                <w:tcPr>
                  <w:tcW w:w="2915" w:type="dxa"/>
                  <w:vMerge w:val="continue"/>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kern w:val="0"/>
                      <w:sz w:val="21"/>
                      <w:szCs w:val="21"/>
                      <w:u w:val="none"/>
                      <w:lang w:val="en-US" w:eastAsia="zh-CN" w:bidi="ar"/>
                    </w:rPr>
                  </w:pPr>
                </w:p>
              </w:tc>
            </w:tr>
          </w:tbl>
          <w:p>
            <w:pPr>
              <w:pStyle w:val="57"/>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本项目与厂区内其他项目工程的依托关系为：①本项目的公用工程将与厂区内其他项目工程共用，避免重复建设，节约资金。②本项目初期雨水池将与厂区内其他项目工程共用，现有初期雨水池其容积为40m</w:t>
            </w:r>
            <w:r>
              <w:rPr>
                <w:rFonts w:hint="default" w:ascii="Times New Roman" w:hAnsi="Times New Roman" w:eastAsia="宋体" w:cs="Times New Roman"/>
                <w:color w:val="000000"/>
                <w:highlight w:val="none"/>
                <w:vertAlign w:val="superscript"/>
                <w:lang w:val="en-US" w:eastAsia="zh-CN"/>
              </w:rPr>
              <w:t>3</w:t>
            </w:r>
            <w:r>
              <w:rPr>
                <w:rFonts w:hint="default" w:ascii="Times New Roman" w:hAnsi="Times New Roman" w:eastAsia="宋体" w:cs="Times New Roman"/>
                <w:color w:val="000000"/>
                <w:highlight w:val="none"/>
                <w:lang w:val="en-US" w:eastAsia="zh-CN"/>
              </w:rPr>
              <w:t>，本项目不新增总厂区面积，故初期雨水收集面积不变，依托可行。本项目不新增生活污水。</w:t>
            </w:r>
          </w:p>
          <w:p>
            <w:pPr>
              <w:bidi w:val="0"/>
              <w:ind w:firstLine="480" w:firstLineChars="200"/>
              <w:rPr>
                <w:rFonts w:hint="default"/>
                <w:color w:val="FF0000"/>
                <w:u w:val="single"/>
                <w:lang w:val="en-US" w:eastAsia="zh-CN"/>
              </w:rPr>
            </w:pPr>
            <w:r>
              <w:rPr>
                <w:rFonts w:hint="eastAsia"/>
                <w:color w:val="FF0000"/>
                <w:u w:val="single"/>
                <w:lang w:val="en-US" w:eastAsia="zh-CN"/>
              </w:rPr>
              <w:t>3、项目以新带老见下表</w:t>
            </w:r>
          </w:p>
          <w:p>
            <w:pPr>
              <w:pStyle w:val="33"/>
              <w:bidi w:val="0"/>
              <w:rPr>
                <w:rFonts w:hint="eastAsia"/>
                <w:color w:val="FF0000"/>
                <w:u w:val="single"/>
                <w:lang w:val="en-US" w:eastAsia="zh-CN"/>
              </w:rPr>
            </w:pPr>
            <w:r>
              <w:rPr>
                <w:rFonts w:hint="eastAsia"/>
                <w:color w:val="FF0000"/>
                <w:u w:val="single"/>
                <w:lang w:val="en-US" w:eastAsia="zh-CN"/>
              </w:rPr>
              <w:t>表2-12 以新带老一览表</w:t>
            </w:r>
          </w:p>
          <w:tbl>
            <w:tblPr>
              <w:tblStyle w:val="23"/>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1955"/>
              <w:gridCol w:w="2822"/>
              <w:gridCol w:w="21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174"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FF0000"/>
                      <w:sz w:val="21"/>
                      <w:szCs w:val="21"/>
                      <w:u w:val="single"/>
                      <w:lang w:val="en-US" w:eastAsia="zh-CN"/>
                    </w:rPr>
                  </w:pPr>
                  <w:r>
                    <w:rPr>
                      <w:rFonts w:hint="eastAsia"/>
                      <w:color w:val="FF0000"/>
                      <w:sz w:val="21"/>
                      <w:szCs w:val="21"/>
                      <w:u w:val="single"/>
                      <w:lang w:val="en-US" w:eastAsia="zh-CN"/>
                    </w:rPr>
                    <w:t>序号</w:t>
                  </w:r>
                </w:p>
              </w:tc>
              <w:tc>
                <w:tcPr>
                  <w:tcW w:w="1955"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FF0000"/>
                      <w:sz w:val="21"/>
                      <w:szCs w:val="21"/>
                      <w:u w:val="single"/>
                      <w:lang w:val="en-US" w:eastAsia="zh-CN"/>
                    </w:rPr>
                  </w:pPr>
                  <w:r>
                    <w:rPr>
                      <w:rFonts w:hint="eastAsia"/>
                      <w:color w:val="FF0000"/>
                      <w:sz w:val="21"/>
                      <w:szCs w:val="21"/>
                      <w:u w:val="single"/>
                      <w:lang w:val="en-US" w:eastAsia="zh-CN"/>
                    </w:rPr>
                    <w:t>原有问题</w:t>
                  </w:r>
                </w:p>
              </w:tc>
              <w:tc>
                <w:tcPr>
                  <w:tcW w:w="2822"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FF0000"/>
                      <w:sz w:val="21"/>
                      <w:szCs w:val="21"/>
                      <w:u w:val="single"/>
                      <w:lang w:val="en-US" w:eastAsia="zh-CN"/>
                    </w:rPr>
                  </w:pPr>
                  <w:r>
                    <w:rPr>
                      <w:rFonts w:hint="eastAsia"/>
                      <w:color w:val="FF0000"/>
                      <w:sz w:val="21"/>
                      <w:szCs w:val="21"/>
                      <w:u w:val="single"/>
                      <w:lang w:val="en-US" w:eastAsia="zh-CN"/>
                    </w:rPr>
                    <w:t>整改前</w:t>
                  </w:r>
                </w:p>
              </w:tc>
              <w:tc>
                <w:tcPr>
                  <w:tcW w:w="2136"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FF0000"/>
                      <w:sz w:val="21"/>
                      <w:szCs w:val="21"/>
                      <w:u w:val="single"/>
                      <w:lang w:val="en-US" w:eastAsia="zh-CN"/>
                    </w:rPr>
                  </w:pPr>
                  <w:r>
                    <w:rPr>
                      <w:rFonts w:hint="eastAsia"/>
                      <w:color w:val="FF0000"/>
                      <w:sz w:val="21"/>
                      <w:szCs w:val="21"/>
                      <w:u w:val="single"/>
                      <w:lang w:val="en-US" w:eastAsia="zh-CN"/>
                    </w:rPr>
                    <w:t>整改后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4"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FF0000"/>
                      <w:sz w:val="21"/>
                      <w:szCs w:val="21"/>
                      <w:u w:val="single"/>
                      <w:lang w:val="en-US" w:eastAsia="zh-CN"/>
                    </w:rPr>
                  </w:pPr>
                  <w:r>
                    <w:rPr>
                      <w:rFonts w:hint="eastAsia"/>
                      <w:color w:val="FF0000"/>
                      <w:sz w:val="21"/>
                      <w:szCs w:val="21"/>
                      <w:u w:val="single"/>
                      <w:lang w:val="en-US" w:eastAsia="zh-CN"/>
                    </w:rPr>
                    <w:t>1</w:t>
                  </w:r>
                </w:p>
              </w:tc>
              <w:tc>
                <w:tcPr>
                  <w:tcW w:w="1955"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FF0000"/>
                      <w:sz w:val="21"/>
                      <w:szCs w:val="21"/>
                      <w:u w:val="single"/>
                      <w:lang w:val="en-US" w:eastAsia="zh-CN"/>
                    </w:rPr>
                  </w:pPr>
                  <w:r>
                    <w:rPr>
                      <w:rFonts w:hint="eastAsia"/>
                      <w:color w:val="FF0000"/>
                      <w:sz w:val="21"/>
                      <w:szCs w:val="21"/>
                      <w:u w:val="single"/>
                      <w:lang w:val="en-US" w:eastAsia="zh-CN"/>
                    </w:rPr>
                    <w:t>项目产生污泥干化成本高</w:t>
                  </w:r>
                </w:p>
              </w:tc>
              <w:tc>
                <w:tcPr>
                  <w:tcW w:w="2822"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FF0000"/>
                      <w:sz w:val="21"/>
                      <w:szCs w:val="21"/>
                      <w:u w:val="single"/>
                      <w:lang w:val="en-US" w:eastAsia="zh-CN"/>
                    </w:rPr>
                  </w:pPr>
                  <w:r>
                    <w:rPr>
                      <w:rFonts w:hint="eastAsia"/>
                      <w:color w:val="FF0000"/>
                      <w:sz w:val="21"/>
                      <w:szCs w:val="21"/>
                      <w:u w:val="single"/>
                      <w:lang w:val="en-US" w:eastAsia="zh-CN"/>
                    </w:rPr>
                    <w:t>一体化净水器产生的污泥需人工翻动干化，人力成本高</w:t>
                  </w:r>
                </w:p>
              </w:tc>
              <w:tc>
                <w:tcPr>
                  <w:tcW w:w="2136"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FF0000"/>
                      <w:sz w:val="21"/>
                      <w:szCs w:val="21"/>
                      <w:u w:val="single"/>
                      <w:lang w:val="en-US" w:eastAsia="zh-CN"/>
                    </w:rPr>
                  </w:pPr>
                  <w:r>
                    <w:rPr>
                      <w:rFonts w:hint="eastAsia"/>
                      <w:color w:val="FF0000"/>
                      <w:sz w:val="21"/>
                      <w:szCs w:val="21"/>
                      <w:u w:val="single"/>
                      <w:lang w:val="en-US" w:eastAsia="zh-CN"/>
                    </w:rPr>
                    <w:t>新增污泥处理设备，自动化处理污泥，大大降低了处理成本</w:t>
                  </w:r>
                </w:p>
              </w:tc>
            </w:tr>
          </w:tbl>
          <w:p>
            <w:pPr>
              <w:pStyle w:val="3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b w:val="0"/>
                <w:bCs w:val="0"/>
                <w:color w:val="FF0000"/>
                <w:u w:val="single"/>
                <w:lang w:val="en-US" w:eastAsia="zh-CN"/>
              </w:rPr>
            </w:pPr>
            <w:r>
              <w:rPr>
                <w:rFonts w:hint="eastAsia"/>
                <w:b w:val="0"/>
                <w:bCs w:val="0"/>
                <w:color w:val="FF0000"/>
                <w:u w:val="single"/>
                <w:lang w:val="en-US" w:eastAsia="zh-CN"/>
              </w:rPr>
              <w:t>4、项目“三本账”</w:t>
            </w:r>
          </w:p>
          <w:p>
            <w:pPr>
              <w:pStyle w:val="3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FF0000"/>
                <w:kern w:val="2"/>
                <w:szCs w:val="24"/>
                <w:u w:val="single"/>
                <w:lang w:val="en-US" w:eastAsia="zh-CN"/>
              </w:rPr>
            </w:pPr>
            <w:r>
              <w:rPr>
                <w:rFonts w:hint="eastAsia"/>
                <w:color w:val="FF0000"/>
                <w:kern w:val="2"/>
                <w:szCs w:val="24"/>
                <w:u w:val="single"/>
                <w:lang w:val="en-US" w:eastAsia="zh-CN"/>
              </w:rPr>
              <w:t>“</w:t>
            </w:r>
            <w:r>
              <w:rPr>
                <w:color w:val="FF0000"/>
                <w:kern w:val="2"/>
                <w:szCs w:val="24"/>
                <w:u w:val="single"/>
                <w:lang w:val="en-US" w:eastAsia="zh-CN"/>
              </w:rPr>
              <w:t>三本帐</w:t>
            </w:r>
            <w:r>
              <w:rPr>
                <w:rFonts w:hint="eastAsia"/>
                <w:color w:val="FF0000"/>
                <w:kern w:val="2"/>
                <w:szCs w:val="24"/>
                <w:u w:val="single"/>
                <w:lang w:val="en-US" w:eastAsia="zh-CN"/>
              </w:rPr>
              <w:t>”</w:t>
            </w:r>
            <w:r>
              <w:rPr>
                <w:color w:val="FF0000"/>
                <w:kern w:val="2"/>
                <w:szCs w:val="24"/>
                <w:u w:val="single"/>
                <w:lang w:val="en-US" w:eastAsia="zh-CN"/>
              </w:rPr>
              <w:t>主要包括：现有工程污染物排放量、拟建工程污染物排放量、污染物指标增减量，由此计算出总体工程污染物排放量及各项污染物排放量增减情况，见表</w:t>
            </w:r>
            <w:r>
              <w:rPr>
                <w:rFonts w:hint="eastAsia"/>
                <w:color w:val="FF0000"/>
                <w:kern w:val="2"/>
                <w:szCs w:val="24"/>
                <w:u w:val="single"/>
                <w:lang w:val="en-US" w:eastAsia="zh-CN"/>
              </w:rPr>
              <w:t>2-13</w:t>
            </w:r>
            <w:r>
              <w:rPr>
                <w:color w:val="FF0000"/>
                <w:kern w:val="2"/>
                <w:szCs w:val="24"/>
                <w:u w:val="single"/>
                <w:lang w:val="en-US" w:eastAsia="zh-CN"/>
              </w:rPr>
              <w:t>。</w:t>
            </w:r>
          </w:p>
          <w:p>
            <w:pPr>
              <w:pStyle w:val="33"/>
              <w:rPr>
                <w:color w:val="FF0000"/>
                <w:kern w:val="2"/>
                <w:sz w:val="21"/>
                <w:szCs w:val="24"/>
                <w:u w:val="single"/>
                <w:lang w:val="en-US" w:eastAsia="zh-CN"/>
              </w:rPr>
            </w:pPr>
            <w:r>
              <w:rPr>
                <w:color w:val="FF0000"/>
                <w:kern w:val="2"/>
                <w:sz w:val="21"/>
                <w:szCs w:val="24"/>
                <w:u w:val="single"/>
                <w:lang w:val="en-US" w:eastAsia="zh-CN"/>
              </w:rPr>
              <w:t>表</w:t>
            </w:r>
            <w:r>
              <w:rPr>
                <w:rFonts w:hint="eastAsia"/>
                <w:color w:val="FF0000"/>
                <w:kern w:val="2"/>
                <w:sz w:val="21"/>
                <w:szCs w:val="24"/>
                <w:u w:val="single"/>
                <w:lang w:val="en-US" w:eastAsia="zh-CN"/>
              </w:rPr>
              <w:t>2-13</w:t>
            </w:r>
            <w:r>
              <w:rPr>
                <w:color w:val="FF0000"/>
                <w:kern w:val="2"/>
                <w:sz w:val="21"/>
                <w:szCs w:val="24"/>
                <w:u w:val="single"/>
                <w:lang w:val="en-US" w:eastAsia="zh-CN"/>
              </w:rPr>
              <w:t xml:space="preserve"> </w:t>
            </w:r>
            <w:r>
              <w:rPr>
                <w:rFonts w:hint="eastAsia"/>
                <w:color w:val="FF0000"/>
                <w:kern w:val="2"/>
                <w:sz w:val="21"/>
                <w:szCs w:val="24"/>
                <w:u w:val="single"/>
                <w:lang w:val="en-US" w:eastAsia="zh-CN"/>
              </w:rPr>
              <w:t xml:space="preserve">本项目改扩建前后污染物排放“三本帐”  </w:t>
            </w:r>
          </w:p>
          <w:tbl>
            <w:tblPr>
              <w:tblStyle w:val="22"/>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95"/>
              <w:gridCol w:w="626"/>
              <w:gridCol w:w="1183"/>
              <w:gridCol w:w="1490"/>
              <w:gridCol w:w="1830"/>
              <w:gridCol w:w="196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1733" w:type="pct"/>
                  <w:gridSpan w:val="3"/>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color w:val="FF0000"/>
                      <w:sz w:val="21"/>
                      <w:szCs w:val="21"/>
                      <w:u w:val="single"/>
                    </w:rPr>
                  </w:pPr>
                  <w:r>
                    <w:rPr>
                      <w:color w:val="FF0000"/>
                      <w:sz w:val="21"/>
                      <w:szCs w:val="21"/>
                      <w:u w:val="single"/>
                    </w:rPr>
                    <w:t>项目</w:t>
                  </w:r>
                </w:p>
              </w:tc>
              <w:tc>
                <w:tcPr>
                  <w:tcW w:w="921" w:type="pct"/>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color w:val="FF0000"/>
                      <w:sz w:val="21"/>
                      <w:szCs w:val="21"/>
                      <w:u w:val="single"/>
                    </w:rPr>
                  </w:pPr>
                  <w:r>
                    <w:rPr>
                      <w:rFonts w:hint="eastAsia"/>
                      <w:color w:val="FF0000"/>
                      <w:sz w:val="21"/>
                      <w:szCs w:val="21"/>
                      <w:u w:val="single"/>
                      <w:lang w:val="en-US" w:eastAsia="zh-CN"/>
                    </w:rPr>
                    <w:t>现有</w:t>
                  </w:r>
                  <w:r>
                    <w:rPr>
                      <w:color w:val="FF0000"/>
                      <w:sz w:val="21"/>
                      <w:szCs w:val="21"/>
                      <w:u w:val="single"/>
                    </w:rPr>
                    <w:t>项目排放量</w:t>
                  </w:r>
                </w:p>
              </w:tc>
              <w:tc>
                <w:tcPr>
                  <w:tcW w:w="1131" w:type="pct"/>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color w:val="FF0000"/>
                      <w:sz w:val="21"/>
                      <w:szCs w:val="21"/>
                      <w:u w:val="single"/>
                    </w:rPr>
                  </w:pPr>
                  <w:r>
                    <w:rPr>
                      <w:color w:val="FF0000"/>
                      <w:sz w:val="21"/>
                      <w:szCs w:val="21"/>
                      <w:u w:val="single"/>
                    </w:rPr>
                    <w:t>本项目排放量</w:t>
                  </w:r>
                </w:p>
              </w:tc>
              <w:tc>
                <w:tcPr>
                  <w:tcW w:w="1213" w:type="pct"/>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color w:val="FF0000"/>
                      <w:sz w:val="21"/>
                      <w:szCs w:val="21"/>
                      <w:u w:val="single"/>
                    </w:rPr>
                  </w:pPr>
                  <w:r>
                    <w:rPr>
                      <w:color w:val="FF0000"/>
                      <w:sz w:val="21"/>
                      <w:szCs w:val="21"/>
                      <w:u w:val="single"/>
                    </w:rPr>
                    <w:t>扩建后对原有工程排放量变化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1" w:hRule="atLeast"/>
                <w:jc w:val="center"/>
              </w:trPr>
              <w:tc>
                <w:tcPr>
                  <w:tcW w:w="615" w:type="pct"/>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color w:val="FF0000"/>
                      <w:sz w:val="21"/>
                      <w:szCs w:val="21"/>
                      <w:u w:val="single"/>
                    </w:rPr>
                  </w:pPr>
                  <w:r>
                    <w:rPr>
                      <w:color w:val="FF0000"/>
                      <w:sz w:val="21"/>
                      <w:szCs w:val="21"/>
                      <w:u w:val="single"/>
                    </w:rPr>
                    <w:t>水污染物</w:t>
                  </w:r>
                </w:p>
              </w:tc>
              <w:tc>
                <w:tcPr>
                  <w:tcW w:w="387" w:type="pct"/>
                  <w:tcBorders>
                    <w:right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color w:val="FF0000"/>
                      <w:sz w:val="21"/>
                      <w:szCs w:val="21"/>
                      <w:u w:val="single"/>
                    </w:rPr>
                  </w:pPr>
                  <w:r>
                    <w:rPr>
                      <w:color w:val="FF0000"/>
                      <w:sz w:val="21"/>
                      <w:szCs w:val="21"/>
                      <w:u w:val="single"/>
                    </w:rPr>
                    <w:t>废水量</w:t>
                  </w:r>
                </w:p>
              </w:tc>
              <w:tc>
                <w:tcPr>
                  <w:tcW w:w="731" w:type="pct"/>
                  <w:tcBorders>
                    <w:left w:val="single" w:color="auto" w:sz="4" w:space="0"/>
                    <w:bottom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FF0000"/>
                      <w:sz w:val="21"/>
                      <w:szCs w:val="21"/>
                      <w:u w:val="single"/>
                      <w:lang w:val="en-US" w:eastAsia="zh-CN"/>
                    </w:rPr>
                  </w:pPr>
                  <w:r>
                    <w:rPr>
                      <w:rFonts w:hint="eastAsia"/>
                      <w:color w:val="FF0000"/>
                      <w:sz w:val="21"/>
                      <w:szCs w:val="21"/>
                      <w:u w:val="single"/>
                      <w:lang w:val="en-US" w:eastAsia="zh-CN"/>
                    </w:rPr>
                    <w:t>生产废水</w:t>
                  </w:r>
                </w:p>
              </w:tc>
              <w:tc>
                <w:tcPr>
                  <w:tcW w:w="921" w:type="pct"/>
                  <w:tcBorders>
                    <w:bottom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FF0000"/>
                      <w:sz w:val="21"/>
                      <w:szCs w:val="21"/>
                      <w:u w:val="single"/>
                      <w:lang w:val="en-US" w:eastAsia="zh-CN"/>
                    </w:rPr>
                  </w:pPr>
                  <w:r>
                    <w:rPr>
                      <w:rFonts w:hint="eastAsia"/>
                      <w:color w:val="FF0000"/>
                      <w:sz w:val="21"/>
                      <w:szCs w:val="21"/>
                      <w:u w:val="single"/>
                      <w:lang w:val="en-US" w:eastAsia="zh-CN"/>
                    </w:rPr>
                    <w:t>62667</w:t>
                  </w:r>
                  <w:r>
                    <w:rPr>
                      <w:color w:val="FF0000"/>
                      <w:sz w:val="21"/>
                      <w:szCs w:val="21"/>
                      <w:u w:val="single"/>
                    </w:rPr>
                    <w:t>t/a</w:t>
                  </w:r>
                </w:p>
              </w:tc>
              <w:tc>
                <w:tcPr>
                  <w:tcW w:w="1131" w:type="pct"/>
                  <w:tcBorders>
                    <w:bottom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FF0000"/>
                      <w:sz w:val="21"/>
                      <w:szCs w:val="21"/>
                      <w:u w:val="single"/>
                      <w:lang w:val="en-US" w:eastAsia="zh-CN"/>
                    </w:rPr>
                  </w:pPr>
                  <w:r>
                    <w:rPr>
                      <w:rFonts w:hint="eastAsia"/>
                      <w:color w:val="FF0000"/>
                      <w:sz w:val="21"/>
                      <w:szCs w:val="21"/>
                      <w:u w:val="single"/>
                      <w:lang w:val="en-US" w:eastAsia="zh-CN"/>
                    </w:rPr>
                    <w:t>170655t/a</w:t>
                  </w:r>
                </w:p>
              </w:tc>
              <w:tc>
                <w:tcPr>
                  <w:tcW w:w="1213" w:type="pct"/>
                  <w:tcBorders>
                    <w:bottom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FF0000"/>
                      <w:sz w:val="21"/>
                      <w:szCs w:val="21"/>
                      <w:u w:val="single"/>
                      <w:lang w:val="en-US" w:eastAsia="zh-CN"/>
                    </w:rPr>
                  </w:pPr>
                  <w:r>
                    <w:rPr>
                      <w:rFonts w:hint="eastAsia"/>
                      <w:color w:val="FF0000"/>
                      <w:sz w:val="21"/>
                      <w:szCs w:val="21"/>
                      <w:u w:val="single"/>
                      <w:lang w:val="en-US" w:eastAsia="zh-CN"/>
                    </w:rPr>
                    <w:t>+107988t/a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91" w:hRule="atLeast"/>
                <w:jc w:val="center"/>
              </w:trPr>
              <w:tc>
                <w:tcPr>
                  <w:tcW w:w="615" w:type="pct"/>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color w:val="FF0000"/>
                      <w:sz w:val="21"/>
                      <w:szCs w:val="21"/>
                      <w:u w:val="single"/>
                    </w:rPr>
                  </w:pPr>
                </w:p>
              </w:tc>
              <w:tc>
                <w:tcPr>
                  <w:tcW w:w="387" w:type="pct"/>
                  <w:vMerge w:val="restart"/>
                  <w:tcBorders>
                    <w:right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color w:val="FF0000"/>
                      <w:sz w:val="21"/>
                      <w:szCs w:val="21"/>
                      <w:u w:val="single"/>
                      <w:lang w:val="en-US" w:eastAsia="zh-CN"/>
                    </w:rPr>
                  </w:pPr>
                  <w:r>
                    <w:rPr>
                      <w:rFonts w:hint="eastAsia"/>
                      <w:color w:val="FF0000"/>
                      <w:sz w:val="21"/>
                      <w:szCs w:val="21"/>
                      <w:u w:val="single"/>
                      <w:lang w:val="en-US" w:eastAsia="zh-CN"/>
                    </w:rPr>
                    <w:t>污染物</w:t>
                  </w:r>
                </w:p>
              </w:tc>
              <w:tc>
                <w:tcPr>
                  <w:tcW w:w="731" w:type="pct"/>
                  <w:tcBorders>
                    <w:left w:val="single" w:color="auto" w:sz="4" w:space="0"/>
                    <w:bottom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FF0000"/>
                      <w:sz w:val="21"/>
                      <w:szCs w:val="21"/>
                      <w:u w:val="single"/>
                      <w:lang w:val="en-US" w:eastAsia="zh-CN"/>
                    </w:rPr>
                  </w:pPr>
                  <w:r>
                    <w:rPr>
                      <w:rFonts w:hint="eastAsia"/>
                      <w:color w:val="FF0000"/>
                      <w:sz w:val="21"/>
                      <w:szCs w:val="21"/>
                      <w:u w:val="single"/>
                      <w:lang w:val="en-US" w:eastAsia="zh-CN"/>
                    </w:rPr>
                    <w:t>全盐量</w:t>
                  </w:r>
                </w:p>
              </w:tc>
              <w:tc>
                <w:tcPr>
                  <w:tcW w:w="921" w:type="pct"/>
                  <w:tcBorders>
                    <w:bottom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FF0000"/>
                      <w:sz w:val="21"/>
                      <w:szCs w:val="21"/>
                      <w:u w:val="single"/>
                      <w:lang w:val="en-US" w:eastAsia="zh-CN"/>
                    </w:rPr>
                  </w:pPr>
                  <w:r>
                    <w:rPr>
                      <w:rFonts w:hint="eastAsia"/>
                      <w:color w:val="FF0000"/>
                      <w:sz w:val="21"/>
                      <w:szCs w:val="21"/>
                      <w:u w:val="single"/>
                      <w:lang w:val="en-US" w:eastAsia="zh-CN"/>
                    </w:rPr>
                    <w:t>1.88</w:t>
                  </w:r>
                  <w:r>
                    <w:rPr>
                      <w:color w:val="FF0000"/>
                      <w:sz w:val="21"/>
                      <w:szCs w:val="21"/>
                      <w:u w:val="single"/>
                    </w:rPr>
                    <w:t>t/a</w:t>
                  </w:r>
                </w:p>
              </w:tc>
              <w:tc>
                <w:tcPr>
                  <w:tcW w:w="1131" w:type="pct"/>
                  <w:tcBorders>
                    <w:bottom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FF0000"/>
                      <w:sz w:val="21"/>
                      <w:szCs w:val="21"/>
                      <w:u w:val="single"/>
                      <w:lang w:val="en-US" w:eastAsia="zh-CN"/>
                    </w:rPr>
                  </w:pPr>
                  <w:r>
                    <w:rPr>
                      <w:rFonts w:hint="eastAsia"/>
                      <w:color w:val="FF0000"/>
                      <w:sz w:val="21"/>
                      <w:szCs w:val="21"/>
                      <w:u w:val="single"/>
                      <w:lang w:val="en-US" w:eastAsia="zh-CN"/>
                    </w:rPr>
                    <w:t>4.911</w:t>
                  </w:r>
                  <w:r>
                    <w:rPr>
                      <w:color w:val="FF0000"/>
                      <w:sz w:val="21"/>
                      <w:szCs w:val="21"/>
                      <w:u w:val="single"/>
                    </w:rPr>
                    <w:t>t/a</w:t>
                  </w:r>
                </w:p>
              </w:tc>
              <w:tc>
                <w:tcPr>
                  <w:tcW w:w="1213" w:type="pct"/>
                  <w:tcBorders>
                    <w:bottom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FF0000"/>
                      <w:sz w:val="21"/>
                      <w:szCs w:val="21"/>
                      <w:u w:val="single"/>
                      <w:lang w:val="en-US" w:eastAsia="zh-CN"/>
                    </w:rPr>
                  </w:pPr>
                  <w:r>
                    <w:rPr>
                      <w:rFonts w:hint="eastAsia"/>
                      <w:color w:val="FF0000"/>
                      <w:sz w:val="21"/>
                      <w:szCs w:val="21"/>
                      <w:u w:val="single"/>
                      <w:lang w:val="en-US" w:eastAsia="zh-CN"/>
                    </w:rPr>
                    <w:t>+3.031</w:t>
                  </w:r>
                  <w:r>
                    <w:rPr>
                      <w:color w:val="FF0000"/>
                      <w:sz w:val="21"/>
                      <w:szCs w:val="21"/>
                      <w:u w:val="single"/>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91" w:hRule="atLeast"/>
                <w:jc w:val="center"/>
              </w:trPr>
              <w:tc>
                <w:tcPr>
                  <w:tcW w:w="615" w:type="pct"/>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color w:val="FF0000"/>
                      <w:sz w:val="21"/>
                      <w:szCs w:val="21"/>
                      <w:u w:val="single"/>
                    </w:rPr>
                  </w:pPr>
                </w:p>
              </w:tc>
              <w:tc>
                <w:tcPr>
                  <w:tcW w:w="387" w:type="pct"/>
                  <w:vMerge w:val="continue"/>
                  <w:tcBorders>
                    <w:right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color w:val="FF0000"/>
                      <w:sz w:val="21"/>
                      <w:szCs w:val="21"/>
                      <w:u w:val="single"/>
                    </w:rPr>
                  </w:pPr>
                </w:p>
              </w:tc>
              <w:tc>
                <w:tcPr>
                  <w:tcW w:w="731" w:type="pct"/>
                  <w:tcBorders>
                    <w:left w:val="single" w:color="auto" w:sz="4" w:space="0"/>
                    <w:bottom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FF0000"/>
                      <w:sz w:val="21"/>
                      <w:szCs w:val="21"/>
                      <w:u w:val="single"/>
                      <w:lang w:val="en-US" w:eastAsia="zh-CN"/>
                    </w:rPr>
                  </w:pPr>
                  <w:r>
                    <w:rPr>
                      <w:rFonts w:hint="eastAsia"/>
                      <w:color w:val="FF0000"/>
                      <w:sz w:val="21"/>
                      <w:szCs w:val="21"/>
                      <w:u w:val="single"/>
                      <w:lang w:val="en-US" w:eastAsia="zh-CN"/>
                    </w:rPr>
                    <w:t>氯化物</w:t>
                  </w:r>
                </w:p>
              </w:tc>
              <w:tc>
                <w:tcPr>
                  <w:tcW w:w="921" w:type="pct"/>
                  <w:tcBorders>
                    <w:bottom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FF0000"/>
                      <w:sz w:val="21"/>
                      <w:szCs w:val="21"/>
                      <w:u w:val="single"/>
                      <w:lang w:val="en-US" w:eastAsia="zh-CN"/>
                    </w:rPr>
                  </w:pPr>
                  <w:r>
                    <w:rPr>
                      <w:rFonts w:hint="eastAsia"/>
                      <w:color w:val="FF0000"/>
                      <w:sz w:val="21"/>
                      <w:szCs w:val="21"/>
                      <w:u w:val="single"/>
                      <w:lang w:val="en-US" w:eastAsia="zh-CN"/>
                    </w:rPr>
                    <w:t>0.1639</w:t>
                  </w:r>
                  <w:r>
                    <w:rPr>
                      <w:color w:val="FF0000"/>
                      <w:sz w:val="21"/>
                      <w:szCs w:val="21"/>
                      <w:u w:val="single"/>
                    </w:rPr>
                    <w:t>t/a</w:t>
                  </w:r>
                </w:p>
              </w:tc>
              <w:tc>
                <w:tcPr>
                  <w:tcW w:w="1131" w:type="pct"/>
                  <w:tcBorders>
                    <w:bottom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FF0000"/>
                      <w:sz w:val="21"/>
                      <w:szCs w:val="21"/>
                      <w:u w:val="single"/>
                      <w:lang w:val="en-US" w:eastAsia="zh-CN"/>
                    </w:rPr>
                  </w:pPr>
                  <w:r>
                    <w:rPr>
                      <w:rFonts w:hint="eastAsia"/>
                      <w:color w:val="FF0000"/>
                      <w:sz w:val="21"/>
                      <w:szCs w:val="21"/>
                      <w:u w:val="single"/>
                      <w:lang w:val="en-US" w:eastAsia="zh-CN"/>
                    </w:rPr>
                    <w:t>0.2782</w:t>
                  </w:r>
                  <w:r>
                    <w:rPr>
                      <w:color w:val="FF0000"/>
                      <w:sz w:val="21"/>
                      <w:szCs w:val="21"/>
                      <w:u w:val="single"/>
                    </w:rPr>
                    <w:t>t/a</w:t>
                  </w:r>
                </w:p>
              </w:tc>
              <w:tc>
                <w:tcPr>
                  <w:tcW w:w="1213" w:type="pct"/>
                  <w:tcBorders>
                    <w:bottom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FF0000"/>
                      <w:sz w:val="21"/>
                      <w:szCs w:val="21"/>
                      <w:u w:val="single"/>
                      <w:lang w:val="en-US" w:eastAsia="zh-CN"/>
                    </w:rPr>
                  </w:pPr>
                  <w:r>
                    <w:rPr>
                      <w:rFonts w:hint="eastAsia"/>
                      <w:color w:val="FF0000"/>
                      <w:sz w:val="21"/>
                      <w:szCs w:val="21"/>
                      <w:u w:val="single"/>
                      <w:lang w:val="en-US" w:eastAsia="zh-CN"/>
                    </w:rPr>
                    <w:t>+0.1143</w:t>
                  </w:r>
                  <w:r>
                    <w:rPr>
                      <w:color w:val="FF0000"/>
                      <w:sz w:val="21"/>
                      <w:szCs w:val="21"/>
                      <w:u w:val="single"/>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15" w:type="pct"/>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color w:val="FF0000"/>
                      <w:sz w:val="21"/>
                      <w:szCs w:val="21"/>
                      <w:u w:val="single"/>
                    </w:rPr>
                  </w:pPr>
                  <w:r>
                    <w:rPr>
                      <w:color w:val="FF0000"/>
                      <w:sz w:val="21"/>
                      <w:szCs w:val="21"/>
                      <w:u w:val="single"/>
                    </w:rPr>
                    <w:t>大气污染物</w:t>
                  </w:r>
                </w:p>
              </w:tc>
              <w:tc>
                <w:tcPr>
                  <w:tcW w:w="1118" w:type="pct"/>
                  <w:gridSpan w:val="2"/>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FF0000"/>
                      <w:sz w:val="21"/>
                      <w:szCs w:val="21"/>
                      <w:u w:val="single"/>
                      <w:lang w:val="en-US" w:eastAsia="zh-CN"/>
                    </w:rPr>
                  </w:pPr>
                  <w:r>
                    <w:rPr>
                      <w:rFonts w:hint="eastAsia"/>
                      <w:color w:val="FF0000"/>
                      <w:sz w:val="21"/>
                      <w:szCs w:val="21"/>
                      <w:u w:val="single"/>
                      <w:lang w:val="en-US" w:eastAsia="zh-CN"/>
                    </w:rPr>
                    <w:t>HCl、NH</w:t>
                  </w:r>
                  <w:r>
                    <w:rPr>
                      <w:rFonts w:hint="eastAsia"/>
                      <w:color w:val="FF0000"/>
                      <w:sz w:val="21"/>
                      <w:szCs w:val="21"/>
                      <w:u w:val="single"/>
                      <w:vertAlign w:val="subscript"/>
                      <w:lang w:val="en-US" w:eastAsia="zh-CN"/>
                    </w:rPr>
                    <w:t>3</w:t>
                  </w:r>
                  <w:r>
                    <w:rPr>
                      <w:rFonts w:hint="eastAsia"/>
                      <w:color w:val="FF0000"/>
                      <w:sz w:val="21"/>
                      <w:szCs w:val="21"/>
                      <w:u w:val="single"/>
                      <w:lang w:val="en-US" w:eastAsia="zh-CN"/>
                    </w:rPr>
                    <w:t>、臭气浓度</w:t>
                  </w:r>
                </w:p>
              </w:tc>
              <w:tc>
                <w:tcPr>
                  <w:tcW w:w="921" w:type="pct"/>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FF0000"/>
                      <w:sz w:val="21"/>
                      <w:szCs w:val="21"/>
                      <w:u w:val="single"/>
                      <w:lang w:val="en-US" w:eastAsia="zh-CN"/>
                    </w:rPr>
                  </w:pPr>
                  <w:r>
                    <w:rPr>
                      <w:rFonts w:hint="eastAsia"/>
                      <w:color w:val="FF0000"/>
                      <w:sz w:val="21"/>
                      <w:szCs w:val="21"/>
                      <w:u w:val="single"/>
                      <w:lang w:val="en-US" w:eastAsia="zh-CN"/>
                    </w:rPr>
                    <w:t>少量</w:t>
                  </w:r>
                </w:p>
              </w:tc>
              <w:tc>
                <w:tcPr>
                  <w:tcW w:w="1131" w:type="pct"/>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FF0000"/>
                      <w:sz w:val="21"/>
                      <w:szCs w:val="21"/>
                      <w:u w:val="single"/>
                      <w:lang w:val="en-US" w:eastAsia="zh-CN"/>
                    </w:rPr>
                  </w:pPr>
                  <w:r>
                    <w:rPr>
                      <w:rFonts w:hint="eastAsia"/>
                      <w:color w:val="FF0000"/>
                      <w:sz w:val="21"/>
                      <w:szCs w:val="21"/>
                      <w:u w:val="single"/>
                      <w:lang w:val="en-US" w:eastAsia="zh-CN"/>
                    </w:rPr>
                    <w:t>少量</w:t>
                  </w:r>
                </w:p>
              </w:tc>
              <w:tc>
                <w:tcPr>
                  <w:tcW w:w="1213" w:type="pct"/>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FF0000"/>
                      <w:sz w:val="21"/>
                      <w:szCs w:val="21"/>
                      <w:u w:val="single"/>
                      <w:lang w:val="en-US" w:eastAsia="zh-CN"/>
                    </w:rPr>
                  </w:pPr>
                  <w:r>
                    <w:rPr>
                      <w:rFonts w:hint="eastAsia"/>
                      <w:color w:val="FF0000"/>
                      <w:sz w:val="21"/>
                      <w:szCs w:val="21"/>
                      <w:u w:val="single"/>
                      <w:lang w:val="en-US" w:eastAsia="zh-CN"/>
                    </w:rPr>
                    <w:t>少量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15" w:type="pct"/>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color w:val="FF0000"/>
                      <w:sz w:val="21"/>
                      <w:szCs w:val="21"/>
                      <w:u w:val="single"/>
                      <w:lang w:val="en-US" w:eastAsia="zh-CN"/>
                    </w:rPr>
                  </w:pPr>
                  <w:r>
                    <w:rPr>
                      <w:rFonts w:hint="eastAsia"/>
                      <w:color w:val="FF0000"/>
                      <w:sz w:val="21"/>
                      <w:szCs w:val="21"/>
                      <w:u w:val="single"/>
                      <w:lang w:val="en-US" w:eastAsia="zh-CN"/>
                    </w:rPr>
                    <w:t>固废</w:t>
                  </w:r>
                </w:p>
              </w:tc>
              <w:tc>
                <w:tcPr>
                  <w:tcW w:w="1118" w:type="pct"/>
                  <w:gridSpan w:val="2"/>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FF0000"/>
                      <w:sz w:val="21"/>
                      <w:szCs w:val="21"/>
                      <w:u w:val="single"/>
                      <w:lang w:eastAsia="zh-CN"/>
                    </w:rPr>
                  </w:pPr>
                  <w:r>
                    <w:rPr>
                      <w:rFonts w:hint="eastAsia"/>
                      <w:color w:val="FF0000"/>
                      <w:sz w:val="21"/>
                      <w:szCs w:val="21"/>
                      <w:u w:val="single"/>
                      <w:lang w:val="en-US" w:eastAsia="zh-CN"/>
                    </w:rPr>
                    <w:t>一般性包装废物</w:t>
                  </w:r>
                </w:p>
              </w:tc>
              <w:tc>
                <w:tcPr>
                  <w:tcW w:w="921" w:type="pct"/>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color w:val="FF0000"/>
                      <w:sz w:val="21"/>
                      <w:szCs w:val="21"/>
                      <w:u w:val="single"/>
                    </w:rPr>
                  </w:pPr>
                  <w:r>
                    <w:rPr>
                      <w:rFonts w:hint="eastAsia"/>
                      <w:color w:val="FF0000"/>
                      <w:sz w:val="21"/>
                      <w:szCs w:val="21"/>
                      <w:u w:val="single"/>
                      <w:lang w:val="en-US" w:eastAsia="zh-CN"/>
                    </w:rPr>
                    <w:t>0.2t/a</w:t>
                  </w:r>
                </w:p>
              </w:tc>
              <w:tc>
                <w:tcPr>
                  <w:tcW w:w="1131" w:type="pct"/>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FF0000"/>
                      <w:sz w:val="21"/>
                      <w:szCs w:val="21"/>
                      <w:u w:val="single"/>
                      <w:lang w:val="en-US" w:eastAsia="zh-CN"/>
                    </w:rPr>
                  </w:pPr>
                  <w:r>
                    <w:rPr>
                      <w:rFonts w:hint="eastAsia"/>
                      <w:color w:val="FF0000"/>
                      <w:sz w:val="21"/>
                      <w:szCs w:val="21"/>
                      <w:u w:val="single"/>
                      <w:lang w:val="en-US" w:eastAsia="zh-CN"/>
                    </w:rPr>
                    <w:t>0.5t/a</w:t>
                  </w:r>
                </w:p>
              </w:tc>
              <w:tc>
                <w:tcPr>
                  <w:tcW w:w="1213" w:type="pct"/>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FF0000"/>
                      <w:sz w:val="21"/>
                      <w:szCs w:val="21"/>
                      <w:u w:val="single"/>
                      <w:lang w:val="en-US" w:eastAsia="zh-CN"/>
                    </w:rPr>
                  </w:pPr>
                  <w:r>
                    <w:rPr>
                      <w:rFonts w:hint="eastAsia"/>
                      <w:color w:val="FF0000"/>
                      <w:sz w:val="21"/>
                      <w:szCs w:val="21"/>
                      <w:u w:val="single"/>
                      <w:lang w:val="en-US" w:eastAsia="zh-CN"/>
                    </w:rPr>
                    <w:t>+0.3t/a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615" w:type="pct"/>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color w:val="FF0000"/>
                      <w:sz w:val="21"/>
                      <w:szCs w:val="21"/>
                      <w:u w:val="single"/>
                    </w:rPr>
                  </w:pPr>
                </w:p>
              </w:tc>
              <w:tc>
                <w:tcPr>
                  <w:tcW w:w="1118" w:type="pct"/>
                  <w:gridSpan w:val="2"/>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color w:val="FF0000"/>
                      <w:sz w:val="21"/>
                      <w:szCs w:val="21"/>
                      <w:u w:val="single"/>
                    </w:rPr>
                  </w:pPr>
                  <w:r>
                    <w:rPr>
                      <w:rFonts w:hint="eastAsia"/>
                      <w:color w:val="FF0000"/>
                      <w:sz w:val="21"/>
                      <w:szCs w:val="21"/>
                      <w:u w:val="single"/>
                      <w:lang w:val="en-US" w:eastAsia="zh-CN"/>
                    </w:rPr>
                    <w:t>废反渗透膜</w:t>
                  </w:r>
                </w:p>
              </w:tc>
              <w:tc>
                <w:tcPr>
                  <w:tcW w:w="921" w:type="pct"/>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FF0000"/>
                      <w:sz w:val="21"/>
                      <w:szCs w:val="21"/>
                      <w:u w:val="single"/>
                    </w:rPr>
                  </w:pPr>
                  <w:r>
                    <w:rPr>
                      <w:rFonts w:hint="eastAsia"/>
                      <w:color w:val="FF0000"/>
                      <w:sz w:val="21"/>
                      <w:szCs w:val="21"/>
                      <w:u w:val="single"/>
                      <w:lang w:val="en-US" w:eastAsia="zh-CN"/>
                    </w:rPr>
                    <w:t>0</w:t>
                  </w:r>
                </w:p>
              </w:tc>
              <w:tc>
                <w:tcPr>
                  <w:tcW w:w="1131" w:type="pct"/>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FF0000"/>
                      <w:sz w:val="21"/>
                      <w:szCs w:val="21"/>
                      <w:u w:val="single"/>
                      <w:lang w:val="en-US" w:eastAsia="zh-CN"/>
                    </w:rPr>
                  </w:pPr>
                  <w:r>
                    <w:rPr>
                      <w:rFonts w:hint="eastAsia"/>
                      <w:color w:val="FF0000"/>
                      <w:sz w:val="21"/>
                      <w:szCs w:val="21"/>
                      <w:u w:val="single"/>
                      <w:lang w:val="en-US" w:eastAsia="zh-CN"/>
                    </w:rPr>
                    <w:t>0.02t/a</w:t>
                  </w:r>
                </w:p>
              </w:tc>
              <w:tc>
                <w:tcPr>
                  <w:tcW w:w="1213" w:type="pct"/>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FF0000"/>
                      <w:sz w:val="21"/>
                      <w:szCs w:val="21"/>
                      <w:u w:val="single"/>
                      <w:lang w:val="en-US" w:eastAsia="zh-CN"/>
                    </w:rPr>
                  </w:pPr>
                  <w:r>
                    <w:rPr>
                      <w:rFonts w:hint="eastAsia"/>
                      <w:color w:val="FF0000"/>
                      <w:sz w:val="21"/>
                      <w:szCs w:val="21"/>
                      <w:u w:val="single"/>
                      <w:lang w:val="en-US" w:eastAsia="zh-CN"/>
                    </w:rPr>
                    <w:t>+0.02t/a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15" w:type="pct"/>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color w:val="FF0000"/>
                      <w:sz w:val="21"/>
                      <w:szCs w:val="21"/>
                      <w:u w:val="single"/>
                    </w:rPr>
                  </w:pPr>
                </w:p>
              </w:tc>
              <w:tc>
                <w:tcPr>
                  <w:tcW w:w="1118" w:type="pct"/>
                  <w:gridSpan w:val="2"/>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color w:val="FF0000"/>
                      <w:sz w:val="21"/>
                      <w:szCs w:val="21"/>
                      <w:u w:val="single"/>
                    </w:rPr>
                  </w:pPr>
                  <w:r>
                    <w:rPr>
                      <w:rFonts w:hint="eastAsia"/>
                      <w:color w:val="FF0000"/>
                      <w:sz w:val="21"/>
                      <w:szCs w:val="21"/>
                      <w:u w:val="single"/>
                      <w:lang w:val="en-US" w:eastAsia="zh-CN"/>
                    </w:rPr>
                    <w:t>废离子交换树脂</w:t>
                  </w:r>
                </w:p>
              </w:tc>
              <w:tc>
                <w:tcPr>
                  <w:tcW w:w="921" w:type="pct"/>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FF0000"/>
                      <w:sz w:val="21"/>
                      <w:szCs w:val="21"/>
                      <w:u w:val="single"/>
                      <w:lang w:val="en-US" w:eastAsia="zh-CN"/>
                    </w:rPr>
                  </w:pPr>
                  <w:r>
                    <w:rPr>
                      <w:rFonts w:hint="eastAsia"/>
                      <w:color w:val="FF0000"/>
                      <w:sz w:val="21"/>
                      <w:szCs w:val="21"/>
                      <w:u w:val="single"/>
                      <w:lang w:val="en-US" w:eastAsia="zh-CN"/>
                    </w:rPr>
                    <w:t>4.3t/a</w:t>
                  </w:r>
                </w:p>
              </w:tc>
              <w:tc>
                <w:tcPr>
                  <w:tcW w:w="1131" w:type="pct"/>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FF0000"/>
                      <w:sz w:val="21"/>
                      <w:szCs w:val="21"/>
                      <w:u w:val="single"/>
                      <w:lang w:val="en-US" w:eastAsia="zh-CN"/>
                    </w:rPr>
                  </w:pPr>
                  <w:r>
                    <w:rPr>
                      <w:rFonts w:hint="eastAsia"/>
                      <w:color w:val="FF0000"/>
                      <w:sz w:val="21"/>
                      <w:szCs w:val="21"/>
                      <w:u w:val="single"/>
                      <w:lang w:val="en-US" w:eastAsia="zh-CN"/>
                    </w:rPr>
                    <w:t>10.5t/a</w:t>
                  </w:r>
                </w:p>
              </w:tc>
              <w:tc>
                <w:tcPr>
                  <w:tcW w:w="1213" w:type="pct"/>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FF0000"/>
                      <w:sz w:val="21"/>
                      <w:szCs w:val="21"/>
                      <w:u w:val="single"/>
                      <w:lang w:val="en-US" w:eastAsia="zh-CN"/>
                    </w:rPr>
                  </w:pPr>
                  <w:r>
                    <w:rPr>
                      <w:rFonts w:hint="eastAsia"/>
                      <w:color w:val="FF0000"/>
                      <w:sz w:val="21"/>
                      <w:szCs w:val="21"/>
                      <w:u w:val="single"/>
                      <w:lang w:val="en-US" w:eastAsia="zh-CN"/>
                    </w:rPr>
                    <w:t>+6.2t/a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15" w:type="pct"/>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color w:val="FF0000"/>
                      <w:sz w:val="21"/>
                      <w:szCs w:val="21"/>
                      <w:u w:val="single"/>
                    </w:rPr>
                  </w:pPr>
                </w:p>
              </w:tc>
              <w:tc>
                <w:tcPr>
                  <w:tcW w:w="1118" w:type="pct"/>
                  <w:gridSpan w:val="2"/>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color w:val="FF0000"/>
                      <w:sz w:val="21"/>
                      <w:szCs w:val="21"/>
                      <w:u w:val="single"/>
                    </w:rPr>
                  </w:pPr>
                  <w:r>
                    <w:rPr>
                      <w:rFonts w:hint="eastAsia"/>
                      <w:color w:val="FF0000"/>
                      <w:sz w:val="21"/>
                      <w:szCs w:val="21"/>
                      <w:u w:val="single"/>
                      <w:lang w:val="en-US" w:eastAsia="zh-CN"/>
                    </w:rPr>
                    <w:t>干化污泥</w:t>
                  </w:r>
                </w:p>
              </w:tc>
              <w:tc>
                <w:tcPr>
                  <w:tcW w:w="921" w:type="pct"/>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FF0000"/>
                      <w:sz w:val="21"/>
                      <w:szCs w:val="21"/>
                      <w:u w:val="single"/>
                      <w:lang w:val="en-US" w:eastAsia="zh-CN"/>
                    </w:rPr>
                  </w:pPr>
                  <w:r>
                    <w:rPr>
                      <w:rFonts w:hint="eastAsia"/>
                      <w:color w:val="FF0000"/>
                      <w:sz w:val="21"/>
                      <w:szCs w:val="21"/>
                      <w:u w:val="single"/>
                      <w:lang w:val="en-US" w:eastAsia="zh-CN"/>
                    </w:rPr>
                    <w:t>550</w:t>
                  </w:r>
                  <w:r>
                    <w:rPr>
                      <w:color w:val="FF0000"/>
                      <w:sz w:val="21"/>
                      <w:szCs w:val="21"/>
                      <w:u w:val="single"/>
                    </w:rPr>
                    <w:t>t/a</w:t>
                  </w:r>
                </w:p>
              </w:tc>
              <w:tc>
                <w:tcPr>
                  <w:tcW w:w="1131" w:type="pct"/>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FF0000"/>
                      <w:sz w:val="21"/>
                      <w:szCs w:val="21"/>
                      <w:u w:val="single"/>
                      <w:lang w:val="en-US" w:eastAsia="zh-CN"/>
                    </w:rPr>
                  </w:pPr>
                  <w:r>
                    <w:rPr>
                      <w:rFonts w:hint="eastAsia"/>
                      <w:color w:val="FF0000"/>
                      <w:sz w:val="21"/>
                      <w:szCs w:val="21"/>
                      <w:u w:val="single"/>
                      <w:lang w:val="en-US" w:eastAsia="zh-CN"/>
                    </w:rPr>
                    <w:t>985.5t/a</w:t>
                  </w:r>
                </w:p>
              </w:tc>
              <w:tc>
                <w:tcPr>
                  <w:tcW w:w="1213" w:type="pct"/>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FF0000"/>
                      <w:sz w:val="21"/>
                      <w:szCs w:val="21"/>
                      <w:u w:val="single"/>
                      <w:lang w:val="en-US" w:eastAsia="zh-CN"/>
                    </w:rPr>
                  </w:pPr>
                  <w:r>
                    <w:rPr>
                      <w:rFonts w:hint="eastAsia"/>
                      <w:color w:val="FF0000"/>
                      <w:sz w:val="21"/>
                      <w:szCs w:val="21"/>
                      <w:u w:val="single"/>
                      <w:lang w:val="en-US" w:eastAsia="zh-CN"/>
                    </w:rPr>
                    <w:t>+435.5t/a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15" w:type="pct"/>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color w:val="FF0000"/>
                      <w:sz w:val="21"/>
                      <w:szCs w:val="21"/>
                      <w:u w:val="single"/>
                    </w:rPr>
                  </w:pPr>
                </w:p>
              </w:tc>
              <w:tc>
                <w:tcPr>
                  <w:tcW w:w="1118" w:type="pct"/>
                  <w:gridSpan w:val="2"/>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FF0000"/>
                      <w:sz w:val="21"/>
                      <w:szCs w:val="21"/>
                      <w:u w:val="single"/>
                      <w:lang w:val="en-US" w:eastAsia="zh-CN"/>
                    </w:rPr>
                  </w:pPr>
                  <w:r>
                    <w:rPr>
                      <w:rFonts w:hint="eastAsia"/>
                      <w:color w:val="FF0000"/>
                      <w:sz w:val="21"/>
                      <w:szCs w:val="21"/>
                      <w:u w:val="single"/>
                      <w:lang w:val="en-US" w:eastAsia="zh-CN"/>
                    </w:rPr>
                    <w:t>废活性炭</w:t>
                  </w:r>
                </w:p>
              </w:tc>
              <w:tc>
                <w:tcPr>
                  <w:tcW w:w="921" w:type="pct"/>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FF0000"/>
                      <w:sz w:val="21"/>
                      <w:szCs w:val="21"/>
                      <w:u w:val="single"/>
                      <w:lang w:val="en-US" w:eastAsia="zh-CN"/>
                    </w:rPr>
                  </w:pPr>
                  <w:r>
                    <w:rPr>
                      <w:rFonts w:hint="eastAsia"/>
                      <w:color w:val="FF0000"/>
                      <w:sz w:val="21"/>
                      <w:szCs w:val="21"/>
                      <w:u w:val="single"/>
                      <w:lang w:val="en-US" w:eastAsia="zh-CN"/>
                    </w:rPr>
                    <w:t>4.2t/a</w:t>
                  </w:r>
                </w:p>
              </w:tc>
              <w:tc>
                <w:tcPr>
                  <w:tcW w:w="1131" w:type="pct"/>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FF0000"/>
                      <w:sz w:val="21"/>
                      <w:szCs w:val="21"/>
                      <w:u w:val="single"/>
                      <w:lang w:val="en-US" w:eastAsia="zh-CN"/>
                    </w:rPr>
                  </w:pPr>
                  <w:r>
                    <w:rPr>
                      <w:rFonts w:hint="eastAsia"/>
                      <w:color w:val="FF0000"/>
                      <w:sz w:val="21"/>
                      <w:szCs w:val="21"/>
                      <w:u w:val="single"/>
                      <w:lang w:val="en-US" w:eastAsia="zh-CN"/>
                    </w:rPr>
                    <w:t>10.8t/a</w:t>
                  </w:r>
                </w:p>
              </w:tc>
              <w:tc>
                <w:tcPr>
                  <w:tcW w:w="1213" w:type="pct"/>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FF0000"/>
                      <w:sz w:val="21"/>
                      <w:szCs w:val="21"/>
                      <w:u w:val="single"/>
                      <w:lang w:val="en-US" w:eastAsia="zh-CN"/>
                    </w:rPr>
                  </w:pPr>
                  <w:r>
                    <w:rPr>
                      <w:rFonts w:hint="eastAsia"/>
                      <w:color w:val="FF0000"/>
                      <w:sz w:val="21"/>
                      <w:szCs w:val="21"/>
                      <w:u w:val="single"/>
                      <w:lang w:val="en-US" w:eastAsia="zh-CN"/>
                    </w:rPr>
                    <w:t>+6.6t/a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615" w:type="pct"/>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color w:val="FF0000"/>
                      <w:sz w:val="21"/>
                      <w:szCs w:val="21"/>
                      <w:u w:val="single"/>
                    </w:rPr>
                  </w:pPr>
                </w:p>
              </w:tc>
              <w:tc>
                <w:tcPr>
                  <w:tcW w:w="1118" w:type="pct"/>
                  <w:gridSpan w:val="2"/>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FF0000"/>
                      <w:sz w:val="21"/>
                      <w:szCs w:val="21"/>
                      <w:u w:val="single"/>
                      <w:lang w:val="en-US" w:eastAsia="zh-CN"/>
                    </w:rPr>
                  </w:pPr>
                  <w:r>
                    <w:rPr>
                      <w:rFonts w:hint="eastAsia"/>
                      <w:color w:val="FF0000"/>
                      <w:sz w:val="21"/>
                      <w:szCs w:val="21"/>
                      <w:u w:val="single"/>
                      <w:lang w:val="en-US" w:eastAsia="zh-CN"/>
                    </w:rPr>
                    <w:t>废石英砂</w:t>
                  </w:r>
                </w:p>
              </w:tc>
              <w:tc>
                <w:tcPr>
                  <w:tcW w:w="921" w:type="pct"/>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FF0000"/>
                      <w:sz w:val="21"/>
                      <w:szCs w:val="21"/>
                      <w:u w:val="single"/>
                      <w:lang w:val="en-US" w:eastAsia="zh-CN"/>
                    </w:rPr>
                  </w:pPr>
                  <w:r>
                    <w:rPr>
                      <w:rFonts w:hint="eastAsia"/>
                      <w:color w:val="FF0000"/>
                      <w:sz w:val="21"/>
                      <w:szCs w:val="21"/>
                      <w:u w:val="single"/>
                      <w:lang w:val="en-US" w:eastAsia="zh-CN"/>
                    </w:rPr>
                    <w:t>40t/a</w:t>
                  </w:r>
                </w:p>
              </w:tc>
              <w:tc>
                <w:tcPr>
                  <w:tcW w:w="1131" w:type="pct"/>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FF0000"/>
                      <w:sz w:val="21"/>
                      <w:szCs w:val="21"/>
                      <w:u w:val="single"/>
                      <w:lang w:val="en-US" w:eastAsia="zh-CN"/>
                    </w:rPr>
                  </w:pPr>
                  <w:r>
                    <w:rPr>
                      <w:rFonts w:hint="eastAsia"/>
                      <w:color w:val="FF0000"/>
                      <w:sz w:val="21"/>
                      <w:szCs w:val="21"/>
                      <w:u w:val="single"/>
                      <w:lang w:val="en-US" w:eastAsia="zh-CN"/>
                    </w:rPr>
                    <w:t>111.1t/a</w:t>
                  </w:r>
                </w:p>
              </w:tc>
              <w:tc>
                <w:tcPr>
                  <w:tcW w:w="1213" w:type="pct"/>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FF0000"/>
                      <w:sz w:val="21"/>
                      <w:szCs w:val="21"/>
                      <w:u w:val="single"/>
                      <w:lang w:val="en-US" w:eastAsia="zh-CN"/>
                    </w:rPr>
                  </w:pPr>
                  <w:r>
                    <w:rPr>
                      <w:rFonts w:hint="eastAsia"/>
                      <w:color w:val="FF0000"/>
                      <w:sz w:val="21"/>
                      <w:szCs w:val="21"/>
                      <w:u w:val="single"/>
                      <w:lang w:val="en-US" w:eastAsia="zh-CN"/>
                    </w:rPr>
                    <w:t>+71.1t/a</w:t>
                  </w:r>
                </w:p>
              </w:tc>
            </w:tr>
          </w:tbl>
          <w:p>
            <w:pPr>
              <w:pStyle w:val="57"/>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000000"/>
                <w:highlight w:val="none"/>
                <w:lang w:val="en-US" w:eastAsia="zh-CN"/>
              </w:rPr>
            </w:pPr>
          </w:p>
        </w:tc>
      </w:tr>
    </w:tbl>
    <w:p>
      <w:pPr>
        <w:pStyle w:val="18"/>
        <w:jc w:val="center"/>
        <w:rPr>
          <w:rFonts w:ascii="黑体" w:hAnsi="黑体" w:eastAsia="黑体"/>
          <w:snapToGrid w:val="0"/>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8"/>
        <w:jc w:val="center"/>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7"/>
        <w:gridCol w:w="83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61" w:hRule="atLeast"/>
          <w:jc w:val="center"/>
        </w:trPr>
        <w:tc>
          <w:tcPr>
            <w:tcW w:w="737" w:type="dxa"/>
            <w:noWrap w:val="0"/>
            <w:vAlign w:val="center"/>
          </w:tcPr>
          <w:p>
            <w:pPr>
              <w:adjustRightInd w:val="0"/>
              <w:snapToGrid w:val="0"/>
              <w:jc w:val="center"/>
              <w:rPr>
                <w:rFonts w:hint="eastAsia" w:ascii="宋体" w:hAnsi="宋体" w:cs="宋体"/>
                <w:kern w:val="0"/>
                <w:sz w:val="24"/>
                <w:szCs w:val="24"/>
              </w:rPr>
            </w:pPr>
            <w:r>
              <w:rPr>
                <w:rFonts w:hint="eastAsia" w:ascii="宋体" w:hAnsi="宋体" w:cs="宋体"/>
                <w:kern w:val="0"/>
                <w:sz w:val="24"/>
                <w:szCs w:val="24"/>
              </w:rPr>
              <w:t>区域</w:t>
            </w:r>
          </w:p>
          <w:p>
            <w:pPr>
              <w:adjustRightInd w:val="0"/>
              <w:snapToGrid w:val="0"/>
              <w:jc w:val="center"/>
              <w:rPr>
                <w:rFonts w:hint="eastAsia" w:ascii="宋体" w:hAnsi="宋体" w:cs="宋体"/>
                <w:kern w:val="0"/>
                <w:sz w:val="24"/>
                <w:szCs w:val="24"/>
              </w:rPr>
            </w:pPr>
            <w:r>
              <w:rPr>
                <w:rFonts w:hint="eastAsia" w:ascii="宋体" w:hAnsi="宋体" w:cs="宋体"/>
                <w:kern w:val="0"/>
                <w:sz w:val="24"/>
                <w:szCs w:val="24"/>
              </w:rPr>
              <w:t>环境</w:t>
            </w:r>
          </w:p>
          <w:p>
            <w:pPr>
              <w:adjustRightInd w:val="0"/>
              <w:snapToGrid w:val="0"/>
              <w:jc w:val="center"/>
              <w:rPr>
                <w:rFonts w:hint="eastAsia" w:ascii="宋体" w:hAnsi="宋体" w:cs="宋体"/>
                <w:kern w:val="0"/>
                <w:sz w:val="24"/>
                <w:szCs w:val="24"/>
              </w:rPr>
            </w:pPr>
            <w:r>
              <w:rPr>
                <w:rFonts w:hint="eastAsia" w:ascii="宋体" w:hAnsi="宋体" w:cs="宋体"/>
                <w:kern w:val="0"/>
                <w:sz w:val="24"/>
                <w:szCs w:val="24"/>
              </w:rPr>
              <w:t>质量</w:t>
            </w:r>
          </w:p>
          <w:p>
            <w:pPr>
              <w:adjustRightInd w:val="0"/>
              <w:snapToGrid w:val="0"/>
              <w:jc w:val="center"/>
              <w:rPr>
                <w:rFonts w:ascii="宋体" w:hAnsi="宋体" w:cs="宋体"/>
                <w:kern w:val="0"/>
                <w:szCs w:val="21"/>
              </w:rPr>
            </w:pPr>
            <w:r>
              <w:rPr>
                <w:rFonts w:hint="eastAsia" w:ascii="宋体" w:hAnsi="宋体" w:cs="宋体"/>
                <w:kern w:val="0"/>
                <w:sz w:val="24"/>
                <w:szCs w:val="24"/>
              </w:rPr>
              <w:t>现状</w:t>
            </w:r>
          </w:p>
        </w:tc>
        <w:tc>
          <w:tcPr>
            <w:tcW w:w="8334" w:type="dxa"/>
            <w:noWrap w:val="0"/>
            <w:vAlign w:val="center"/>
          </w:tcPr>
          <w:p>
            <w:pPr>
              <w:pStyle w:val="55"/>
              <w:rPr>
                <w:rFonts w:hint="default" w:ascii="Times New Roman" w:hAnsi="Times New Roman" w:cs="Times New Roman"/>
                <w:color w:val="auto"/>
                <w:u w:val="none"/>
              </w:rPr>
            </w:pPr>
            <w:r>
              <w:rPr>
                <w:rFonts w:hint="default" w:ascii="Times New Roman" w:hAnsi="Times New Roman" w:cs="Times New Roman"/>
                <w:color w:val="auto"/>
                <w:u w:val="none"/>
              </w:rPr>
              <w:t>建设项目所在地区域环境质量现状及主要环境问题(环境空气、地面水、地下水、声环境、生态环境等):</w:t>
            </w:r>
          </w:p>
          <w:p>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eastAsia"/>
                <w:b/>
                <w:bCs/>
                <w:u w:val="none" w:color="auto"/>
                <w:lang w:eastAsia="zh-CN"/>
              </w:rPr>
            </w:pPr>
            <w:r>
              <w:rPr>
                <w:rFonts w:hint="eastAsia"/>
                <w:b/>
                <w:bCs/>
                <w:u w:val="none" w:color="auto"/>
                <w:lang w:val="en-US" w:eastAsia="zh-CN"/>
              </w:rPr>
              <w:t>一、</w:t>
            </w:r>
            <w:r>
              <w:rPr>
                <w:b/>
                <w:bCs/>
                <w:u w:val="none" w:color="auto"/>
              </w:rPr>
              <w:t>项目</w:t>
            </w:r>
            <w:r>
              <w:rPr>
                <w:rFonts w:hint="eastAsia"/>
                <w:b/>
                <w:bCs/>
                <w:u w:val="none" w:color="auto"/>
              </w:rPr>
              <w:t>所在区域环境质量达标情况</w:t>
            </w:r>
          </w:p>
          <w:p>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u w:val="none" w:color="auto"/>
              </w:rPr>
            </w:pPr>
            <w:r>
              <w:rPr>
                <w:rFonts w:hint="eastAsia"/>
                <w:u w:val="none" w:color="auto"/>
              </w:rPr>
              <w:t>本次评价收集了怀化市环境保护监测站编制的《怀化市城市环境空气质量年报（202</w:t>
            </w:r>
            <w:r>
              <w:rPr>
                <w:rFonts w:hint="eastAsia"/>
                <w:u w:val="none" w:color="auto"/>
                <w:lang w:val="en-US" w:eastAsia="zh-CN"/>
              </w:rPr>
              <w:t>1</w:t>
            </w:r>
            <w:r>
              <w:rPr>
                <w:rFonts w:hint="eastAsia"/>
                <w:u w:val="none" w:color="auto"/>
              </w:rPr>
              <w:t>年）》，针对项目所在区域（洪江区）达标判定，本次评价直接引用该年报中洪江区的数据。</w:t>
            </w:r>
          </w:p>
          <w:p>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u w:val="none" w:color="auto"/>
              </w:rPr>
            </w:pPr>
            <w:r>
              <w:rPr>
                <w:rFonts w:hint="eastAsia"/>
                <w:u w:val="none" w:color="auto"/>
              </w:rPr>
              <w:t>项目所在的洪江区空气质量现状评价详见下表。</w:t>
            </w:r>
          </w:p>
          <w:p>
            <w:pPr>
              <w:pStyle w:val="10"/>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表</w:t>
            </w:r>
            <w:r>
              <w:rPr>
                <w:rFonts w:hint="eastAsia" w:ascii="Times New Roman" w:hAnsi="Times New Roman" w:eastAsia="宋体" w:cs="Times New Roman"/>
                <w:sz w:val="21"/>
                <w:szCs w:val="21"/>
                <w:u w:val="none" w:color="auto"/>
                <w:lang w:val="en-US" w:eastAsia="zh-CN"/>
              </w:rPr>
              <w:t>3</w:t>
            </w:r>
            <w:r>
              <w:rPr>
                <w:rFonts w:hint="eastAsia" w:ascii="Times New Roman" w:hAnsi="Times New Roman" w:eastAsia="宋体" w:cs="Times New Roman"/>
                <w:sz w:val="21"/>
                <w:szCs w:val="21"/>
                <w:u w:val="none" w:color="auto"/>
              </w:rPr>
              <w:t>-1 项目所在区域空气质量现状评价表</w:t>
            </w:r>
          </w:p>
          <w:tbl>
            <w:tblPr>
              <w:tblStyle w:val="22"/>
              <w:tblW w:w="5000" w:type="pct"/>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2010"/>
              <w:gridCol w:w="1346"/>
              <w:gridCol w:w="1346"/>
              <w:gridCol w:w="1124"/>
              <w:gridCol w:w="11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045"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污染物</w:t>
                  </w:r>
                </w:p>
              </w:tc>
              <w:tc>
                <w:tcPr>
                  <w:tcW w:w="2153"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年评价指标</w:t>
                  </w:r>
                </w:p>
              </w:tc>
              <w:tc>
                <w:tcPr>
                  <w:tcW w:w="1345"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现状浓度</w:t>
                  </w:r>
                </w:p>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（ug/m</w:t>
                  </w:r>
                  <w:r>
                    <w:rPr>
                      <w:rFonts w:hint="default" w:ascii="Times New Roman" w:hAnsi="Times New Roman" w:eastAsia="宋体" w:cs="Times New Roman"/>
                      <w:sz w:val="21"/>
                      <w:szCs w:val="21"/>
                      <w:u w:val="none" w:color="auto"/>
                      <w:vertAlign w:val="superscript"/>
                    </w:rPr>
                    <w:t>3</w:t>
                  </w:r>
                  <w:r>
                    <w:rPr>
                      <w:rFonts w:hint="default" w:ascii="Times New Roman" w:hAnsi="Times New Roman" w:eastAsia="宋体" w:cs="Times New Roman"/>
                      <w:sz w:val="21"/>
                      <w:szCs w:val="21"/>
                      <w:u w:val="none" w:color="auto"/>
                    </w:rPr>
                    <w:t>）</w:t>
                  </w:r>
                </w:p>
              </w:tc>
              <w:tc>
                <w:tcPr>
                  <w:tcW w:w="1346"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标准值</w:t>
                  </w:r>
                </w:p>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（ug/m</w:t>
                  </w:r>
                  <w:r>
                    <w:rPr>
                      <w:rFonts w:hint="default" w:ascii="Times New Roman" w:hAnsi="Times New Roman" w:eastAsia="宋体" w:cs="Times New Roman"/>
                      <w:sz w:val="21"/>
                      <w:szCs w:val="21"/>
                      <w:u w:val="none" w:color="auto"/>
                      <w:vertAlign w:val="superscript"/>
                    </w:rPr>
                    <w:t>3</w:t>
                  </w:r>
                  <w:r>
                    <w:rPr>
                      <w:rFonts w:hint="default" w:ascii="Times New Roman" w:hAnsi="Times New Roman" w:eastAsia="宋体" w:cs="Times New Roman"/>
                      <w:sz w:val="21"/>
                      <w:szCs w:val="21"/>
                      <w:u w:val="none" w:color="auto"/>
                    </w:rPr>
                    <w:t>）</w:t>
                  </w:r>
                </w:p>
              </w:tc>
              <w:tc>
                <w:tcPr>
                  <w:tcW w:w="1076"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占标率</w:t>
                  </w:r>
                </w:p>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w:t>
                  </w:r>
                </w:p>
              </w:tc>
              <w:tc>
                <w:tcPr>
                  <w:tcW w:w="1123"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达标</w:t>
                  </w:r>
                </w:p>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045"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SO</w:t>
                  </w:r>
                  <w:r>
                    <w:rPr>
                      <w:rFonts w:hint="default" w:ascii="Times New Roman" w:hAnsi="Times New Roman" w:eastAsia="宋体" w:cs="Times New Roman"/>
                      <w:sz w:val="21"/>
                      <w:szCs w:val="21"/>
                      <w:u w:val="none" w:color="auto"/>
                      <w:vertAlign w:val="subscript"/>
                    </w:rPr>
                    <w:t>2</w:t>
                  </w:r>
                </w:p>
              </w:tc>
              <w:tc>
                <w:tcPr>
                  <w:tcW w:w="2153"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年平均质量浓度</w:t>
                  </w:r>
                </w:p>
              </w:tc>
              <w:tc>
                <w:tcPr>
                  <w:tcW w:w="1345"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9</w:t>
                  </w:r>
                </w:p>
              </w:tc>
              <w:tc>
                <w:tcPr>
                  <w:tcW w:w="1346"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60</w:t>
                  </w:r>
                </w:p>
              </w:tc>
              <w:tc>
                <w:tcPr>
                  <w:tcW w:w="1076"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lang w:val="en-US" w:eastAsia="zh-CN"/>
                    </w:rPr>
                    <w:t>15.00</w:t>
                  </w:r>
                </w:p>
              </w:tc>
              <w:tc>
                <w:tcPr>
                  <w:tcW w:w="1123"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045"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NO</w:t>
                  </w:r>
                  <w:r>
                    <w:rPr>
                      <w:rFonts w:hint="default" w:ascii="Times New Roman" w:hAnsi="Times New Roman" w:eastAsia="宋体" w:cs="Times New Roman"/>
                      <w:sz w:val="21"/>
                      <w:szCs w:val="21"/>
                      <w:u w:val="none" w:color="auto"/>
                      <w:vertAlign w:val="subscript"/>
                    </w:rPr>
                    <w:t>2</w:t>
                  </w:r>
                </w:p>
              </w:tc>
              <w:tc>
                <w:tcPr>
                  <w:tcW w:w="2153"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年平均质量浓度</w:t>
                  </w:r>
                </w:p>
              </w:tc>
              <w:tc>
                <w:tcPr>
                  <w:tcW w:w="1345"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9</w:t>
                  </w:r>
                </w:p>
              </w:tc>
              <w:tc>
                <w:tcPr>
                  <w:tcW w:w="1346"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40</w:t>
                  </w:r>
                </w:p>
              </w:tc>
              <w:tc>
                <w:tcPr>
                  <w:tcW w:w="1076"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lang w:val="en-US" w:eastAsia="zh-CN"/>
                    </w:rPr>
                    <w:t>22.50</w:t>
                  </w:r>
                </w:p>
              </w:tc>
              <w:tc>
                <w:tcPr>
                  <w:tcW w:w="1123"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045"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PM</w:t>
                  </w:r>
                  <w:r>
                    <w:rPr>
                      <w:rFonts w:hint="default" w:ascii="Times New Roman" w:hAnsi="Times New Roman" w:eastAsia="宋体" w:cs="Times New Roman"/>
                      <w:sz w:val="21"/>
                      <w:szCs w:val="21"/>
                      <w:u w:val="none" w:color="auto"/>
                      <w:vertAlign w:val="subscript"/>
                    </w:rPr>
                    <w:t>10</w:t>
                  </w:r>
                </w:p>
              </w:tc>
              <w:tc>
                <w:tcPr>
                  <w:tcW w:w="2153"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年平均质量浓度</w:t>
                  </w:r>
                </w:p>
              </w:tc>
              <w:tc>
                <w:tcPr>
                  <w:tcW w:w="1345" w:type="dxa"/>
                  <w:vAlign w:val="center"/>
                </w:tcPr>
                <w:p>
                  <w:pPr>
                    <w:spacing w:line="240" w:lineRule="auto"/>
                    <w:ind w:firstLine="0" w:firstLineChars="0"/>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33</w:t>
                  </w:r>
                </w:p>
              </w:tc>
              <w:tc>
                <w:tcPr>
                  <w:tcW w:w="1346"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70</w:t>
                  </w:r>
                </w:p>
              </w:tc>
              <w:tc>
                <w:tcPr>
                  <w:tcW w:w="1076"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lang w:val="en-US" w:eastAsia="zh-CN"/>
                    </w:rPr>
                    <w:t>47.14</w:t>
                  </w:r>
                </w:p>
              </w:tc>
              <w:tc>
                <w:tcPr>
                  <w:tcW w:w="1123"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045"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PM</w:t>
                  </w:r>
                  <w:r>
                    <w:rPr>
                      <w:rFonts w:hint="default" w:ascii="Times New Roman" w:hAnsi="Times New Roman" w:eastAsia="宋体" w:cs="Times New Roman"/>
                      <w:sz w:val="21"/>
                      <w:szCs w:val="21"/>
                      <w:u w:val="none" w:color="auto"/>
                      <w:vertAlign w:val="subscript"/>
                    </w:rPr>
                    <w:t>2.5</w:t>
                  </w:r>
                </w:p>
              </w:tc>
              <w:tc>
                <w:tcPr>
                  <w:tcW w:w="2153"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年平均质量浓度</w:t>
                  </w:r>
                </w:p>
              </w:tc>
              <w:tc>
                <w:tcPr>
                  <w:tcW w:w="1345"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23</w:t>
                  </w:r>
                </w:p>
              </w:tc>
              <w:tc>
                <w:tcPr>
                  <w:tcW w:w="1346"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35</w:t>
                  </w:r>
                </w:p>
              </w:tc>
              <w:tc>
                <w:tcPr>
                  <w:tcW w:w="1076"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lang w:val="en-US" w:eastAsia="zh-CN"/>
                    </w:rPr>
                    <w:t>65.71</w:t>
                  </w:r>
                </w:p>
              </w:tc>
              <w:tc>
                <w:tcPr>
                  <w:tcW w:w="1123"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045"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CO</w:t>
                  </w:r>
                </w:p>
              </w:tc>
              <w:tc>
                <w:tcPr>
                  <w:tcW w:w="2153"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95百分位数日平均</w:t>
                  </w:r>
                </w:p>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质量浓度</w:t>
                  </w:r>
                </w:p>
              </w:tc>
              <w:tc>
                <w:tcPr>
                  <w:tcW w:w="1345" w:type="dxa"/>
                  <w:vAlign w:val="center"/>
                </w:tcPr>
                <w:p>
                  <w:pPr>
                    <w:spacing w:line="240" w:lineRule="auto"/>
                    <w:ind w:firstLine="0" w:firstLineChars="0"/>
                    <w:jc w:val="center"/>
                    <w:rPr>
                      <w:rFonts w:hint="default" w:ascii="Times New Roman" w:hAnsi="Times New Roman" w:eastAsia="宋体" w:cs="Times New Roman"/>
                      <w:sz w:val="21"/>
                      <w:szCs w:val="21"/>
                      <w:u w:val="none" w:color="auto"/>
                      <w:lang w:eastAsia="zh-CN"/>
                    </w:rPr>
                  </w:pPr>
                  <w:r>
                    <w:rPr>
                      <w:rFonts w:hint="default" w:ascii="Times New Roman" w:hAnsi="Times New Roman" w:eastAsia="宋体" w:cs="Times New Roman"/>
                      <w:sz w:val="21"/>
                      <w:szCs w:val="21"/>
                      <w:u w:val="none" w:color="auto"/>
                      <w:lang w:val="en-US" w:eastAsia="zh-CN"/>
                    </w:rPr>
                    <w:t>1</w:t>
                  </w:r>
                </w:p>
              </w:tc>
              <w:tc>
                <w:tcPr>
                  <w:tcW w:w="1346"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4</w:t>
                  </w:r>
                </w:p>
              </w:tc>
              <w:tc>
                <w:tcPr>
                  <w:tcW w:w="1076"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lang w:val="en-US" w:eastAsia="zh-CN"/>
                    </w:rPr>
                    <w:t>25.00</w:t>
                  </w:r>
                </w:p>
              </w:tc>
              <w:tc>
                <w:tcPr>
                  <w:tcW w:w="1123"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45"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O</w:t>
                  </w:r>
                  <w:r>
                    <w:rPr>
                      <w:rFonts w:hint="default" w:ascii="Times New Roman" w:hAnsi="Times New Roman" w:eastAsia="宋体" w:cs="Times New Roman"/>
                      <w:sz w:val="21"/>
                      <w:szCs w:val="21"/>
                      <w:u w:val="none" w:color="auto"/>
                      <w:vertAlign w:val="subscript"/>
                    </w:rPr>
                    <w:t>3</w:t>
                  </w:r>
                </w:p>
              </w:tc>
              <w:tc>
                <w:tcPr>
                  <w:tcW w:w="2153"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90百分位数8小时</w:t>
                  </w:r>
                </w:p>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平均质量浓度</w:t>
                  </w:r>
                </w:p>
              </w:tc>
              <w:tc>
                <w:tcPr>
                  <w:tcW w:w="1345"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94</w:t>
                  </w:r>
                </w:p>
              </w:tc>
              <w:tc>
                <w:tcPr>
                  <w:tcW w:w="1346"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160</w:t>
                  </w:r>
                </w:p>
              </w:tc>
              <w:tc>
                <w:tcPr>
                  <w:tcW w:w="1076"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lang w:val="en-US" w:eastAsia="zh-CN"/>
                    </w:rPr>
                    <w:t>58.75</w:t>
                  </w:r>
                </w:p>
              </w:tc>
              <w:tc>
                <w:tcPr>
                  <w:tcW w:w="1123" w:type="dxa"/>
                  <w:vAlign w:val="center"/>
                </w:tcPr>
                <w:p>
                  <w:pPr>
                    <w:spacing w:line="240" w:lineRule="auto"/>
                    <w:ind w:firstLine="0" w:firstLineChars="0"/>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达标</w:t>
                  </w:r>
                </w:p>
              </w:tc>
            </w:tr>
          </w:tbl>
          <w:p>
            <w:pPr>
              <w:pStyle w:val="36"/>
              <w:bidi w:val="0"/>
              <w:rPr>
                <w:rFonts w:hint="default"/>
                <w:lang w:eastAsia="zh-CN"/>
              </w:rPr>
            </w:pPr>
            <w:r>
              <w:rPr>
                <w:rFonts w:hint="eastAsia"/>
                <w:u w:val="none" w:color="auto"/>
              </w:rPr>
              <w:t>根据上表的区域空气质量现状评价表，项目所在的洪江区空气质量指标中的SO</w:t>
            </w:r>
            <w:r>
              <w:rPr>
                <w:rFonts w:hint="eastAsia"/>
                <w:u w:val="none" w:color="auto"/>
                <w:vertAlign w:val="subscript"/>
              </w:rPr>
              <w:t>2</w:t>
            </w:r>
            <w:r>
              <w:rPr>
                <w:rFonts w:hint="eastAsia"/>
                <w:u w:val="none" w:color="auto"/>
              </w:rPr>
              <w:t>、NO</w:t>
            </w:r>
            <w:r>
              <w:rPr>
                <w:rFonts w:hint="eastAsia"/>
                <w:u w:val="none" w:color="auto"/>
                <w:vertAlign w:val="subscript"/>
              </w:rPr>
              <w:t>2</w:t>
            </w:r>
            <w:r>
              <w:rPr>
                <w:rFonts w:hint="eastAsia"/>
                <w:u w:val="none" w:color="auto"/>
              </w:rPr>
              <w:t>、PM</w:t>
            </w:r>
            <w:r>
              <w:rPr>
                <w:rFonts w:hint="eastAsia"/>
                <w:u w:val="none" w:color="auto"/>
                <w:vertAlign w:val="subscript"/>
              </w:rPr>
              <w:t>10</w:t>
            </w:r>
            <w:r>
              <w:rPr>
                <w:rFonts w:hint="eastAsia"/>
                <w:u w:val="none" w:color="auto"/>
              </w:rPr>
              <w:t>、PM</w:t>
            </w:r>
            <w:r>
              <w:rPr>
                <w:rFonts w:hint="eastAsia"/>
                <w:u w:val="none" w:color="auto"/>
                <w:vertAlign w:val="subscript"/>
              </w:rPr>
              <w:t>2.5</w:t>
            </w:r>
            <w:r>
              <w:rPr>
                <w:rFonts w:hint="eastAsia"/>
                <w:u w:val="none" w:color="auto"/>
              </w:rPr>
              <w:t>、CO和O</w:t>
            </w:r>
            <w:r>
              <w:rPr>
                <w:rFonts w:hint="eastAsia"/>
                <w:u w:val="none" w:color="auto"/>
                <w:vertAlign w:val="subscript"/>
              </w:rPr>
              <w:t>3</w:t>
            </w:r>
            <w:r>
              <w:rPr>
                <w:rFonts w:hint="eastAsia"/>
                <w:u w:val="none" w:color="auto"/>
              </w:rPr>
              <w:t>六项污染物全部能够</w:t>
            </w:r>
            <w:r>
              <w:rPr>
                <w:rFonts w:hint="eastAsia"/>
                <w:u w:val="none" w:color="auto"/>
                <w:lang w:eastAsia="zh-CN"/>
              </w:rPr>
              <w:t>满足</w:t>
            </w:r>
            <w:r>
              <w:rPr>
                <w:u w:val="none" w:color="auto"/>
              </w:rPr>
              <w:t>《环境空气质量标准》（GB3095-2012）表1</w:t>
            </w:r>
            <w:r>
              <w:rPr>
                <w:rFonts w:hint="eastAsia"/>
                <w:u w:val="none" w:color="auto"/>
              </w:rPr>
              <w:t>二级标准要求，说明洪江区为环境空气质量达标区。</w:t>
            </w:r>
          </w:p>
          <w:p>
            <w:pPr>
              <w:pStyle w:val="3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b/>
                <w:bCs/>
              </w:rPr>
            </w:pPr>
            <w:r>
              <w:rPr>
                <w:rFonts w:hint="eastAsia"/>
                <w:b/>
                <w:bCs/>
                <w:lang w:val="en-US" w:eastAsia="zh-CN"/>
              </w:rPr>
              <w:t>二、</w:t>
            </w:r>
            <w:r>
              <w:rPr>
                <w:rFonts w:hint="default"/>
                <w:b/>
                <w:bCs/>
              </w:rPr>
              <w:t>地</w:t>
            </w:r>
            <w:r>
              <w:rPr>
                <w:rFonts w:hint="default"/>
                <w:b/>
                <w:bCs/>
                <w:lang w:eastAsia="zh-CN"/>
              </w:rPr>
              <w:t>表</w:t>
            </w:r>
            <w:r>
              <w:rPr>
                <w:rFonts w:hint="default"/>
                <w:b/>
                <w:bCs/>
              </w:rPr>
              <w:t>水环境质量现状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u w:val="none" w:color="auto"/>
              </w:rPr>
            </w:pPr>
            <w:r>
              <w:rPr>
                <w:rFonts w:hint="eastAsia"/>
                <w:u w:val="none" w:color="auto"/>
                <w:lang w:eastAsia="zh-CN"/>
              </w:rPr>
              <w:t>本项目引用《</w:t>
            </w:r>
            <w:r>
              <w:rPr>
                <w:rFonts w:hint="eastAsia"/>
                <w:u w:val="none" w:color="auto"/>
              </w:rPr>
              <w:t>湖南恒光科技股份有限公司年产10万吨离子膜氯碱搬迁升级改造及配套建设项目</w:t>
            </w:r>
            <w:r>
              <w:rPr>
                <w:u w:val="none" w:color="auto"/>
              </w:rPr>
              <w:t>环境影响报告书</w:t>
            </w:r>
            <w:r>
              <w:rPr>
                <w:rFonts w:hint="eastAsia"/>
                <w:u w:val="none" w:color="auto"/>
                <w:lang w:eastAsia="zh-CN"/>
              </w:rPr>
              <w:t>》</w:t>
            </w:r>
            <w:r>
              <w:rPr>
                <w:rFonts w:hint="eastAsia"/>
                <w:u w:val="none" w:color="auto"/>
              </w:rPr>
              <w:t>中的地表水监测数据</w:t>
            </w:r>
            <w:r>
              <w:rPr>
                <w:u w:val="none" w:color="auto"/>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u w:val="none" w:color="auto"/>
              </w:rPr>
            </w:pPr>
            <w:r>
              <w:rPr>
                <w:rFonts w:hint="eastAsia"/>
                <w:u w:val="none" w:color="auto"/>
                <w:lang w:eastAsia="zh-CN"/>
              </w:rPr>
              <w:t>（</w:t>
            </w:r>
            <w:r>
              <w:rPr>
                <w:rFonts w:hint="eastAsia"/>
                <w:u w:val="none" w:color="auto"/>
                <w:lang w:val="en-US" w:eastAsia="zh-CN"/>
              </w:rPr>
              <w:t>1</w:t>
            </w:r>
            <w:r>
              <w:rPr>
                <w:rFonts w:hint="eastAsia"/>
                <w:u w:val="none" w:color="auto"/>
                <w:lang w:eastAsia="zh-CN"/>
              </w:rPr>
              <w:t>）</w:t>
            </w:r>
            <w:r>
              <w:rPr>
                <w:u w:val="none" w:color="auto"/>
              </w:rPr>
              <w:t>监测断面设置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u w:val="none" w:color="auto"/>
              </w:rPr>
            </w:pPr>
            <w:r>
              <w:rPr>
                <w:u w:val="none" w:color="auto"/>
              </w:rPr>
              <w:t>W1：沅江（</w:t>
            </w:r>
            <w:r>
              <w:rPr>
                <w:rFonts w:hint="eastAsia"/>
                <w:u w:val="none" w:color="auto"/>
              </w:rPr>
              <w:t>洪江高新区</w:t>
            </w:r>
            <w:r>
              <w:rPr>
                <w:u w:val="none" w:color="auto"/>
              </w:rPr>
              <w:t>污水处理厂排放口）上游500m；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u w:val="none" w:color="auto"/>
              </w:rPr>
            </w:pPr>
            <w:r>
              <w:rPr>
                <w:u w:val="none" w:color="auto"/>
              </w:rPr>
              <w:t>W2：沅江（</w:t>
            </w:r>
            <w:r>
              <w:rPr>
                <w:rFonts w:hint="eastAsia"/>
                <w:u w:val="none" w:color="auto"/>
              </w:rPr>
              <w:t>洪江高新区</w:t>
            </w:r>
            <w:r>
              <w:rPr>
                <w:u w:val="none" w:color="auto"/>
              </w:rPr>
              <w:t>污水处理厂排放口）下游</w:t>
            </w:r>
            <w:r>
              <w:rPr>
                <w:rFonts w:hint="eastAsia"/>
                <w:u w:val="none" w:color="auto"/>
              </w:rPr>
              <w:t>10</w:t>
            </w:r>
            <w:r>
              <w:rPr>
                <w:u w:val="none" w:color="auto"/>
              </w:rPr>
              <w:t>00m；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u w:val="none" w:color="auto"/>
              </w:rPr>
            </w:pPr>
            <w:r>
              <w:rPr>
                <w:u w:val="none" w:color="auto"/>
              </w:rPr>
              <w:t>W3：沅江（</w:t>
            </w:r>
            <w:r>
              <w:rPr>
                <w:rFonts w:hint="eastAsia"/>
                <w:u w:val="none" w:color="auto"/>
              </w:rPr>
              <w:t>洪江高新区</w:t>
            </w:r>
            <w:r>
              <w:rPr>
                <w:u w:val="none" w:color="auto"/>
              </w:rPr>
              <w:t>污水处理厂排放口）下游2500m。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u w:val="none" w:color="auto"/>
              </w:rPr>
            </w:pPr>
            <w:r>
              <w:rPr>
                <w:rFonts w:hint="eastAsia"/>
                <w:u w:val="none" w:color="auto"/>
                <w:lang w:eastAsia="zh-CN"/>
              </w:rPr>
              <w:t>（</w:t>
            </w:r>
            <w:r>
              <w:rPr>
                <w:rFonts w:hint="eastAsia"/>
                <w:u w:val="none" w:color="auto"/>
                <w:lang w:val="en-US" w:eastAsia="zh-CN"/>
              </w:rPr>
              <w:t>2</w:t>
            </w:r>
            <w:r>
              <w:rPr>
                <w:rFonts w:hint="eastAsia"/>
                <w:u w:val="none" w:color="auto"/>
                <w:lang w:eastAsia="zh-CN"/>
              </w:rPr>
              <w:t>）</w:t>
            </w:r>
            <w:r>
              <w:rPr>
                <w:u w:val="none" w:color="auto"/>
              </w:rPr>
              <w:t>监测项目与监测方法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u w:val="none" w:color="auto"/>
              </w:rPr>
            </w:pPr>
            <w:r>
              <w:rPr>
                <w:u w:val="none" w:color="auto"/>
              </w:rPr>
              <w:t>监测项目：</w:t>
            </w:r>
            <w:r>
              <w:rPr>
                <w:rFonts w:hint="eastAsia"/>
                <w:u w:val="none" w:color="auto"/>
                <w:lang w:eastAsia="zh-CN"/>
              </w:rPr>
              <w:t>pH值</w:t>
            </w:r>
            <w:r>
              <w:rPr>
                <w:u w:val="none" w:color="auto"/>
              </w:rPr>
              <w:t>、COD、</w:t>
            </w:r>
            <w:r>
              <w:rPr>
                <w:rFonts w:hint="eastAsia"/>
                <w:u w:val="none" w:color="auto"/>
              </w:rPr>
              <w:t>BOD</w:t>
            </w:r>
            <w:r>
              <w:rPr>
                <w:rFonts w:hint="eastAsia"/>
                <w:u w:val="none" w:color="auto"/>
                <w:vertAlign w:val="subscript"/>
              </w:rPr>
              <w:t>5</w:t>
            </w:r>
            <w:r>
              <w:rPr>
                <w:rFonts w:hint="eastAsia"/>
                <w:u w:val="none" w:color="auto"/>
              </w:rPr>
              <w:t>、NH</w:t>
            </w:r>
            <w:r>
              <w:rPr>
                <w:rFonts w:hint="eastAsia"/>
                <w:u w:val="none" w:color="auto"/>
                <w:vertAlign w:val="subscript"/>
              </w:rPr>
              <w:t>3</w:t>
            </w:r>
            <w:r>
              <w:rPr>
                <w:rFonts w:hint="eastAsia"/>
                <w:u w:val="none" w:color="auto"/>
              </w:rPr>
              <w:t>-N、总磷、一氯甲烷、二氯甲烷、二氯乙烷、挥发酚、石油类、氯化物、硫酸盐、溶解性总固体</w:t>
            </w:r>
            <w:r>
              <w:rPr>
                <w:u w:val="none" w:color="auto"/>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u w:val="none" w:color="auto"/>
              </w:rPr>
            </w:pPr>
            <w:r>
              <w:rPr>
                <w:u w:val="none" w:color="auto"/>
              </w:rPr>
              <w:t>监测方法：《地表水和污水监测技术规范》（HJ/T91-2002）；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u w:val="none" w:color="auto"/>
              </w:rPr>
            </w:pPr>
            <w:r>
              <w:rPr>
                <w:rFonts w:hint="eastAsia"/>
                <w:u w:val="none" w:color="auto"/>
                <w:lang w:eastAsia="zh-CN"/>
              </w:rPr>
              <w:t>（</w:t>
            </w:r>
            <w:r>
              <w:rPr>
                <w:rFonts w:hint="eastAsia"/>
                <w:u w:val="none" w:color="auto"/>
                <w:lang w:val="en-US" w:eastAsia="zh-CN"/>
              </w:rPr>
              <w:t>3</w:t>
            </w:r>
            <w:r>
              <w:rPr>
                <w:rFonts w:hint="eastAsia"/>
                <w:u w:val="none" w:color="auto"/>
                <w:lang w:eastAsia="zh-CN"/>
              </w:rPr>
              <w:t>）</w:t>
            </w:r>
            <w:r>
              <w:rPr>
                <w:u w:val="none" w:color="auto"/>
              </w:rPr>
              <w:t>监测时间和频次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u w:val="none" w:color="auto"/>
              </w:rPr>
            </w:pPr>
            <w:r>
              <w:rPr>
                <w:u w:val="none" w:color="auto"/>
              </w:rPr>
              <w:t>监测时间：20</w:t>
            </w:r>
            <w:r>
              <w:rPr>
                <w:rFonts w:hint="eastAsia"/>
                <w:u w:val="none" w:color="auto"/>
              </w:rPr>
              <w:t>21</w:t>
            </w:r>
            <w:r>
              <w:rPr>
                <w:u w:val="none" w:color="auto"/>
              </w:rPr>
              <w:t>年</w:t>
            </w:r>
            <w:r>
              <w:rPr>
                <w:rFonts w:hint="eastAsia"/>
                <w:u w:val="none" w:color="auto"/>
              </w:rPr>
              <w:t>9</w:t>
            </w:r>
            <w:r>
              <w:rPr>
                <w:u w:val="none" w:color="auto"/>
              </w:rPr>
              <w:t>月</w:t>
            </w:r>
            <w:r>
              <w:rPr>
                <w:rFonts w:hint="eastAsia"/>
                <w:u w:val="none" w:color="auto"/>
              </w:rPr>
              <w:t>16</w:t>
            </w:r>
            <w:r>
              <w:rPr>
                <w:u w:val="none" w:color="auto"/>
              </w:rPr>
              <w:t>日~</w:t>
            </w:r>
            <w:r>
              <w:rPr>
                <w:rFonts w:hint="eastAsia"/>
                <w:u w:val="none" w:color="auto"/>
              </w:rPr>
              <w:t>18</w:t>
            </w:r>
            <w:r>
              <w:rPr>
                <w:u w:val="none" w:color="auto"/>
              </w:rPr>
              <w:t>日，连续监测3天；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u w:val="none" w:color="auto"/>
              </w:rPr>
            </w:pPr>
            <w:r>
              <w:rPr>
                <w:u w:val="none" w:color="auto"/>
              </w:rPr>
              <w:t>监测频次：每天监测1次。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u w:val="none" w:color="auto"/>
              </w:rPr>
            </w:pPr>
            <w:r>
              <w:rPr>
                <w:rFonts w:hint="eastAsia"/>
                <w:u w:val="none" w:color="auto"/>
                <w:lang w:eastAsia="zh-CN"/>
              </w:rPr>
              <w:t>（</w:t>
            </w:r>
            <w:r>
              <w:rPr>
                <w:rFonts w:hint="eastAsia"/>
                <w:u w:val="none" w:color="auto"/>
                <w:lang w:val="en-US" w:eastAsia="zh-CN"/>
              </w:rPr>
              <w:t>4</w:t>
            </w:r>
            <w:r>
              <w:rPr>
                <w:rFonts w:hint="eastAsia"/>
                <w:u w:val="none" w:color="auto"/>
                <w:lang w:eastAsia="zh-CN"/>
              </w:rPr>
              <w:t>）</w:t>
            </w:r>
            <w:r>
              <w:rPr>
                <w:u w:val="none" w:color="auto"/>
              </w:rPr>
              <w:t>监测结果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u w:val="none" w:color="auto"/>
              </w:rPr>
            </w:pPr>
            <w:r>
              <w:rPr>
                <w:u w:val="none" w:color="auto"/>
              </w:rPr>
              <w:t>地表水</w:t>
            </w:r>
            <w:r>
              <w:rPr>
                <w:rFonts w:hint="eastAsia"/>
                <w:u w:val="none" w:color="auto"/>
              </w:rPr>
              <w:t>补充</w:t>
            </w:r>
            <w:r>
              <w:rPr>
                <w:u w:val="none" w:color="auto"/>
              </w:rPr>
              <w:t>现状监测结果统计情况</w:t>
            </w:r>
            <w:r>
              <w:rPr>
                <w:rFonts w:hint="eastAsia"/>
                <w:u w:val="none" w:color="auto"/>
              </w:rPr>
              <w:t>详见下表</w:t>
            </w:r>
            <w:r>
              <w:rPr>
                <w:u w:val="none" w:color="auto"/>
              </w:rPr>
              <w:t>。</w:t>
            </w:r>
          </w:p>
          <w:p>
            <w:pPr>
              <w:pStyle w:val="10"/>
              <w:keepNext w:val="0"/>
              <w:keepLines w:val="0"/>
              <w:pageBreakBefore w:val="0"/>
              <w:widowControl w:val="0"/>
              <w:kinsoku/>
              <w:wordWrap/>
              <w:overflowPunct/>
              <w:topLinePunct w:val="0"/>
              <w:autoSpaceDE/>
              <w:autoSpaceDN/>
              <w:bidi w:val="0"/>
              <w:snapToGrid/>
              <w:spacing w:line="240" w:lineRule="auto"/>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表</w:t>
            </w:r>
            <w:r>
              <w:rPr>
                <w:rFonts w:hint="eastAsia" w:ascii="Times New Roman" w:hAnsi="Times New Roman" w:eastAsia="宋体" w:cs="Times New Roman"/>
                <w:sz w:val="21"/>
                <w:szCs w:val="21"/>
                <w:u w:val="none" w:color="auto"/>
                <w:lang w:val="en-US" w:eastAsia="zh-CN"/>
              </w:rPr>
              <w:t>3-</w:t>
            </w:r>
            <w:r>
              <w:rPr>
                <w:rFonts w:hint="eastAsia" w:cs="Times New Roman"/>
                <w:sz w:val="21"/>
                <w:szCs w:val="21"/>
                <w:u w:val="none" w:color="auto"/>
                <w:lang w:val="en-US" w:eastAsia="zh-CN"/>
              </w:rPr>
              <w:t>2</w:t>
            </w:r>
            <w:r>
              <w:rPr>
                <w:rFonts w:hint="eastAsia" w:ascii="Times New Roman" w:hAnsi="Times New Roman" w:eastAsia="宋体" w:cs="Times New Roman"/>
                <w:sz w:val="21"/>
                <w:szCs w:val="21"/>
                <w:u w:val="none" w:color="auto"/>
              </w:rPr>
              <w:t xml:space="preserve"> 地表水环境质量补充现状监测统计结果</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63"/>
              <w:gridCol w:w="895"/>
              <w:gridCol w:w="895"/>
              <w:gridCol w:w="895"/>
              <w:gridCol w:w="807"/>
              <w:gridCol w:w="719"/>
              <w:gridCol w:w="719"/>
              <w:gridCol w:w="719"/>
              <w:gridCol w:w="719"/>
              <w:gridCol w:w="7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61" w:type="dxa"/>
                  <w:vMerge w:val="restart"/>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监测</w:t>
                  </w:r>
                </w:p>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因子</w:t>
                  </w:r>
                </w:p>
              </w:tc>
              <w:tc>
                <w:tcPr>
                  <w:tcW w:w="956" w:type="dxa"/>
                  <w:vMerge w:val="restart"/>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监测</w:t>
                  </w:r>
                </w:p>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断面</w:t>
                  </w:r>
                </w:p>
              </w:tc>
              <w:tc>
                <w:tcPr>
                  <w:tcW w:w="6202" w:type="dxa"/>
                  <w:gridSpan w:val="8"/>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统计值（mg/L）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61"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956"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最小值</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最大值</w:t>
                  </w:r>
                </w:p>
              </w:tc>
              <w:tc>
                <w:tcPr>
                  <w:tcW w:w="820"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平均值</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标准</w:t>
                  </w:r>
                </w:p>
              </w:tc>
              <w:tc>
                <w:tcPr>
                  <w:tcW w:w="682"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样本数</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超标样本数</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超标率％</w:t>
                  </w:r>
                </w:p>
              </w:tc>
              <w:tc>
                <w:tcPr>
                  <w:tcW w:w="739"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最大超标倍数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61" w:type="dxa"/>
                  <w:vMerge w:val="restart"/>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eastAsia="宋体" w:cs="Times New Roman"/>
                      <w:sz w:val="21"/>
                      <w:szCs w:val="21"/>
                      <w:u w:val="none" w:color="auto"/>
                      <w:lang w:eastAsia="zh-CN"/>
                    </w:rPr>
                    <w:t>pH</w:t>
                  </w:r>
                  <w:r>
                    <w:rPr>
                      <w:rFonts w:hint="eastAsia" w:ascii="Times New Roman" w:hAnsi="Times New Roman" w:eastAsia="宋体" w:cs="Times New Roman"/>
                      <w:sz w:val="21"/>
                      <w:szCs w:val="21"/>
                      <w:u w:val="none" w:color="auto"/>
                    </w:rPr>
                    <w:t>值</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W1</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7.1</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7.3</w:t>
                  </w:r>
                </w:p>
              </w:tc>
              <w:tc>
                <w:tcPr>
                  <w:tcW w:w="820"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t>
                  </w:r>
                </w:p>
              </w:tc>
              <w:tc>
                <w:tcPr>
                  <w:tcW w:w="683" w:type="dxa"/>
                  <w:vMerge w:val="restart"/>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6~9</w:t>
                  </w:r>
                </w:p>
              </w:tc>
              <w:tc>
                <w:tcPr>
                  <w:tcW w:w="682"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739"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1061"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W2</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7.1</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7.3</w:t>
                  </w:r>
                </w:p>
              </w:tc>
              <w:tc>
                <w:tcPr>
                  <w:tcW w:w="820"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t>
                  </w:r>
                </w:p>
              </w:tc>
              <w:tc>
                <w:tcPr>
                  <w:tcW w:w="683"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682"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739"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50" w:hRule="atLeast"/>
                <w:jc w:val="center"/>
              </w:trPr>
              <w:tc>
                <w:tcPr>
                  <w:tcW w:w="1061"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W3</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7.2</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7.3</w:t>
                  </w:r>
                </w:p>
              </w:tc>
              <w:tc>
                <w:tcPr>
                  <w:tcW w:w="820"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t>
                  </w:r>
                </w:p>
              </w:tc>
              <w:tc>
                <w:tcPr>
                  <w:tcW w:w="683"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682"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739"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61" w:type="dxa"/>
                  <w:vMerge w:val="restart"/>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化学</w:t>
                  </w:r>
                </w:p>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需氧量</w:t>
                  </w:r>
                </w:p>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（COD）</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W1</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10</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10</w:t>
                  </w:r>
                </w:p>
              </w:tc>
              <w:tc>
                <w:tcPr>
                  <w:tcW w:w="820"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10</w:t>
                  </w:r>
                </w:p>
              </w:tc>
              <w:tc>
                <w:tcPr>
                  <w:tcW w:w="683" w:type="dxa"/>
                  <w:vMerge w:val="restart"/>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20</w:t>
                  </w:r>
                </w:p>
              </w:tc>
              <w:tc>
                <w:tcPr>
                  <w:tcW w:w="682"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739"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5" w:hRule="atLeast"/>
                <w:jc w:val="center"/>
              </w:trPr>
              <w:tc>
                <w:tcPr>
                  <w:tcW w:w="1061"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W2</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12</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13</w:t>
                  </w:r>
                </w:p>
              </w:tc>
              <w:tc>
                <w:tcPr>
                  <w:tcW w:w="820"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12.7</w:t>
                  </w:r>
                </w:p>
              </w:tc>
              <w:tc>
                <w:tcPr>
                  <w:tcW w:w="683"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682"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739"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1061"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W3</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11</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11</w:t>
                  </w:r>
                </w:p>
              </w:tc>
              <w:tc>
                <w:tcPr>
                  <w:tcW w:w="820"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11</w:t>
                  </w:r>
                </w:p>
              </w:tc>
              <w:tc>
                <w:tcPr>
                  <w:tcW w:w="683"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682"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739"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61" w:type="dxa"/>
                  <w:vMerge w:val="restart"/>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生化</w:t>
                  </w:r>
                </w:p>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需氧量（BOD5）</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W1</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2.5</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3.0</w:t>
                  </w:r>
                </w:p>
              </w:tc>
              <w:tc>
                <w:tcPr>
                  <w:tcW w:w="820"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2.8</w:t>
                  </w:r>
                </w:p>
              </w:tc>
              <w:tc>
                <w:tcPr>
                  <w:tcW w:w="683" w:type="dxa"/>
                  <w:vMerge w:val="restart"/>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4</w:t>
                  </w:r>
                </w:p>
              </w:tc>
              <w:tc>
                <w:tcPr>
                  <w:tcW w:w="682"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739"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10" w:hRule="atLeast"/>
                <w:jc w:val="center"/>
              </w:trPr>
              <w:tc>
                <w:tcPr>
                  <w:tcW w:w="1061"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W2</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2.7</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3.4</w:t>
                  </w:r>
                </w:p>
              </w:tc>
              <w:tc>
                <w:tcPr>
                  <w:tcW w:w="820"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3.0</w:t>
                  </w:r>
                </w:p>
              </w:tc>
              <w:tc>
                <w:tcPr>
                  <w:tcW w:w="683"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682"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739"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15" w:hRule="atLeast"/>
                <w:jc w:val="center"/>
              </w:trPr>
              <w:tc>
                <w:tcPr>
                  <w:tcW w:w="1061"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W3</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2.9</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3.2</w:t>
                  </w:r>
                </w:p>
              </w:tc>
              <w:tc>
                <w:tcPr>
                  <w:tcW w:w="820"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3.0</w:t>
                  </w:r>
                </w:p>
              </w:tc>
              <w:tc>
                <w:tcPr>
                  <w:tcW w:w="683"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682"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739"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61" w:type="dxa"/>
                  <w:vMerge w:val="restart"/>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氨氮</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W1</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0.04</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0.05</w:t>
                  </w:r>
                </w:p>
              </w:tc>
              <w:tc>
                <w:tcPr>
                  <w:tcW w:w="820"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0.043</w:t>
                  </w:r>
                </w:p>
              </w:tc>
              <w:tc>
                <w:tcPr>
                  <w:tcW w:w="683" w:type="dxa"/>
                  <w:vMerge w:val="restart"/>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1.0</w:t>
                  </w:r>
                </w:p>
              </w:tc>
              <w:tc>
                <w:tcPr>
                  <w:tcW w:w="682"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739"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1061"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W2</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0.04</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0.05</w:t>
                  </w:r>
                </w:p>
              </w:tc>
              <w:tc>
                <w:tcPr>
                  <w:tcW w:w="820"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0.043</w:t>
                  </w:r>
                </w:p>
              </w:tc>
              <w:tc>
                <w:tcPr>
                  <w:tcW w:w="683"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682"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739"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1061"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W3</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0.04</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0.05</w:t>
                  </w:r>
                </w:p>
              </w:tc>
              <w:tc>
                <w:tcPr>
                  <w:tcW w:w="820"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0.043</w:t>
                  </w:r>
                </w:p>
              </w:tc>
              <w:tc>
                <w:tcPr>
                  <w:tcW w:w="683"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682"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739"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jc w:val="center"/>
              </w:trPr>
              <w:tc>
                <w:tcPr>
                  <w:tcW w:w="1061" w:type="dxa"/>
                  <w:vMerge w:val="restart"/>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总磷</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W1</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0.02</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0.03</w:t>
                  </w:r>
                </w:p>
              </w:tc>
              <w:tc>
                <w:tcPr>
                  <w:tcW w:w="820"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0.027</w:t>
                  </w:r>
                </w:p>
              </w:tc>
              <w:tc>
                <w:tcPr>
                  <w:tcW w:w="683" w:type="dxa"/>
                  <w:vMerge w:val="restart"/>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0.2</w:t>
                  </w:r>
                </w:p>
              </w:tc>
              <w:tc>
                <w:tcPr>
                  <w:tcW w:w="682"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739"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5" w:hRule="atLeast"/>
                <w:jc w:val="center"/>
              </w:trPr>
              <w:tc>
                <w:tcPr>
                  <w:tcW w:w="1061"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W2</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0.03</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0.03</w:t>
                  </w:r>
                </w:p>
              </w:tc>
              <w:tc>
                <w:tcPr>
                  <w:tcW w:w="820"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0.03</w:t>
                  </w:r>
                </w:p>
              </w:tc>
              <w:tc>
                <w:tcPr>
                  <w:tcW w:w="683"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682"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739"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1061"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W3</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0.02</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0.03</w:t>
                  </w:r>
                </w:p>
              </w:tc>
              <w:tc>
                <w:tcPr>
                  <w:tcW w:w="820"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0.027</w:t>
                  </w:r>
                </w:p>
              </w:tc>
              <w:tc>
                <w:tcPr>
                  <w:tcW w:w="683"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682"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739"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61" w:type="dxa"/>
                  <w:vMerge w:val="restart"/>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一氯甲烷</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W1</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ND</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ND</w:t>
                  </w:r>
                </w:p>
              </w:tc>
              <w:tc>
                <w:tcPr>
                  <w:tcW w:w="820"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ND</w:t>
                  </w:r>
                </w:p>
              </w:tc>
              <w:tc>
                <w:tcPr>
                  <w:tcW w:w="683" w:type="dxa"/>
                  <w:vMerge w:val="restart"/>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t>
                  </w:r>
                </w:p>
              </w:tc>
              <w:tc>
                <w:tcPr>
                  <w:tcW w:w="682"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t>
                  </w:r>
                </w:p>
              </w:tc>
              <w:tc>
                <w:tcPr>
                  <w:tcW w:w="739"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1061"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W2</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ND</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ND</w:t>
                  </w:r>
                </w:p>
              </w:tc>
              <w:tc>
                <w:tcPr>
                  <w:tcW w:w="820"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ND</w:t>
                  </w:r>
                </w:p>
              </w:tc>
              <w:tc>
                <w:tcPr>
                  <w:tcW w:w="683"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682"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t>
                  </w:r>
                </w:p>
              </w:tc>
              <w:tc>
                <w:tcPr>
                  <w:tcW w:w="739"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30" w:hRule="atLeast"/>
                <w:jc w:val="center"/>
              </w:trPr>
              <w:tc>
                <w:tcPr>
                  <w:tcW w:w="1061"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W3</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ND</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ND</w:t>
                  </w:r>
                </w:p>
              </w:tc>
              <w:tc>
                <w:tcPr>
                  <w:tcW w:w="820"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ND</w:t>
                  </w:r>
                </w:p>
              </w:tc>
              <w:tc>
                <w:tcPr>
                  <w:tcW w:w="683"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682"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t>
                  </w:r>
                </w:p>
              </w:tc>
              <w:tc>
                <w:tcPr>
                  <w:tcW w:w="739"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61" w:type="dxa"/>
                  <w:vMerge w:val="restart"/>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二氯甲烷</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W1</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ND</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ND</w:t>
                  </w:r>
                </w:p>
              </w:tc>
              <w:tc>
                <w:tcPr>
                  <w:tcW w:w="820"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ND</w:t>
                  </w:r>
                </w:p>
              </w:tc>
              <w:tc>
                <w:tcPr>
                  <w:tcW w:w="683" w:type="dxa"/>
                  <w:vMerge w:val="restart"/>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0.02</w:t>
                  </w:r>
                </w:p>
              </w:tc>
              <w:tc>
                <w:tcPr>
                  <w:tcW w:w="682"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739"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61"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W2</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ND</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ND</w:t>
                  </w:r>
                </w:p>
              </w:tc>
              <w:tc>
                <w:tcPr>
                  <w:tcW w:w="820"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ND</w:t>
                  </w:r>
                </w:p>
              </w:tc>
              <w:tc>
                <w:tcPr>
                  <w:tcW w:w="683"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682"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739"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61"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W3</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ND</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ND</w:t>
                  </w:r>
                </w:p>
              </w:tc>
              <w:tc>
                <w:tcPr>
                  <w:tcW w:w="820"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ND</w:t>
                  </w:r>
                </w:p>
              </w:tc>
              <w:tc>
                <w:tcPr>
                  <w:tcW w:w="683"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682"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739"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61" w:type="dxa"/>
                  <w:vMerge w:val="restart"/>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二氯乙烷</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W1</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ND</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ND</w:t>
                  </w:r>
                </w:p>
              </w:tc>
              <w:tc>
                <w:tcPr>
                  <w:tcW w:w="820"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ND</w:t>
                  </w:r>
                </w:p>
              </w:tc>
              <w:tc>
                <w:tcPr>
                  <w:tcW w:w="683" w:type="dxa"/>
                  <w:vMerge w:val="restart"/>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0.03</w:t>
                  </w:r>
                </w:p>
              </w:tc>
              <w:tc>
                <w:tcPr>
                  <w:tcW w:w="682"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739"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jc w:val="center"/>
              </w:trPr>
              <w:tc>
                <w:tcPr>
                  <w:tcW w:w="1061"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W2</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ND</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ND</w:t>
                  </w:r>
                </w:p>
              </w:tc>
              <w:tc>
                <w:tcPr>
                  <w:tcW w:w="820"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ND</w:t>
                  </w:r>
                </w:p>
              </w:tc>
              <w:tc>
                <w:tcPr>
                  <w:tcW w:w="683"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682"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739"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61"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W3</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ND</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ND</w:t>
                  </w:r>
                </w:p>
              </w:tc>
              <w:tc>
                <w:tcPr>
                  <w:tcW w:w="820"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ND</w:t>
                  </w:r>
                </w:p>
              </w:tc>
              <w:tc>
                <w:tcPr>
                  <w:tcW w:w="683"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682"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739"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61" w:type="dxa"/>
                  <w:vMerge w:val="restart"/>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挥发酚</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W1</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0.0007</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0.0007</w:t>
                  </w:r>
                </w:p>
              </w:tc>
              <w:tc>
                <w:tcPr>
                  <w:tcW w:w="820"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0.0007</w:t>
                  </w:r>
                </w:p>
              </w:tc>
              <w:tc>
                <w:tcPr>
                  <w:tcW w:w="683" w:type="dxa"/>
                  <w:vMerge w:val="restart"/>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0.005</w:t>
                  </w:r>
                </w:p>
              </w:tc>
              <w:tc>
                <w:tcPr>
                  <w:tcW w:w="682"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739"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61"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W2</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0.0014</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0.0014</w:t>
                  </w:r>
                </w:p>
              </w:tc>
              <w:tc>
                <w:tcPr>
                  <w:tcW w:w="820"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0.0014</w:t>
                  </w:r>
                </w:p>
              </w:tc>
              <w:tc>
                <w:tcPr>
                  <w:tcW w:w="683"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682"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739"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61"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W3</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0.0010</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0.0014</w:t>
                  </w:r>
                </w:p>
              </w:tc>
              <w:tc>
                <w:tcPr>
                  <w:tcW w:w="820"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0.0011</w:t>
                  </w:r>
                </w:p>
              </w:tc>
              <w:tc>
                <w:tcPr>
                  <w:tcW w:w="683"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682"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739"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jc w:val="center"/>
              </w:trPr>
              <w:tc>
                <w:tcPr>
                  <w:tcW w:w="1061" w:type="dxa"/>
                  <w:vMerge w:val="restart"/>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石油类</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W1</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ND</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ND</w:t>
                  </w:r>
                </w:p>
              </w:tc>
              <w:tc>
                <w:tcPr>
                  <w:tcW w:w="820"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ND</w:t>
                  </w:r>
                </w:p>
              </w:tc>
              <w:tc>
                <w:tcPr>
                  <w:tcW w:w="683" w:type="dxa"/>
                  <w:vMerge w:val="restart"/>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0.05</w:t>
                  </w:r>
                </w:p>
              </w:tc>
              <w:tc>
                <w:tcPr>
                  <w:tcW w:w="682"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739"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61"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W2</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ND</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ND</w:t>
                  </w:r>
                </w:p>
              </w:tc>
              <w:tc>
                <w:tcPr>
                  <w:tcW w:w="820"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ND</w:t>
                  </w:r>
                </w:p>
              </w:tc>
              <w:tc>
                <w:tcPr>
                  <w:tcW w:w="683"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682"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739"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61"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W3</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ND</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ND</w:t>
                  </w:r>
                </w:p>
              </w:tc>
              <w:tc>
                <w:tcPr>
                  <w:tcW w:w="820"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ND</w:t>
                  </w:r>
                </w:p>
              </w:tc>
              <w:tc>
                <w:tcPr>
                  <w:tcW w:w="683"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682"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739"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61" w:type="dxa"/>
                  <w:vMerge w:val="restart"/>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氯化物</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W1</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2.68</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2.75</w:t>
                  </w:r>
                </w:p>
              </w:tc>
              <w:tc>
                <w:tcPr>
                  <w:tcW w:w="820"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2.72</w:t>
                  </w:r>
                </w:p>
              </w:tc>
              <w:tc>
                <w:tcPr>
                  <w:tcW w:w="683" w:type="dxa"/>
                  <w:vMerge w:val="restart"/>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250</w:t>
                  </w:r>
                </w:p>
              </w:tc>
              <w:tc>
                <w:tcPr>
                  <w:tcW w:w="682"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739"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61"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W2</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3.05</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3.16</w:t>
                  </w:r>
                </w:p>
              </w:tc>
              <w:tc>
                <w:tcPr>
                  <w:tcW w:w="820"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3.09</w:t>
                  </w:r>
                </w:p>
              </w:tc>
              <w:tc>
                <w:tcPr>
                  <w:tcW w:w="683"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682"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739"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jc w:val="center"/>
              </w:trPr>
              <w:tc>
                <w:tcPr>
                  <w:tcW w:w="1061"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W3</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3.03</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3.07</w:t>
                  </w:r>
                </w:p>
              </w:tc>
              <w:tc>
                <w:tcPr>
                  <w:tcW w:w="820"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3.05</w:t>
                  </w:r>
                </w:p>
              </w:tc>
              <w:tc>
                <w:tcPr>
                  <w:tcW w:w="683"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682"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739"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61" w:type="dxa"/>
                  <w:vMerge w:val="restart"/>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硫酸盐</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W1</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15.0</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15.6</w:t>
                  </w:r>
                </w:p>
              </w:tc>
              <w:tc>
                <w:tcPr>
                  <w:tcW w:w="820"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15.3</w:t>
                  </w:r>
                </w:p>
              </w:tc>
              <w:tc>
                <w:tcPr>
                  <w:tcW w:w="683" w:type="dxa"/>
                  <w:vMerge w:val="restart"/>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250</w:t>
                  </w:r>
                </w:p>
              </w:tc>
              <w:tc>
                <w:tcPr>
                  <w:tcW w:w="682"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739"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61"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W2</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15.2</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15.5</w:t>
                  </w:r>
                </w:p>
              </w:tc>
              <w:tc>
                <w:tcPr>
                  <w:tcW w:w="820"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15.3</w:t>
                  </w:r>
                </w:p>
              </w:tc>
              <w:tc>
                <w:tcPr>
                  <w:tcW w:w="683"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682"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739"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61"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W3</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14.8</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15.2</w:t>
                  </w:r>
                </w:p>
              </w:tc>
              <w:tc>
                <w:tcPr>
                  <w:tcW w:w="820"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15.0</w:t>
                  </w:r>
                </w:p>
              </w:tc>
              <w:tc>
                <w:tcPr>
                  <w:tcW w:w="683"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682"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c>
                <w:tcPr>
                  <w:tcW w:w="739"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61" w:type="dxa"/>
                  <w:vMerge w:val="restart"/>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TDS</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W1</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58</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62</w:t>
                  </w:r>
                </w:p>
              </w:tc>
              <w:tc>
                <w:tcPr>
                  <w:tcW w:w="820"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60</w:t>
                  </w:r>
                </w:p>
              </w:tc>
              <w:tc>
                <w:tcPr>
                  <w:tcW w:w="683" w:type="dxa"/>
                  <w:vMerge w:val="restart"/>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t>
                  </w:r>
                </w:p>
              </w:tc>
              <w:tc>
                <w:tcPr>
                  <w:tcW w:w="682"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t>
                  </w:r>
                </w:p>
              </w:tc>
              <w:tc>
                <w:tcPr>
                  <w:tcW w:w="739"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jc w:val="center"/>
              </w:trPr>
              <w:tc>
                <w:tcPr>
                  <w:tcW w:w="1061"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W2</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62</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68</w:t>
                  </w:r>
                </w:p>
              </w:tc>
              <w:tc>
                <w:tcPr>
                  <w:tcW w:w="820"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64</w:t>
                  </w:r>
                </w:p>
              </w:tc>
              <w:tc>
                <w:tcPr>
                  <w:tcW w:w="683"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682"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t>
                  </w:r>
                </w:p>
              </w:tc>
              <w:tc>
                <w:tcPr>
                  <w:tcW w:w="739"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61"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W3</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52</w:t>
                  </w:r>
                </w:p>
              </w:tc>
              <w:tc>
                <w:tcPr>
                  <w:tcW w:w="956"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54</w:t>
                  </w:r>
                </w:p>
              </w:tc>
              <w:tc>
                <w:tcPr>
                  <w:tcW w:w="820"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53</w:t>
                  </w:r>
                </w:p>
              </w:tc>
              <w:tc>
                <w:tcPr>
                  <w:tcW w:w="683" w:type="dxa"/>
                  <w:vMerge w:val="continue"/>
                  <w:vAlign w:val="center"/>
                </w:tcPr>
                <w:p>
                  <w:pPr>
                    <w:spacing w:line="240" w:lineRule="auto"/>
                    <w:ind w:firstLine="0" w:firstLineChars="0"/>
                    <w:jc w:val="center"/>
                    <w:rPr>
                      <w:rFonts w:hint="eastAsia" w:ascii="Times New Roman" w:hAnsi="Times New Roman" w:eastAsia="宋体" w:cs="Times New Roman"/>
                      <w:sz w:val="21"/>
                      <w:szCs w:val="21"/>
                      <w:u w:val="none" w:color="auto"/>
                    </w:rPr>
                  </w:pPr>
                </w:p>
              </w:tc>
              <w:tc>
                <w:tcPr>
                  <w:tcW w:w="682"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3</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t>
                  </w:r>
                </w:p>
              </w:tc>
              <w:tc>
                <w:tcPr>
                  <w:tcW w:w="683"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t>
                  </w:r>
                </w:p>
              </w:tc>
              <w:tc>
                <w:tcPr>
                  <w:tcW w:w="739" w:type="dxa"/>
                  <w:vAlign w:val="center"/>
                </w:tcPr>
                <w:p>
                  <w:pPr>
                    <w:spacing w:line="240" w:lineRule="auto"/>
                    <w:ind w:firstLine="0" w:firstLineChars="0"/>
                    <w:jc w:val="center"/>
                    <w:rPr>
                      <w:rFonts w:hint="eastAsia" w:ascii="Times New Roman" w:hAnsi="Times New Roman" w:eastAsia="宋体" w:cs="Times New Roman"/>
                      <w:sz w:val="21"/>
                      <w:szCs w:val="21"/>
                      <w:u w:val="none" w:color="auto"/>
                    </w:rPr>
                  </w:pPr>
                  <w:r>
                    <w:rPr>
                      <w:rFonts w:hint="eastAsia" w:ascii="Times New Roman" w:hAnsi="Times New Roman" w:eastAsia="宋体" w:cs="Times New Roman"/>
                      <w:sz w:val="21"/>
                      <w:szCs w:val="21"/>
                      <w:u w:val="none" w:color="auto"/>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u w:val="none" w:color="auto"/>
              </w:rPr>
            </w:pPr>
            <w:r>
              <w:rPr>
                <w:u w:val="none" w:color="auto"/>
              </w:rPr>
              <w:t>由上表的现状监测结果，项目所在沅江段3个监测断面上的</w:t>
            </w:r>
            <w:r>
              <w:rPr>
                <w:rFonts w:hint="eastAsia"/>
                <w:u w:val="none" w:color="auto"/>
                <w:lang w:eastAsia="zh-CN"/>
              </w:rPr>
              <w:t>pH值</w:t>
            </w:r>
            <w:r>
              <w:rPr>
                <w:u w:val="none" w:color="auto"/>
              </w:rPr>
              <w:t>、COD、</w:t>
            </w:r>
            <w:r>
              <w:rPr>
                <w:rFonts w:hint="eastAsia"/>
                <w:u w:val="none" w:color="auto"/>
              </w:rPr>
              <w:t>BOD</w:t>
            </w:r>
            <w:r>
              <w:rPr>
                <w:rFonts w:hint="eastAsia"/>
                <w:u w:val="none" w:color="auto"/>
                <w:vertAlign w:val="subscript"/>
              </w:rPr>
              <w:t>5</w:t>
            </w:r>
            <w:r>
              <w:rPr>
                <w:rFonts w:hint="eastAsia"/>
                <w:u w:val="none" w:color="auto"/>
              </w:rPr>
              <w:t>、NH</w:t>
            </w:r>
            <w:r>
              <w:rPr>
                <w:rFonts w:hint="eastAsia"/>
                <w:u w:val="none" w:color="auto"/>
                <w:vertAlign w:val="subscript"/>
              </w:rPr>
              <w:t>3</w:t>
            </w:r>
            <w:r>
              <w:rPr>
                <w:rFonts w:hint="eastAsia"/>
                <w:u w:val="none" w:color="auto"/>
              </w:rPr>
              <w:t>-N、总磷、二氯甲烷、二氯乙烷、挥发酚、石油类</w:t>
            </w:r>
            <w:r>
              <w:rPr>
                <w:u w:val="none" w:color="auto"/>
              </w:rPr>
              <w:t>能够《地表水环境质量标准》（GB3838-2002）表1中Ⅲ类标准要求，</w:t>
            </w:r>
            <w:r>
              <w:rPr>
                <w:rFonts w:hint="eastAsia"/>
                <w:u w:val="none" w:color="auto"/>
              </w:rPr>
              <w:t>氯化物、硫酸盐能够满足</w:t>
            </w:r>
            <w:r>
              <w:rPr>
                <w:u w:val="none" w:color="auto"/>
              </w:rPr>
              <w:t>《地表水环境质量标准》（GB3838-2002）表</w:t>
            </w:r>
            <w:r>
              <w:rPr>
                <w:rFonts w:hint="eastAsia"/>
                <w:u w:val="none" w:color="auto"/>
              </w:rPr>
              <w:t>2集中式生活饮用水地表水源地补充项目标准限值，项目所在的沅江段水质良好。</w:t>
            </w:r>
          </w:p>
          <w:p>
            <w:pPr>
              <w:pStyle w:val="36"/>
              <w:bidi w:val="0"/>
              <w:rPr>
                <w:rFonts w:hint="eastAsia"/>
                <w:b/>
                <w:bCs/>
                <w:lang w:val="en-US" w:eastAsia="zh-CN"/>
              </w:rPr>
            </w:pPr>
            <w:r>
              <w:rPr>
                <w:b/>
                <w:bCs/>
              </w:rPr>
              <w:t>三、声环境</w:t>
            </w:r>
            <w:r>
              <w:rPr>
                <w:rFonts w:hint="eastAsia"/>
                <w:b/>
                <w:bCs/>
                <w:lang w:val="en-US" w:eastAsia="zh-CN"/>
              </w:rPr>
              <w:t>质量现状</w:t>
            </w:r>
          </w:p>
          <w:p>
            <w:pPr>
              <w:pStyle w:val="36"/>
              <w:bidi w:val="0"/>
              <w:rPr>
                <w:rFonts w:hint="eastAsia" w:eastAsia="宋体"/>
                <w:color w:val="auto"/>
                <w:u w:val="none"/>
                <w:lang w:val="en-US" w:eastAsia="zh-CN"/>
              </w:rPr>
            </w:pPr>
            <w:r>
              <w:rPr>
                <w:rFonts w:hint="eastAsia"/>
                <w:color w:val="auto"/>
                <w:u w:val="none"/>
                <w:lang w:val="en-US" w:eastAsia="zh-CN"/>
              </w:rPr>
              <w:t>根据建设项目环境影响报告表编制技术指南（污染影响类）2021版中，声环境。厂界外周边50米范围内存在声环境保护目标的建设项目，应监测保护目标声环境质量现状并评价达标情况。本项目厂区位于工业园区内，最近居民点距离厂界</w:t>
            </w:r>
            <w:r>
              <w:rPr>
                <w:rFonts w:hint="eastAsia"/>
                <w:color w:val="auto"/>
                <w:highlight w:val="none"/>
                <w:u w:val="none"/>
                <w:lang w:val="en-US" w:eastAsia="zh-CN"/>
              </w:rPr>
              <w:t>352m</w:t>
            </w:r>
            <w:r>
              <w:rPr>
                <w:rFonts w:hint="eastAsia"/>
                <w:color w:val="auto"/>
                <w:u w:val="none"/>
                <w:lang w:val="en-US" w:eastAsia="zh-CN"/>
              </w:rPr>
              <w:t>，所以无需做噪声监测。</w:t>
            </w:r>
          </w:p>
          <w:p>
            <w:pPr>
              <w:pStyle w:val="36"/>
              <w:bidi w:val="0"/>
              <w:rPr>
                <w:rFonts w:hint="default"/>
                <w:b/>
                <w:bCs/>
              </w:rPr>
            </w:pPr>
            <w:r>
              <w:rPr>
                <w:rFonts w:hint="eastAsia"/>
                <w:b/>
                <w:bCs/>
                <w:lang w:val="en-US" w:eastAsia="zh-CN"/>
              </w:rPr>
              <w:t>四、地下水、</w:t>
            </w:r>
            <w:r>
              <w:rPr>
                <w:rFonts w:hint="default"/>
                <w:b/>
                <w:bCs/>
                <w:lang w:eastAsia="zh-CN"/>
              </w:rPr>
              <w:t>土壤环境质量</w:t>
            </w:r>
            <w:r>
              <w:rPr>
                <w:rFonts w:hint="default"/>
                <w:b/>
                <w:bCs/>
              </w:rPr>
              <w:t>现状</w:t>
            </w:r>
          </w:p>
          <w:p>
            <w:pPr>
              <w:pStyle w:val="36"/>
              <w:bidi w:val="0"/>
              <w:rPr>
                <w:rFonts w:hint="default"/>
              </w:rPr>
            </w:pPr>
            <w:r>
              <w:rPr>
                <w:rFonts w:hint="eastAsia"/>
                <w:lang w:val="en-US" w:eastAsia="zh-CN"/>
              </w:rPr>
              <w:t>本项目厂区已全部做好防渗防漏处置，无地下水和土壤污染途径，</w:t>
            </w:r>
            <w:r>
              <w:rPr>
                <w:rFonts w:hint="default"/>
              </w:rPr>
              <w:t>根据《</w:t>
            </w:r>
            <w:r>
              <w:rPr>
                <w:rFonts w:hint="eastAsia"/>
                <w:lang w:val="en-US" w:eastAsia="zh-CN"/>
              </w:rPr>
              <w:t>建设项目环境影响报告表编制技术指南-污染影响类</w:t>
            </w:r>
            <w:r>
              <w:rPr>
                <w:rFonts w:hint="default"/>
              </w:rPr>
              <w:t>（试行）》中</w:t>
            </w:r>
            <w:r>
              <w:rPr>
                <w:rFonts w:hint="eastAsia"/>
                <w:lang w:val="en-US" w:eastAsia="zh-CN"/>
              </w:rPr>
              <w:t>第三部分区域环境质量现状，地下水、土壤环境原则上不开展环境质量现状调查。</w:t>
            </w:r>
          </w:p>
          <w:p>
            <w:pPr>
              <w:pStyle w:val="36"/>
              <w:numPr>
                <w:ilvl w:val="0"/>
                <w:numId w:val="9"/>
              </w:numPr>
              <w:bidi w:val="0"/>
              <w:rPr>
                <w:rFonts w:hint="default"/>
                <w:b/>
                <w:bCs/>
              </w:rPr>
            </w:pPr>
            <w:r>
              <w:rPr>
                <w:rFonts w:hint="default"/>
                <w:b/>
                <w:bCs/>
              </w:rPr>
              <w:t>生态环境</w:t>
            </w:r>
            <w:bookmarkStart w:id="2" w:name="_Toc131837156"/>
            <w:bookmarkStart w:id="3" w:name="_Toc153937811"/>
            <w:bookmarkStart w:id="4" w:name="_Toc131836998"/>
            <w:bookmarkStart w:id="5" w:name="_Toc175374168"/>
            <w:bookmarkStart w:id="6" w:name="_Toc156370636"/>
            <w:bookmarkStart w:id="7" w:name="_Toc153854160"/>
            <w:bookmarkStart w:id="8" w:name="_Toc151719345"/>
            <w:bookmarkStart w:id="9" w:name="_Toc154116192"/>
            <w:bookmarkStart w:id="10" w:name="_Toc296844388"/>
            <w:bookmarkStart w:id="11" w:name="_Toc153874789"/>
            <w:bookmarkStart w:id="12" w:name="_Toc155082449"/>
            <w:bookmarkStart w:id="13" w:name="_Toc132601503"/>
            <w:r>
              <w:rPr>
                <w:rFonts w:hint="default"/>
                <w:b/>
                <w:bCs/>
              </w:rPr>
              <w:t>现状</w:t>
            </w:r>
            <w:bookmarkEnd w:id="2"/>
            <w:bookmarkEnd w:id="3"/>
            <w:bookmarkEnd w:id="4"/>
            <w:bookmarkEnd w:id="5"/>
            <w:bookmarkEnd w:id="6"/>
            <w:bookmarkEnd w:id="7"/>
            <w:bookmarkEnd w:id="8"/>
            <w:bookmarkEnd w:id="9"/>
            <w:bookmarkEnd w:id="10"/>
            <w:bookmarkEnd w:id="11"/>
            <w:bookmarkEnd w:id="12"/>
            <w:bookmarkEnd w:id="13"/>
          </w:p>
          <w:p>
            <w:pPr>
              <w:pStyle w:val="36"/>
              <w:bidi w:val="0"/>
              <w:rPr>
                <w:rFonts w:ascii="宋体" w:hAnsi="宋体" w:cs="宋体"/>
                <w:kern w:val="0"/>
                <w:szCs w:val="21"/>
              </w:rPr>
            </w:pPr>
            <w:r>
              <w:rPr>
                <w:rFonts w:hint="default"/>
                <w:lang w:val="en-US" w:eastAsia="zh-CN"/>
              </w:rPr>
              <w:t>根据现场调查，选址地区域</w:t>
            </w:r>
            <w:r>
              <w:rPr>
                <w:rFonts w:hint="eastAsia"/>
                <w:lang w:val="en-US" w:eastAsia="zh-CN"/>
              </w:rPr>
              <w:t>周边为已建厂房、林地和沅江</w:t>
            </w:r>
            <w:r>
              <w:rPr>
                <w:rFonts w:hint="default"/>
                <w:lang w:val="en-US" w:eastAsia="zh-CN"/>
              </w:rPr>
              <w:t>，周边总体地表植被保持良好，作物生长正常，没受到明显的环境污染影响。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68" w:hRule="atLeast"/>
          <w:jc w:val="center"/>
        </w:trPr>
        <w:tc>
          <w:tcPr>
            <w:tcW w:w="737" w:type="dxa"/>
            <w:noWrap w:val="0"/>
            <w:vAlign w:val="center"/>
          </w:tcPr>
          <w:p>
            <w:pPr>
              <w:adjustRightInd w:val="0"/>
              <w:snapToGrid w:val="0"/>
              <w:jc w:val="center"/>
              <w:rPr>
                <w:rFonts w:hint="eastAsia" w:ascii="宋体" w:hAnsi="宋体" w:cs="宋体"/>
                <w:kern w:val="0"/>
                <w:sz w:val="24"/>
                <w:szCs w:val="24"/>
              </w:rPr>
            </w:pPr>
            <w:r>
              <w:rPr>
                <w:rFonts w:hint="eastAsia" w:ascii="宋体" w:hAnsi="宋体" w:cs="宋体"/>
                <w:kern w:val="0"/>
                <w:sz w:val="24"/>
                <w:szCs w:val="24"/>
              </w:rPr>
              <w:t>环境</w:t>
            </w:r>
          </w:p>
          <w:p>
            <w:pPr>
              <w:adjustRightInd w:val="0"/>
              <w:snapToGrid w:val="0"/>
              <w:jc w:val="center"/>
              <w:rPr>
                <w:rFonts w:hint="eastAsia" w:ascii="宋体" w:hAnsi="宋体" w:cs="宋体"/>
                <w:kern w:val="0"/>
                <w:sz w:val="24"/>
                <w:szCs w:val="24"/>
              </w:rPr>
            </w:pPr>
            <w:r>
              <w:rPr>
                <w:rFonts w:hint="eastAsia" w:ascii="宋体" w:hAnsi="宋体" w:cs="宋体"/>
                <w:kern w:val="0"/>
                <w:sz w:val="24"/>
                <w:szCs w:val="24"/>
              </w:rPr>
              <w:t>保护</w:t>
            </w:r>
          </w:p>
          <w:p>
            <w:pPr>
              <w:adjustRightInd w:val="0"/>
              <w:snapToGrid w:val="0"/>
              <w:jc w:val="center"/>
              <w:rPr>
                <w:rFonts w:hint="eastAsia" w:ascii="宋体" w:hAnsi="宋体" w:cs="宋体"/>
                <w:kern w:val="0"/>
                <w:szCs w:val="21"/>
              </w:rPr>
            </w:pPr>
            <w:r>
              <w:rPr>
                <w:rFonts w:hint="eastAsia" w:ascii="宋体" w:hAnsi="宋体" w:cs="宋体"/>
                <w:kern w:val="0"/>
                <w:sz w:val="24"/>
                <w:szCs w:val="24"/>
              </w:rPr>
              <w:t>目标</w:t>
            </w:r>
          </w:p>
        </w:tc>
        <w:tc>
          <w:tcPr>
            <w:tcW w:w="8334" w:type="dxa"/>
            <w:noWrap w:val="0"/>
            <w:vAlign w:val="center"/>
          </w:tcPr>
          <w:p>
            <w:pPr>
              <w:pStyle w:val="57"/>
              <w:bidi w:val="0"/>
              <w:rPr>
                <w:u w:val="single"/>
              </w:rPr>
            </w:pPr>
            <w:r>
              <w:rPr>
                <w:color w:val="000000"/>
              </w:rPr>
              <w:t>本项目位于</w:t>
            </w:r>
            <w:r>
              <w:rPr>
                <w:rFonts w:ascii="宋体" w:hAnsi="宋体" w:eastAsia="宋体" w:cs="宋体"/>
                <w:sz w:val="24"/>
                <w:szCs w:val="24"/>
              </w:rPr>
              <w:t>湖南省怀化市洪江区岩门01号</w:t>
            </w:r>
            <w:r>
              <w:rPr>
                <w:color w:val="000000"/>
              </w:rPr>
              <w:t>，建设项目周边敏感点如下表所示。</w:t>
            </w:r>
          </w:p>
          <w:p>
            <w:pPr>
              <w:pStyle w:val="32"/>
              <w:bidi w:val="0"/>
              <w:rPr>
                <w:rFonts w:hint="eastAsia"/>
                <w:lang w:val="en-US" w:eastAsia="zh-CN"/>
              </w:rPr>
            </w:pPr>
            <w:r>
              <w:rPr>
                <w:rFonts w:hint="eastAsia"/>
                <w:lang w:eastAsia="zh-CN"/>
              </w:rPr>
              <w:t>表</w:t>
            </w:r>
            <w:r>
              <w:rPr>
                <w:rFonts w:hint="eastAsia"/>
                <w:lang w:val="en-US" w:eastAsia="zh-CN"/>
              </w:rPr>
              <w:t>3-3 项目环境空气保护目标</w:t>
            </w:r>
          </w:p>
          <w:tbl>
            <w:tblPr>
              <w:tblStyle w:val="22"/>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74"/>
              <w:gridCol w:w="965"/>
              <w:gridCol w:w="866"/>
              <w:gridCol w:w="433"/>
              <w:gridCol w:w="1130"/>
              <w:gridCol w:w="1423"/>
              <w:gridCol w:w="458"/>
              <w:gridCol w:w="9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161" w:type="pct"/>
                  <w:vMerge w:val="restart"/>
                  <w:tcBorders>
                    <w:top w:val="single" w:color="auto" w:sz="12" w:space="0"/>
                    <w:left w:val="single" w:color="auto" w:sz="12" w:space="0"/>
                    <w:bottom w:val="single" w:color="auto" w:sz="4" w:space="0"/>
                    <w:right w:val="single" w:color="auto" w:sz="4" w:space="0"/>
                  </w:tcBorders>
                  <w:noWrap w:val="0"/>
                  <w:vAlign w:val="center"/>
                </w:tcPr>
                <w:p>
                  <w:pPr>
                    <w:pStyle w:val="37"/>
                    <w:rPr>
                      <w:rFonts w:hint="default"/>
                      <w:color w:val="auto"/>
                      <w:u w:val="none"/>
                    </w:rPr>
                  </w:pPr>
                  <w:r>
                    <w:rPr>
                      <w:rFonts w:hint="default"/>
                      <w:color w:val="auto"/>
                      <w:u w:val="none"/>
                    </w:rPr>
                    <w:t>名称</w:t>
                  </w:r>
                </w:p>
              </w:tc>
              <w:tc>
                <w:tcPr>
                  <w:tcW w:w="1136" w:type="pct"/>
                  <w:gridSpan w:val="2"/>
                  <w:tcBorders>
                    <w:top w:val="single" w:color="auto" w:sz="12" w:space="0"/>
                    <w:left w:val="single" w:color="auto" w:sz="4" w:space="0"/>
                    <w:bottom w:val="single" w:color="auto" w:sz="4" w:space="0"/>
                    <w:right w:val="single" w:color="auto" w:sz="4" w:space="0"/>
                  </w:tcBorders>
                  <w:noWrap w:val="0"/>
                  <w:vAlign w:val="center"/>
                </w:tcPr>
                <w:p>
                  <w:pPr>
                    <w:pStyle w:val="37"/>
                    <w:rPr>
                      <w:rFonts w:hint="default"/>
                      <w:color w:val="auto"/>
                      <w:u w:val="none"/>
                    </w:rPr>
                  </w:pPr>
                  <w:r>
                    <w:rPr>
                      <w:rFonts w:hint="default"/>
                      <w:color w:val="auto"/>
                      <w:u w:val="none"/>
                    </w:rPr>
                    <w:t>坐标/m</w:t>
                  </w:r>
                </w:p>
              </w:tc>
              <w:tc>
                <w:tcPr>
                  <w:tcW w:w="256" w:type="pct"/>
                  <w:vMerge w:val="restart"/>
                  <w:tcBorders>
                    <w:top w:val="single" w:color="auto" w:sz="12" w:space="0"/>
                    <w:left w:val="single" w:color="auto" w:sz="4" w:space="0"/>
                    <w:bottom w:val="single" w:color="auto" w:sz="4" w:space="0"/>
                    <w:right w:val="single" w:color="auto" w:sz="4" w:space="0"/>
                  </w:tcBorders>
                  <w:noWrap w:val="0"/>
                  <w:vAlign w:val="center"/>
                </w:tcPr>
                <w:p>
                  <w:pPr>
                    <w:pStyle w:val="37"/>
                    <w:rPr>
                      <w:rFonts w:hint="default"/>
                      <w:color w:val="auto"/>
                      <w:u w:val="none"/>
                    </w:rPr>
                  </w:pPr>
                  <w:r>
                    <w:rPr>
                      <w:rFonts w:hint="default"/>
                      <w:color w:val="auto"/>
                      <w:u w:val="none"/>
                    </w:rPr>
                    <w:t>保护对象</w:t>
                  </w:r>
                </w:p>
              </w:tc>
              <w:tc>
                <w:tcPr>
                  <w:tcW w:w="700" w:type="pct"/>
                  <w:vMerge w:val="restart"/>
                  <w:tcBorders>
                    <w:top w:val="single" w:color="auto" w:sz="12" w:space="0"/>
                    <w:left w:val="single" w:color="auto" w:sz="4" w:space="0"/>
                    <w:bottom w:val="single" w:color="auto" w:sz="4" w:space="0"/>
                    <w:right w:val="single" w:color="auto" w:sz="4" w:space="0"/>
                  </w:tcBorders>
                  <w:noWrap w:val="0"/>
                  <w:vAlign w:val="center"/>
                </w:tcPr>
                <w:p>
                  <w:pPr>
                    <w:pStyle w:val="37"/>
                    <w:rPr>
                      <w:rFonts w:hint="default"/>
                      <w:color w:val="auto"/>
                      <w:u w:val="none"/>
                    </w:rPr>
                  </w:pPr>
                  <w:r>
                    <w:rPr>
                      <w:rFonts w:hint="default"/>
                      <w:color w:val="auto"/>
                      <w:u w:val="none"/>
                    </w:rPr>
                    <w:t>保护内容</w:t>
                  </w:r>
                </w:p>
              </w:tc>
              <w:tc>
                <w:tcPr>
                  <w:tcW w:w="881" w:type="pct"/>
                  <w:vMerge w:val="restart"/>
                  <w:tcBorders>
                    <w:top w:val="single" w:color="auto" w:sz="12" w:space="0"/>
                    <w:left w:val="single" w:color="auto" w:sz="4" w:space="0"/>
                    <w:bottom w:val="single" w:color="auto" w:sz="4" w:space="0"/>
                    <w:right w:val="single" w:color="auto" w:sz="4" w:space="0"/>
                  </w:tcBorders>
                  <w:noWrap w:val="0"/>
                  <w:vAlign w:val="center"/>
                </w:tcPr>
                <w:p>
                  <w:pPr>
                    <w:pStyle w:val="37"/>
                    <w:rPr>
                      <w:rFonts w:hint="default"/>
                      <w:color w:val="auto"/>
                      <w:u w:val="none"/>
                    </w:rPr>
                  </w:pPr>
                  <w:r>
                    <w:rPr>
                      <w:rFonts w:hint="default"/>
                      <w:color w:val="auto"/>
                      <w:u w:val="none"/>
                    </w:rPr>
                    <w:t>保护功能区</w:t>
                  </w:r>
                </w:p>
              </w:tc>
              <w:tc>
                <w:tcPr>
                  <w:tcW w:w="285" w:type="pct"/>
                  <w:vMerge w:val="restart"/>
                  <w:tcBorders>
                    <w:top w:val="single" w:color="auto" w:sz="12" w:space="0"/>
                    <w:left w:val="single" w:color="auto" w:sz="4" w:space="0"/>
                    <w:bottom w:val="single" w:color="auto" w:sz="4" w:space="0"/>
                    <w:right w:val="single" w:color="auto" w:sz="4" w:space="0"/>
                  </w:tcBorders>
                  <w:noWrap w:val="0"/>
                  <w:vAlign w:val="center"/>
                </w:tcPr>
                <w:p>
                  <w:pPr>
                    <w:pStyle w:val="37"/>
                    <w:rPr>
                      <w:rFonts w:hint="default"/>
                      <w:color w:val="auto"/>
                      <w:u w:val="none"/>
                    </w:rPr>
                  </w:pPr>
                  <w:r>
                    <w:rPr>
                      <w:rFonts w:hint="default"/>
                      <w:color w:val="auto"/>
                      <w:u w:val="none"/>
                    </w:rPr>
                    <w:t>相对厂址方位</w:t>
                  </w:r>
                </w:p>
              </w:tc>
              <w:tc>
                <w:tcPr>
                  <w:tcW w:w="578" w:type="pct"/>
                  <w:vMerge w:val="restart"/>
                  <w:tcBorders>
                    <w:top w:val="single" w:color="auto" w:sz="12" w:space="0"/>
                    <w:left w:val="single" w:color="auto" w:sz="4" w:space="0"/>
                    <w:bottom w:val="single" w:color="auto" w:sz="4" w:space="0"/>
                    <w:right w:val="single" w:color="auto" w:sz="12" w:space="0"/>
                  </w:tcBorders>
                  <w:noWrap w:val="0"/>
                  <w:vAlign w:val="center"/>
                </w:tcPr>
                <w:p>
                  <w:pPr>
                    <w:pStyle w:val="37"/>
                    <w:rPr>
                      <w:rFonts w:hint="default"/>
                      <w:color w:val="auto"/>
                      <w:u w:val="none"/>
                    </w:rPr>
                  </w:pPr>
                  <w:r>
                    <w:rPr>
                      <w:rFonts w:hint="default"/>
                      <w:color w:val="auto"/>
                      <w:u w:val="none"/>
                    </w:rPr>
                    <w:t>相对厂界距离/m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pct"/>
                  <w:vMerge w:val="continue"/>
                  <w:tcBorders>
                    <w:top w:val="single" w:color="auto" w:sz="4" w:space="0"/>
                    <w:left w:val="single" w:color="auto" w:sz="12" w:space="0"/>
                    <w:bottom w:val="single" w:color="auto" w:sz="4" w:space="0"/>
                    <w:right w:val="single" w:color="auto" w:sz="4" w:space="0"/>
                  </w:tcBorders>
                  <w:noWrap w:val="0"/>
                  <w:vAlign w:val="center"/>
                </w:tcPr>
                <w:p>
                  <w:pPr>
                    <w:pStyle w:val="37"/>
                    <w:rPr>
                      <w:rFonts w:hint="default" w:eastAsia="Times New Roman"/>
                      <w:color w:val="auto"/>
                      <w:u w:val="none"/>
                    </w:rPr>
                  </w:pPr>
                </w:p>
              </w:tc>
              <w:tc>
                <w:tcPr>
                  <w:tcW w:w="599" w:type="pct"/>
                  <w:tcBorders>
                    <w:top w:val="single" w:color="auto" w:sz="4" w:space="0"/>
                    <w:left w:val="single" w:color="auto" w:sz="4" w:space="0"/>
                    <w:bottom w:val="single" w:color="auto" w:sz="4" w:space="0"/>
                    <w:right w:val="single" w:color="auto" w:sz="4" w:space="0"/>
                  </w:tcBorders>
                  <w:noWrap w:val="0"/>
                  <w:vAlign w:val="center"/>
                </w:tcPr>
                <w:p>
                  <w:pPr>
                    <w:pStyle w:val="37"/>
                    <w:rPr>
                      <w:rFonts w:hint="default"/>
                      <w:color w:val="auto"/>
                      <w:u w:val="none"/>
                    </w:rPr>
                  </w:pPr>
                  <w:r>
                    <w:rPr>
                      <w:rFonts w:hint="default"/>
                      <w:color w:val="auto"/>
                      <w:u w:val="none"/>
                    </w:rPr>
                    <w:t>X</w:t>
                  </w:r>
                </w:p>
              </w:tc>
              <w:tc>
                <w:tcPr>
                  <w:tcW w:w="537" w:type="pct"/>
                  <w:tcBorders>
                    <w:top w:val="single" w:color="auto" w:sz="4" w:space="0"/>
                    <w:left w:val="single" w:color="auto" w:sz="4" w:space="0"/>
                    <w:bottom w:val="single" w:color="auto" w:sz="4" w:space="0"/>
                    <w:right w:val="single" w:color="auto" w:sz="4" w:space="0"/>
                  </w:tcBorders>
                  <w:noWrap w:val="0"/>
                  <w:vAlign w:val="center"/>
                </w:tcPr>
                <w:p>
                  <w:pPr>
                    <w:pStyle w:val="37"/>
                    <w:rPr>
                      <w:rFonts w:hint="default"/>
                      <w:color w:val="auto"/>
                      <w:u w:val="none"/>
                    </w:rPr>
                  </w:pPr>
                  <w:r>
                    <w:rPr>
                      <w:rFonts w:hint="default"/>
                      <w:color w:val="auto"/>
                      <w:u w:val="none"/>
                    </w:rPr>
                    <w:t>Y</w:t>
                  </w:r>
                </w:p>
              </w:tc>
              <w:tc>
                <w:tcPr>
                  <w:tcW w:w="256" w:type="pct"/>
                  <w:vMerge w:val="continue"/>
                  <w:tcBorders>
                    <w:top w:val="single" w:color="auto" w:sz="4" w:space="0"/>
                    <w:left w:val="single" w:color="auto" w:sz="4" w:space="0"/>
                    <w:bottom w:val="single" w:color="auto" w:sz="4" w:space="0"/>
                    <w:right w:val="single" w:color="auto" w:sz="4" w:space="0"/>
                  </w:tcBorders>
                  <w:noWrap w:val="0"/>
                  <w:vAlign w:val="center"/>
                </w:tcPr>
                <w:p>
                  <w:pPr>
                    <w:pStyle w:val="37"/>
                    <w:rPr>
                      <w:rFonts w:hint="default" w:eastAsia="Times New Roman"/>
                      <w:color w:val="auto"/>
                      <w:u w:val="none"/>
                    </w:rPr>
                  </w:pPr>
                </w:p>
              </w:tc>
              <w:tc>
                <w:tcPr>
                  <w:tcW w:w="700" w:type="pct"/>
                  <w:vMerge w:val="continue"/>
                  <w:tcBorders>
                    <w:top w:val="single" w:color="auto" w:sz="4" w:space="0"/>
                    <w:left w:val="single" w:color="auto" w:sz="4" w:space="0"/>
                    <w:bottom w:val="single" w:color="auto" w:sz="4" w:space="0"/>
                    <w:right w:val="single" w:color="auto" w:sz="4" w:space="0"/>
                  </w:tcBorders>
                  <w:noWrap w:val="0"/>
                  <w:vAlign w:val="center"/>
                </w:tcPr>
                <w:p>
                  <w:pPr>
                    <w:pStyle w:val="37"/>
                    <w:rPr>
                      <w:rFonts w:hint="default" w:eastAsia="Times New Roman"/>
                      <w:color w:val="auto"/>
                      <w:u w:val="none"/>
                    </w:rPr>
                  </w:pPr>
                </w:p>
              </w:tc>
              <w:tc>
                <w:tcPr>
                  <w:tcW w:w="881" w:type="pct"/>
                  <w:vMerge w:val="continue"/>
                  <w:tcBorders>
                    <w:top w:val="single" w:color="auto" w:sz="4" w:space="0"/>
                    <w:left w:val="single" w:color="auto" w:sz="4" w:space="0"/>
                    <w:bottom w:val="single" w:color="auto" w:sz="4" w:space="0"/>
                    <w:right w:val="single" w:color="auto" w:sz="4" w:space="0"/>
                  </w:tcBorders>
                  <w:noWrap w:val="0"/>
                  <w:vAlign w:val="center"/>
                </w:tcPr>
                <w:p>
                  <w:pPr>
                    <w:pStyle w:val="37"/>
                    <w:rPr>
                      <w:rFonts w:hint="default" w:eastAsia="Times New Roman"/>
                      <w:color w:val="auto"/>
                      <w:u w:val="none"/>
                    </w:rPr>
                  </w:pPr>
                </w:p>
              </w:tc>
              <w:tc>
                <w:tcPr>
                  <w:tcW w:w="285" w:type="pct"/>
                  <w:vMerge w:val="continue"/>
                  <w:tcBorders>
                    <w:top w:val="single" w:color="auto" w:sz="4" w:space="0"/>
                    <w:left w:val="single" w:color="auto" w:sz="4" w:space="0"/>
                    <w:bottom w:val="single" w:color="auto" w:sz="4" w:space="0"/>
                    <w:right w:val="single" w:color="auto" w:sz="4" w:space="0"/>
                  </w:tcBorders>
                  <w:noWrap w:val="0"/>
                  <w:vAlign w:val="center"/>
                </w:tcPr>
                <w:p>
                  <w:pPr>
                    <w:pStyle w:val="37"/>
                    <w:rPr>
                      <w:rFonts w:hint="default" w:eastAsia="Times New Roman"/>
                      <w:color w:val="auto"/>
                      <w:u w:val="none"/>
                    </w:rPr>
                  </w:pPr>
                </w:p>
              </w:tc>
              <w:tc>
                <w:tcPr>
                  <w:tcW w:w="578" w:type="pct"/>
                  <w:vMerge w:val="continue"/>
                  <w:tcBorders>
                    <w:top w:val="single" w:color="auto" w:sz="4" w:space="0"/>
                    <w:left w:val="single" w:color="auto" w:sz="4" w:space="0"/>
                    <w:bottom w:val="single" w:color="auto" w:sz="4" w:space="0"/>
                    <w:right w:val="single" w:color="auto" w:sz="12" w:space="0"/>
                  </w:tcBorders>
                  <w:noWrap w:val="0"/>
                  <w:vAlign w:val="center"/>
                </w:tcPr>
                <w:p>
                  <w:pPr>
                    <w:pStyle w:val="37"/>
                    <w:rPr>
                      <w:rFonts w:hint="default" w:eastAsia="Times New Roman"/>
                      <w:color w:val="auto"/>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1" w:type="pct"/>
                  <w:tcBorders>
                    <w:top w:val="single" w:color="auto" w:sz="4" w:space="0"/>
                    <w:left w:val="single" w:color="auto" w:sz="12" w:space="0"/>
                    <w:bottom w:val="single" w:color="auto" w:sz="4" w:space="0"/>
                    <w:right w:val="single" w:color="auto" w:sz="4" w:space="0"/>
                  </w:tcBorders>
                  <w:noWrap w:val="0"/>
                  <w:vAlign w:val="center"/>
                </w:tcPr>
                <w:p>
                  <w:pPr>
                    <w:pStyle w:val="37"/>
                    <w:rPr>
                      <w:rFonts w:hint="default" w:eastAsia="宋体"/>
                      <w:color w:val="auto"/>
                      <w:u w:val="none"/>
                      <w:lang w:val="en-US" w:eastAsia="zh-CN"/>
                    </w:rPr>
                  </w:pPr>
                  <w:r>
                    <w:rPr>
                      <w:rFonts w:hint="eastAsia" w:eastAsia="宋体"/>
                      <w:color w:val="auto"/>
                      <w:u w:val="none"/>
                      <w:lang w:val="en-US" w:eastAsia="zh-CN"/>
                    </w:rPr>
                    <w:t>①</w:t>
                  </w:r>
                  <w:r>
                    <w:rPr>
                      <w:rFonts w:hint="eastAsia"/>
                      <w:color w:val="auto"/>
                      <w:u w:val="none"/>
                      <w:lang w:val="en-US" w:eastAsia="zh-CN"/>
                    </w:rPr>
                    <w:t>岩门村居民</w:t>
                  </w:r>
                </w:p>
              </w:tc>
              <w:tc>
                <w:tcPr>
                  <w:tcW w:w="599" w:type="pct"/>
                  <w:tcBorders>
                    <w:top w:val="single" w:color="auto" w:sz="4" w:space="0"/>
                    <w:left w:val="single" w:color="auto" w:sz="4" w:space="0"/>
                    <w:bottom w:val="single" w:color="auto" w:sz="4" w:space="0"/>
                    <w:right w:val="single" w:color="auto" w:sz="4" w:space="0"/>
                  </w:tcBorders>
                  <w:noWrap w:val="0"/>
                  <w:vAlign w:val="center"/>
                </w:tcPr>
                <w:p>
                  <w:pPr>
                    <w:pStyle w:val="37"/>
                    <w:rPr>
                      <w:rFonts w:hint="default" w:eastAsia="宋体"/>
                      <w:color w:val="auto"/>
                      <w:u w:val="none"/>
                      <w:lang w:val="en-US" w:eastAsia="zh-CN"/>
                    </w:rPr>
                  </w:pPr>
                  <w:r>
                    <w:rPr>
                      <w:rFonts w:hint="default"/>
                      <w:color w:val="auto"/>
                      <w:u w:val="none"/>
                    </w:rPr>
                    <w:t>11</w:t>
                  </w:r>
                  <w:r>
                    <w:rPr>
                      <w:rFonts w:hint="eastAsia"/>
                      <w:color w:val="auto"/>
                      <w:u w:val="none"/>
                      <w:lang w:val="en-US" w:eastAsia="zh-CN"/>
                    </w:rPr>
                    <w:t>0.014333</w:t>
                  </w:r>
                </w:p>
              </w:tc>
              <w:tc>
                <w:tcPr>
                  <w:tcW w:w="537" w:type="pct"/>
                  <w:tcBorders>
                    <w:top w:val="single" w:color="auto" w:sz="4" w:space="0"/>
                    <w:left w:val="single" w:color="auto" w:sz="4" w:space="0"/>
                    <w:bottom w:val="single" w:color="auto" w:sz="4" w:space="0"/>
                    <w:right w:val="single" w:color="auto" w:sz="4" w:space="0"/>
                  </w:tcBorders>
                  <w:noWrap w:val="0"/>
                  <w:vAlign w:val="center"/>
                </w:tcPr>
                <w:p>
                  <w:pPr>
                    <w:pStyle w:val="37"/>
                    <w:rPr>
                      <w:rFonts w:hint="default" w:eastAsia="宋体"/>
                      <w:color w:val="auto"/>
                      <w:u w:val="none"/>
                      <w:lang w:val="en-US" w:eastAsia="zh-CN"/>
                    </w:rPr>
                  </w:pPr>
                  <w:r>
                    <w:rPr>
                      <w:rFonts w:hint="eastAsia"/>
                      <w:color w:val="auto"/>
                      <w:u w:val="none"/>
                    </w:rPr>
                    <w:t>2</w:t>
                  </w:r>
                  <w:r>
                    <w:rPr>
                      <w:rFonts w:hint="eastAsia"/>
                      <w:color w:val="auto"/>
                      <w:u w:val="none"/>
                      <w:lang w:val="en-US" w:eastAsia="zh-CN"/>
                    </w:rPr>
                    <w:t>7.156492</w:t>
                  </w:r>
                </w:p>
              </w:tc>
              <w:tc>
                <w:tcPr>
                  <w:tcW w:w="256" w:type="pct"/>
                  <w:vMerge w:val="restart"/>
                  <w:tcBorders>
                    <w:top w:val="single" w:color="auto" w:sz="4" w:space="0"/>
                    <w:left w:val="single" w:color="auto" w:sz="4" w:space="0"/>
                    <w:right w:val="single" w:color="auto" w:sz="4" w:space="0"/>
                  </w:tcBorders>
                  <w:noWrap w:val="0"/>
                  <w:vAlign w:val="center"/>
                </w:tcPr>
                <w:p>
                  <w:pPr>
                    <w:pStyle w:val="37"/>
                    <w:rPr>
                      <w:rFonts w:hint="default"/>
                      <w:color w:val="auto"/>
                      <w:u w:val="none"/>
                    </w:rPr>
                  </w:pPr>
                  <w:r>
                    <w:rPr>
                      <w:rFonts w:hint="default"/>
                      <w:color w:val="auto"/>
                      <w:u w:val="none"/>
                    </w:rPr>
                    <w:t>居民</w:t>
                  </w:r>
                </w:p>
              </w:tc>
              <w:tc>
                <w:tcPr>
                  <w:tcW w:w="700" w:type="pct"/>
                  <w:tcBorders>
                    <w:top w:val="single" w:color="auto" w:sz="4" w:space="0"/>
                    <w:left w:val="single" w:color="auto" w:sz="4" w:space="0"/>
                    <w:bottom w:val="single" w:color="auto" w:sz="4" w:space="0"/>
                    <w:right w:val="single" w:color="auto" w:sz="4" w:space="0"/>
                  </w:tcBorders>
                  <w:noWrap w:val="0"/>
                  <w:vAlign w:val="center"/>
                </w:tcPr>
                <w:p>
                  <w:pPr>
                    <w:pStyle w:val="37"/>
                    <w:rPr>
                      <w:rFonts w:hint="default" w:eastAsia="宋体"/>
                      <w:color w:val="auto"/>
                      <w:u w:val="none"/>
                      <w:lang w:val="en-US" w:eastAsia="zh-CN"/>
                    </w:rPr>
                  </w:pPr>
                  <w:r>
                    <w:rPr>
                      <w:rFonts w:hint="eastAsia" w:eastAsia="宋体"/>
                      <w:color w:val="auto"/>
                      <w:u w:val="none"/>
                      <w:lang w:val="en-US" w:eastAsia="zh-CN"/>
                    </w:rPr>
                    <w:t>20户，约60人</w:t>
                  </w:r>
                </w:p>
              </w:tc>
              <w:tc>
                <w:tcPr>
                  <w:tcW w:w="881" w:type="pct"/>
                  <w:vMerge w:val="restart"/>
                  <w:tcBorders>
                    <w:top w:val="single" w:color="auto" w:sz="4" w:space="0"/>
                    <w:left w:val="single" w:color="auto" w:sz="4" w:space="0"/>
                    <w:right w:val="single" w:color="auto" w:sz="4" w:space="0"/>
                  </w:tcBorders>
                  <w:noWrap w:val="0"/>
                  <w:vAlign w:val="center"/>
                </w:tcPr>
                <w:p>
                  <w:pPr>
                    <w:pStyle w:val="37"/>
                    <w:rPr>
                      <w:rFonts w:hint="default" w:eastAsia="Times New Roman"/>
                      <w:color w:val="auto"/>
                      <w:u w:val="none"/>
                    </w:rPr>
                  </w:pPr>
                  <w:r>
                    <w:rPr>
                      <w:rFonts w:hint="default"/>
                      <w:color w:val="auto"/>
                      <w:u w:val="none"/>
                    </w:rPr>
                    <w:t>《环境空气质量标准》（GB3095-2012），二级</w:t>
                  </w:r>
                </w:p>
              </w:tc>
              <w:tc>
                <w:tcPr>
                  <w:tcW w:w="285" w:type="pct"/>
                  <w:tcBorders>
                    <w:top w:val="single" w:color="auto" w:sz="4" w:space="0"/>
                    <w:left w:val="single" w:color="auto" w:sz="4" w:space="0"/>
                    <w:bottom w:val="single" w:color="auto" w:sz="4" w:space="0"/>
                    <w:right w:val="single" w:color="auto" w:sz="4" w:space="0"/>
                  </w:tcBorders>
                  <w:noWrap w:val="0"/>
                  <w:vAlign w:val="center"/>
                </w:tcPr>
                <w:p>
                  <w:pPr>
                    <w:pStyle w:val="37"/>
                    <w:rPr>
                      <w:rFonts w:hint="default" w:eastAsia="宋体"/>
                      <w:color w:val="auto"/>
                      <w:u w:val="none"/>
                      <w:lang w:val="en-US" w:eastAsia="zh-CN"/>
                    </w:rPr>
                  </w:pPr>
                  <w:r>
                    <w:rPr>
                      <w:rFonts w:hint="eastAsia"/>
                      <w:color w:val="auto"/>
                      <w:u w:val="none"/>
                      <w:lang w:val="en-US" w:eastAsia="zh-CN"/>
                    </w:rPr>
                    <w:t>东北</w:t>
                  </w:r>
                </w:p>
              </w:tc>
              <w:tc>
                <w:tcPr>
                  <w:tcW w:w="578" w:type="pct"/>
                  <w:tcBorders>
                    <w:top w:val="single" w:color="auto" w:sz="4" w:space="0"/>
                    <w:left w:val="single" w:color="auto" w:sz="4" w:space="0"/>
                    <w:bottom w:val="single" w:color="auto" w:sz="4" w:space="0"/>
                    <w:right w:val="single" w:color="auto" w:sz="12" w:space="0"/>
                  </w:tcBorders>
                  <w:noWrap w:val="0"/>
                  <w:vAlign w:val="center"/>
                </w:tcPr>
                <w:p>
                  <w:pPr>
                    <w:pStyle w:val="37"/>
                    <w:rPr>
                      <w:rFonts w:hint="default" w:eastAsia="宋体"/>
                      <w:color w:val="auto"/>
                      <w:u w:val="none"/>
                      <w:lang w:val="en-US" w:eastAsia="zh-CN"/>
                    </w:rPr>
                  </w:pPr>
                  <w:r>
                    <w:rPr>
                      <w:rFonts w:hint="eastAsia"/>
                      <w:color w:val="auto"/>
                      <w:u w:val="none"/>
                      <w:lang w:val="en-US" w:eastAsia="zh-CN"/>
                    </w:rPr>
                    <w:t>352-500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161" w:type="pct"/>
                  <w:tcBorders>
                    <w:top w:val="single" w:color="auto" w:sz="4" w:space="0"/>
                    <w:left w:val="single" w:color="auto" w:sz="12" w:space="0"/>
                    <w:bottom w:val="single" w:color="auto" w:sz="4" w:space="0"/>
                    <w:right w:val="single" w:color="auto" w:sz="4" w:space="0"/>
                  </w:tcBorders>
                  <w:noWrap w:val="0"/>
                  <w:vAlign w:val="center"/>
                </w:tcPr>
                <w:p>
                  <w:pPr>
                    <w:pStyle w:val="37"/>
                    <w:rPr>
                      <w:rFonts w:hint="default"/>
                      <w:color w:val="auto"/>
                      <w:u w:val="none"/>
                      <w:lang w:val="en-US"/>
                    </w:rPr>
                  </w:pPr>
                  <w:r>
                    <w:rPr>
                      <w:rFonts w:hint="eastAsia"/>
                      <w:color w:val="auto"/>
                      <w:u w:val="none"/>
                      <w:lang w:val="en-US" w:eastAsia="zh-CN"/>
                    </w:rPr>
                    <w:t>②陈杨溪居民</w:t>
                  </w:r>
                </w:p>
              </w:tc>
              <w:tc>
                <w:tcPr>
                  <w:tcW w:w="599" w:type="pct"/>
                  <w:tcBorders>
                    <w:top w:val="single" w:color="auto" w:sz="4" w:space="0"/>
                    <w:left w:val="single" w:color="auto" w:sz="4" w:space="0"/>
                    <w:bottom w:val="single" w:color="auto" w:sz="4" w:space="0"/>
                    <w:right w:val="single" w:color="auto" w:sz="4" w:space="0"/>
                  </w:tcBorders>
                  <w:noWrap w:val="0"/>
                  <w:vAlign w:val="center"/>
                </w:tcPr>
                <w:p>
                  <w:pPr>
                    <w:pStyle w:val="37"/>
                    <w:rPr>
                      <w:rFonts w:hint="default" w:eastAsia="宋体"/>
                      <w:color w:val="auto"/>
                      <w:u w:val="none"/>
                      <w:lang w:val="en-US" w:eastAsia="zh-CN"/>
                    </w:rPr>
                  </w:pPr>
                  <w:r>
                    <w:rPr>
                      <w:rFonts w:hint="default"/>
                      <w:color w:val="auto"/>
                      <w:u w:val="none"/>
                    </w:rPr>
                    <w:t>11</w:t>
                  </w:r>
                  <w:r>
                    <w:rPr>
                      <w:rFonts w:hint="eastAsia"/>
                      <w:color w:val="auto"/>
                      <w:u w:val="none"/>
                      <w:lang w:val="en-US" w:eastAsia="zh-CN"/>
                    </w:rPr>
                    <w:t>0.00741</w:t>
                  </w:r>
                </w:p>
              </w:tc>
              <w:tc>
                <w:tcPr>
                  <w:tcW w:w="537" w:type="pct"/>
                  <w:tcBorders>
                    <w:top w:val="single" w:color="auto" w:sz="4" w:space="0"/>
                    <w:left w:val="single" w:color="auto" w:sz="4" w:space="0"/>
                    <w:bottom w:val="single" w:color="auto" w:sz="4" w:space="0"/>
                    <w:right w:val="single" w:color="auto" w:sz="4" w:space="0"/>
                  </w:tcBorders>
                  <w:noWrap w:val="0"/>
                  <w:vAlign w:val="center"/>
                </w:tcPr>
                <w:p>
                  <w:pPr>
                    <w:pStyle w:val="37"/>
                    <w:rPr>
                      <w:rFonts w:hint="default" w:eastAsia="宋体"/>
                      <w:color w:val="auto"/>
                      <w:u w:val="none"/>
                      <w:lang w:val="en-US" w:eastAsia="zh-CN"/>
                    </w:rPr>
                  </w:pPr>
                  <w:r>
                    <w:rPr>
                      <w:rFonts w:hint="eastAsia"/>
                      <w:color w:val="auto"/>
                      <w:u w:val="none"/>
                      <w:lang w:val="en-US" w:eastAsia="zh-CN"/>
                    </w:rPr>
                    <w:t>27.154641</w:t>
                  </w:r>
                </w:p>
              </w:tc>
              <w:tc>
                <w:tcPr>
                  <w:tcW w:w="256" w:type="pct"/>
                  <w:vMerge w:val="continue"/>
                  <w:tcBorders>
                    <w:left w:val="single" w:color="auto" w:sz="4" w:space="0"/>
                    <w:right w:val="single" w:color="auto" w:sz="4" w:space="0"/>
                  </w:tcBorders>
                  <w:noWrap w:val="0"/>
                  <w:vAlign w:val="center"/>
                </w:tcPr>
                <w:p>
                  <w:pPr>
                    <w:pStyle w:val="37"/>
                    <w:rPr>
                      <w:rFonts w:hint="default"/>
                      <w:color w:val="auto"/>
                      <w:u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pPr>
                    <w:pStyle w:val="37"/>
                    <w:rPr>
                      <w:rFonts w:hint="default"/>
                      <w:color w:val="auto"/>
                      <w:u w:val="none"/>
                    </w:rPr>
                  </w:pPr>
                  <w:r>
                    <w:rPr>
                      <w:rFonts w:hint="eastAsia"/>
                      <w:color w:val="auto"/>
                      <w:u w:val="none"/>
                      <w:lang w:val="en-US" w:eastAsia="zh-CN"/>
                    </w:rPr>
                    <w:t>10</w:t>
                  </w:r>
                  <w:r>
                    <w:rPr>
                      <w:rFonts w:hint="default"/>
                      <w:color w:val="auto"/>
                      <w:u w:val="none"/>
                    </w:rPr>
                    <w:t>户，约</w:t>
                  </w:r>
                  <w:r>
                    <w:rPr>
                      <w:rFonts w:hint="eastAsia"/>
                      <w:color w:val="auto"/>
                      <w:u w:val="none"/>
                      <w:lang w:val="en-US" w:eastAsia="zh-CN"/>
                    </w:rPr>
                    <w:t>30</w:t>
                  </w:r>
                  <w:r>
                    <w:rPr>
                      <w:rFonts w:hint="default"/>
                      <w:color w:val="auto"/>
                      <w:u w:val="none"/>
                    </w:rPr>
                    <w:t>人</w:t>
                  </w:r>
                </w:p>
              </w:tc>
              <w:tc>
                <w:tcPr>
                  <w:tcW w:w="881" w:type="pct"/>
                  <w:vMerge w:val="continue"/>
                  <w:tcBorders>
                    <w:left w:val="single" w:color="auto" w:sz="4" w:space="0"/>
                    <w:right w:val="single" w:color="auto" w:sz="4" w:space="0"/>
                  </w:tcBorders>
                  <w:noWrap w:val="0"/>
                  <w:vAlign w:val="center"/>
                </w:tcPr>
                <w:p>
                  <w:pPr>
                    <w:pStyle w:val="37"/>
                    <w:rPr>
                      <w:rFonts w:hint="default"/>
                      <w:color w:val="auto"/>
                      <w:u w:val="none"/>
                    </w:rPr>
                  </w:pPr>
                </w:p>
              </w:tc>
              <w:tc>
                <w:tcPr>
                  <w:tcW w:w="285" w:type="pct"/>
                  <w:tcBorders>
                    <w:top w:val="single" w:color="auto" w:sz="4" w:space="0"/>
                    <w:left w:val="single" w:color="auto" w:sz="4" w:space="0"/>
                    <w:bottom w:val="single" w:color="auto" w:sz="4" w:space="0"/>
                    <w:right w:val="single" w:color="auto" w:sz="4" w:space="0"/>
                  </w:tcBorders>
                  <w:noWrap w:val="0"/>
                  <w:vAlign w:val="center"/>
                </w:tcPr>
                <w:p>
                  <w:pPr>
                    <w:pStyle w:val="37"/>
                    <w:rPr>
                      <w:rFonts w:hint="default" w:eastAsia="宋体"/>
                      <w:color w:val="auto"/>
                      <w:u w:val="none"/>
                      <w:lang w:val="en-US" w:eastAsia="zh-CN"/>
                    </w:rPr>
                  </w:pPr>
                  <w:r>
                    <w:rPr>
                      <w:rFonts w:hint="eastAsia"/>
                      <w:color w:val="auto"/>
                      <w:u w:val="none"/>
                      <w:lang w:val="en-US" w:eastAsia="zh-CN"/>
                    </w:rPr>
                    <w:t>西</w:t>
                  </w:r>
                </w:p>
              </w:tc>
              <w:tc>
                <w:tcPr>
                  <w:tcW w:w="578" w:type="pct"/>
                  <w:tcBorders>
                    <w:top w:val="single" w:color="auto" w:sz="4" w:space="0"/>
                    <w:left w:val="single" w:color="auto" w:sz="4" w:space="0"/>
                    <w:bottom w:val="single" w:color="auto" w:sz="4" w:space="0"/>
                    <w:right w:val="single" w:color="auto" w:sz="12" w:space="0"/>
                  </w:tcBorders>
                  <w:noWrap w:val="0"/>
                  <w:vAlign w:val="center"/>
                </w:tcPr>
                <w:p>
                  <w:pPr>
                    <w:pStyle w:val="37"/>
                    <w:rPr>
                      <w:rFonts w:hint="default"/>
                      <w:color w:val="auto"/>
                      <w:u w:val="none"/>
                      <w:lang w:val="en-US"/>
                    </w:rPr>
                  </w:pPr>
                  <w:r>
                    <w:rPr>
                      <w:rFonts w:hint="eastAsia"/>
                      <w:color w:val="auto"/>
                      <w:u w:val="none"/>
                      <w:lang w:val="en-US" w:eastAsia="zh-CN"/>
                    </w:rPr>
                    <w:t>424-500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8"/>
                  <w:tcBorders>
                    <w:top w:val="single" w:color="auto" w:sz="4" w:space="0"/>
                    <w:left w:val="single" w:color="auto" w:sz="12" w:space="0"/>
                    <w:bottom w:val="single" w:color="auto" w:sz="12" w:space="0"/>
                    <w:right w:val="single" w:color="auto" w:sz="12" w:space="0"/>
                  </w:tcBorders>
                  <w:noWrap w:val="0"/>
                  <w:vAlign w:val="center"/>
                </w:tcPr>
                <w:p>
                  <w:pPr>
                    <w:pStyle w:val="37"/>
                    <w:rPr>
                      <w:rFonts w:hint="default"/>
                      <w:color w:val="auto"/>
                      <w:u w:val="none"/>
                    </w:rPr>
                  </w:pPr>
                  <w:r>
                    <w:rPr>
                      <w:rFonts w:hint="default"/>
                      <w:color w:val="auto"/>
                      <w:u w:val="none"/>
                    </w:rPr>
                    <w:t>坐标X为经度，坐标Y为纬度。</w:t>
                  </w:r>
                </w:p>
              </w:tc>
            </w:tr>
          </w:tbl>
          <w:p>
            <w:pPr>
              <w:pStyle w:val="31"/>
              <w:rPr>
                <w:rFonts w:hint="default"/>
                <w:color w:val="000000"/>
              </w:rPr>
            </w:pPr>
            <w:r>
              <w:rPr>
                <w:rFonts w:hint="default"/>
                <w:color w:val="000000"/>
              </w:rPr>
              <w:t>表3-</w:t>
            </w:r>
            <w:r>
              <w:rPr>
                <w:rFonts w:hint="eastAsia"/>
                <w:color w:val="000000"/>
                <w:lang w:val="en-US" w:eastAsia="zh-CN"/>
              </w:rPr>
              <w:t xml:space="preserve">4 </w:t>
            </w:r>
            <w:r>
              <w:rPr>
                <w:rFonts w:hint="default"/>
                <w:color w:val="000000"/>
              </w:rPr>
              <w:t>建设项目周边敏感点一览表</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4"/>
              <w:gridCol w:w="1704"/>
              <w:gridCol w:w="737"/>
              <w:gridCol w:w="1495"/>
              <w:gridCol w:w="1421"/>
              <w:gridCol w:w="19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3" w:type="pct"/>
                  <w:tcBorders>
                    <w:top w:val="single" w:color="auto" w:sz="12" w:space="0"/>
                    <w:left w:val="single" w:color="auto" w:sz="12" w:space="0"/>
                    <w:bottom w:val="single" w:color="auto" w:sz="6" w:space="0"/>
                    <w:right w:val="single" w:color="auto" w:sz="6" w:space="0"/>
                  </w:tcBorders>
                  <w:noWrap w:val="0"/>
                  <w:vAlign w:val="center"/>
                </w:tcPr>
                <w:p>
                  <w:pPr>
                    <w:pStyle w:val="37"/>
                    <w:rPr>
                      <w:rFonts w:hint="default"/>
                      <w:color w:val="000000"/>
                      <w:kern w:val="2"/>
                      <w:u w:val="single" w:color="auto"/>
                    </w:rPr>
                  </w:pPr>
                  <w:r>
                    <w:rPr>
                      <w:rFonts w:hint="default"/>
                      <w:color w:val="000000"/>
                      <w:kern w:val="2"/>
                      <w:u w:val="single" w:color="auto"/>
                    </w:rPr>
                    <w:t>环境要素</w:t>
                  </w:r>
                </w:p>
              </w:tc>
              <w:tc>
                <w:tcPr>
                  <w:tcW w:w="1053" w:type="pct"/>
                  <w:tcBorders>
                    <w:top w:val="single" w:color="auto" w:sz="12" w:space="0"/>
                    <w:left w:val="single" w:color="auto" w:sz="6" w:space="0"/>
                    <w:bottom w:val="single" w:color="auto" w:sz="6" w:space="0"/>
                    <w:right w:val="single" w:color="auto" w:sz="6" w:space="0"/>
                  </w:tcBorders>
                  <w:noWrap w:val="0"/>
                  <w:vAlign w:val="center"/>
                </w:tcPr>
                <w:p>
                  <w:pPr>
                    <w:pStyle w:val="37"/>
                    <w:rPr>
                      <w:rFonts w:hint="default"/>
                      <w:color w:val="000000"/>
                      <w:kern w:val="2"/>
                      <w:u w:val="single" w:color="auto"/>
                    </w:rPr>
                  </w:pPr>
                  <w:r>
                    <w:rPr>
                      <w:rFonts w:hint="default"/>
                      <w:color w:val="000000"/>
                      <w:kern w:val="2"/>
                      <w:u w:val="single" w:color="auto"/>
                    </w:rPr>
                    <w:t>环境敏感点</w:t>
                  </w:r>
                </w:p>
              </w:tc>
              <w:tc>
                <w:tcPr>
                  <w:tcW w:w="455" w:type="pct"/>
                  <w:tcBorders>
                    <w:top w:val="single" w:color="auto" w:sz="12" w:space="0"/>
                    <w:left w:val="single" w:color="auto" w:sz="6" w:space="0"/>
                    <w:bottom w:val="single" w:color="auto" w:sz="6" w:space="0"/>
                    <w:right w:val="single" w:color="auto" w:sz="6" w:space="0"/>
                  </w:tcBorders>
                  <w:noWrap w:val="0"/>
                  <w:vAlign w:val="center"/>
                </w:tcPr>
                <w:p>
                  <w:pPr>
                    <w:pStyle w:val="37"/>
                    <w:rPr>
                      <w:rFonts w:hint="default" w:eastAsia="宋体"/>
                      <w:color w:val="000000"/>
                      <w:kern w:val="2"/>
                      <w:u w:val="single" w:color="auto"/>
                      <w:lang w:val="en-US" w:eastAsia="zh-CN"/>
                    </w:rPr>
                  </w:pPr>
                  <w:r>
                    <w:rPr>
                      <w:rFonts w:hint="eastAsia"/>
                      <w:color w:val="000000"/>
                      <w:kern w:val="2"/>
                      <w:u w:val="single" w:color="auto"/>
                      <w:lang w:val="en-US" w:eastAsia="zh-CN"/>
                    </w:rPr>
                    <w:t>方位</w:t>
                  </w:r>
                </w:p>
              </w:tc>
              <w:tc>
                <w:tcPr>
                  <w:tcW w:w="924" w:type="pct"/>
                  <w:tcBorders>
                    <w:top w:val="single" w:color="auto" w:sz="12" w:space="0"/>
                    <w:left w:val="single" w:color="auto" w:sz="6" w:space="0"/>
                    <w:bottom w:val="single" w:color="auto" w:sz="6" w:space="0"/>
                    <w:right w:val="single" w:color="auto" w:sz="6" w:space="0"/>
                  </w:tcBorders>
                  <w:noWrap w:val="0"/>
                  <w:vAlign w:val="center"/>
                </w:tcPr>
                <w:p>
                  <w:pPr>
                    <w:pStyle w:val="37"/>
                    <w:rPr>
                      <w:rFonts w:hint="eastAsia"/>
                      <w:color w:val="000000"/>
                      <w:kern w:val="2"/>
                      <w:u w:val="single" w:color="auto"/>
                      <w:lang w:val="en-US" w:eastAsia="zh-CN"/>
                    </w:rPr>
                  </w:pPr>
                  <w:r>
                    <w:rPr>
                      <w:rFonts w:ascii="Times New Roman" w:hAnsi="宋体" w:eastAsia="宋体"/>
                      <w:sz w:val="21"/>
                      <w:szCs w:val="21"/>
                      <w:u w:val="single" w:color="auto"/>
                    </w:rPr>
                    <w:t>相对</w:t>
                  </w:r>
                  <w:r>
                    <w:rPr>
                      <w:rFonts w:hint="eastAsia" w:ascii="Times New Roman" w:hAnsi="宋体" w:eastAsia="宋体"/>
                      <w:sz w:val="21"/>
                      <w:szCs w:val="21"/>
                      <w:u w:val="single" w:color="auto"/>
                      <w:lang w:eastAsia="zh-CN"/>
                    </w:rPr>
                    <w:t>最近</w:t>
                  </w:r>
                  <w:r>
                    <w:rPr>
                      <w:rFonts w:ascii="Times New Roman" w:hAnsi="宋体" w:eastAsia="宋体"/>
                      <w:sz w:val="21"/>
                      <w:szCs w:val="21"/>
                      <w:u w:val="single" w:color="auto"/>
                    </w:rPr>
                    <w:t>距离</w:t>
                  </w:r>
                </w:p>
              </w:tc>
              <w:tc>
                <w:tcPr>
                  <w:tcW w:w="878" w:type="pct"/>
                  <w:tcBorders>
                    <w:top w:val="single" w:color="auto" w:sz="12" w:space="0"/>
                    <w:left w:val="single" w:color="auto" w:sz="6" w:space="0"/>
                    <w:bottom w:val="single" w:color="auto" w:sz="6" w:space="0"/>
                    <w:right w:val="single" w:color="auto" w:sz="6" w:space="0"/>
                  </w:tcBorders>
                  <w:noWrap w:val="0"/>
                  <w:vAlign w:val="center"/>
                </w:tcPr>
                <w:p>
                  <w:pPr>
                    <w:pStyle w:val="37"/>
                    <w:rPr>
                      <w:rFonts w:hint="default"/>
                      <w:color w:val="000000"/>
                      <w:kern w:val="2"/>
                      <w:u w:val="single" w:color="auto"/>
                    </w:rPr>
                  </w:pPr>
                  <w:r>
                    <w:rPr>
                      <w:rFonts w:hint="default"/>
                      <w:color w:val="000000"/>
                      <w:kern w:val="2"/>
                      <w:u w:val="single" w:color="auto"/>
                    </w:rPr>
                    <w:t>功能规模</w:t>
                  </w:r>
                </w:p>
              </w:tc>
              <w:tc>
                <w:tcPr>
                  <w:tcW w:w="1185" w:type="pct"/>
                  <w:tcBorders>
                    <w:top w:val="single" w:color="auto" w:sz="12" w:space="0"/>
                    <w:left w:val="single" w:color="auto" w:sz="6" w:space="0"/>
                    <w:bottom w:val="single" w:color="auto" w:sz="6" w:space="0"/>
                    <w:right w:val="single" w:color="auto" w:sz="12" w:space="0"/>
                  </w:tcBorders>
                  <w:noWrap w:val="0"/>
                  <w:vAlign w:val="center"/>
                </w:tcPr>
                <w:p>
                  <w:pPr>
                    <w:pStyle w:val="37"/>
                    <w:rPr>
                      <w:rFonts w:hint="default"/>
                      <w:color w:val="000000"/>
                      <w:kern w:val="2"/>
                      <w:u w:val="single" w:color="auto"/>
                    </w:rPr>
                  </w:pPr>
                  <w:r>
                    <w:rPr>
                      <w:rFonts w:hint="default"/>
                      <w:color w:val="000000"/>
                      <w:kern w:val="2"/>
                      <w:u w:val="single" w:color="auto"/>
                    </w:rPr>
                    <w:t>环境保护区域标准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30" w:hRule="atLeast"/>
                <w:jc w:val="center"/>
              </w:trPr>
              <w:tc>
                <w:tcPr>
                  <w:tcW w:w="503" w:type="pct"/>
                  <w:tcBorders>
                    <w:left w:val="single" w:color="auto" w:sz="12" w:space="0"/>
                    <w:right w:val="single" w:color="auto" w:sz="4" w:space="0"/>
                  </w:tcBorders>
                  <w:noWrap w:val="0"/>
                  <w:vAlign w:val="center"/>
                </w:tcPr>
                <w:p>
                  <w:pPr>
                    <w:pStyle w:val="37"/>
                    <w:rPr>
                      <w:rFonts w:hint="default"/>
                      <w:color w:val="000000"/>
                      <w:kern w:val="2"/>
                      <w:u w:val="single" w:color="auto"/>
                    </w:rPr>
                  </w:pPr>
                  <w:r>
                    <w:rPr>
                      <w:rFonts w:hint="eastAsia"/>
                      <w:color w:val="auto"/>
                      <w:kern w:val="2"/>
                      <w:sz w:val="21"/>
                      <w:szCs w:val="24"/>
                      <w:u w:val="single" w:color="auto"/>
                      <w:lang w:val="en-US" w:eastAsia="zh-CN"/>
                    </w:rPr>
                    <w:t>地表</w:t>
                  </w:r>
                  <w:r>
                    <w:rPr>
                      <w:color w:val="auto"/>
                      <w:kern w:val="2"/>
                      <w:sz w:val="21"/>
                      <w:szCs w:val="24"/>
                      <w:u w:val="single" w:color="auto"/>
                      <w:lang w:val="en-US" w:eastAsia="zh-CN"/>
                    </w:rPr>
                    <w:t>水环境</w:t>
                  </w:r>
                </w:p>
              </w:tc>
              <w:tc>
                <w:tcPr>
                  <w:tcW w:w="1053" w:type="pct"/>
                  <w:tcBorders>
                    <w:top w:val="single" w:color="auto" w:sz="6" w:space="0"/>
                    <w:left w:val="single" w:color="auto" w:sz="4" w:space="0"/>
                    <w:right w:val="single" w:color="auto" w:sz="4" w:space="0"/>
                  </w:tcBorders>
                  <w:noWrap w:val="0"/>
                  <w:vAlign w:val="center"/>
                </w:tcPr>
                <w:p>
                  <w:pPr>
                    <w:pStyle w:val="37"/>
                    <w:rPr>
                      <w:rFonts w:hint="default"/>
                      <w:color w:val="000000"/>
                      <w:u w:val="single" w:color="auto"/>
                      <w:lang w:val="en-US" w:eastAsia="zh-CN"/>
                    </w:rPr>
                  </w:pPr>
                  <w:r>
                    <w:rPr>
                      <w:rFonts w:hint="eastAsia"/>
                      <w:color w:val="000000"/>
                      <w:u w:val="single" w:color="auto"/>
                      <w:lang w:val="en-US" w:eastAsia="zh-CN"/>
                    </w:rPr>
                    <w:t>沅江</w:t>
                  </w:r>
                </w:p>
              </w:tc>
              <w:tc>
                <w:tcPr>
                  <w:tcW w:w="455" w:type="pct"/>
                  <w:tcBorders>
                    <w:top w:val="single" w:color="auto" w:sz="6" w:space="0"/>
                    <w:left w:val="single" w:color="auto" w:sz="4" w:space="0"/>
                    <w:right w:val="single" w:color="auto" w:sz="4" w:space="0"/>
                  </w:tcBorders>
                  <w:noWrap w:val="0"/>
                  <w:vAlign w:val="center"/>
                </w:tcPr>
                <w:p>
                  <w:pPr>
                    <w:pStyle w:val="37"/>
                    <w:rPr>
                      <w:rFonts w:hint="default"/>
                      <w:color w:val="000000"/>
                      <w:kern w:val="2"/>
                      <w:u w:val="single" w:color="auto"/>
                      <w:lang w:val="en-US" w:eastAsia="zh-CN"/>
                    </w:rPr>
                  </w:pPr>
                  <w:r>
                    <w:rPr>
                      <w:rFonts w:hint="eastAsia"/>
                      <w:color w:val="000000"/>
                      <w:kern w:val="2"/>
                      <w:u w:val="single" w:color="auto"/>
                      <w:lang w:val="en-US" w:eastAsia="zh-CN"/>
                    </w:rPr>
                    <w:t>西</w:t>
                  </w:r>
                </w:p>
              </w:tc>
              <w:tc>
                <w:tcPr>
                  <w:tcW w:w="924" w:type="pct"/>
                  <w:tcBorders>
                    <w:top w:val="single" w:color="auto" w:sz="6" w:space="0"/>
                    <w:left w:val="single" w:color="auto" w:sz="4" w:space="0"/>
                    <w:bottom w:val="single" w:color="auto" w:sz="6" w:space="0"/>
                    <w:right w:val="single" w:color="auto" w:sz="4" w:space="0"/>
                  </w:tcBorders>
                  <w:noWrap w:val="0"/>
                  <w:vAlign w:val="center"/>
                </w:tcPr>
                <w:p>
                  <w:pPr>
                    <w:pStyle w:val="37"/>
                    <w:rPr>
                      <w:rFonts w:hint="default" w:ascii="Times New Roman" w:hAnsi="Times New Roman" w:eastAsia="宋体"/>
                      <w:sz w:val="21"/>
                      <w:szCs w:val="21"/>
                      <w:u w:val="single" w:color="auto"/>
                      <w:lang w:val="en-US" w:eastAsia="zh-CN"/>
                    </w:rPr>
                  </w:pPr>
                  <w:r>
                    <w:rPr>
                      <w:rFonts w:hint="eastAsia"/>
                      <w:sz w:val="21"/>
                      <w:szCs w:val="21"/>
                      <w:u w:val="single" w:color="auto"/>
                      <w:lang w:val="en-US" w:eastAsia="zh-CN"/>
                    </w:rPr>
                    <w:t>20m</w:t>
                  </w:r>
                </w:p>
              </w:tc>
              <w:tc>
                <w:tcPr>
                  <w:tcW w:w="878" w:type="pct"/>
                  <w:tcBorders>
                    <w:top w:val="single" w:color="auto" w:sz="6" w:space="0"/>
                    <w:left w:val="single" w:color="auto" w:sz="4" w:space="0"/>
                    <w:bottom w:val="single" w:color="auto" w:sz="6" w:space="0"/>
                    <w:right w:val="single" w:color="auto" w:sz="4" w:space="0"/>
                  </w:tcBorders>
                  <w:noWrap w:val="0"/>
                  <w:vAlign w:val="center"/>
                </w:tcPr>
                <w:p>
                  <w:pPr>
                    <w:pStyle w:val="37"/>
                    <w:rPr>
                      <w:ins w:id="0" w:author="乐为" w:date="2022-08-30T08:26:36Z"/>
                      <w:rFonts w:hint="default"/>
                      <w:color w:val="000000"/>
                      <w:kern w:val="2"/>
                      <w:u w:val="single" w:color="auto"/>
                      <w:lang w:val="en-US" w:eastAsia="zh-CN"/>
                    </w:rPr>
                  </w:pPr>
                  <w:r>
                    <w:rPr>
                      <w:rFonts w:hint="eastAsia"/>
                      <w:color w:val="000000"/>
                      <w:kern w:val="2"/>
                      <w:u w:val="single" w:color="auto"/>
                      <w:lang w:val="en-US" w:eastAsia="zh-CN"/>
                    </w:rPr>
                    <w:t>渔业用水，大河</w:t>
                  </w:r>
                </w:p>
              </w:tc>
              <w:tc>
                <w:tcPr>
                  <w:tcW w:w="1185" w:type="pct"/>
                  <w:tcBorders>
                    <w:left w:val="single" w:color="auto" w:sz="4" w:space="0"/>
                    <w:right w:val="single" w:color="auto" w:sz="12" w:space="0"/>
                  </w:tcBorders>
                  <w:noWrap w:val="0"/>
                  <w:vAlign w:val="center"/>
                </w:tcPr>
                <w:p>
                  <w:pPr>
                    <w:pStyle w:val="37"/>
                    <w:rPr>
                      <w:rFonts w:hint="default" w:ascii="Times New Roman" w:hAnsi="Times New Roman" w:cs="Times New Roman"/>
                      <w:color w:val="auto"/>
                      <w:u w:val="single" w:color="auto"/>
                    </w:rPr>
                  </w:pPr>
                  <w:r>
                    <w:rPr>
                      <w:color w:val="auto"/>
                      <w:kern w:val="2"/>
                      <w:sz w:val="21"/>
                      <w:szCs w:val="24"/>
                      <w:u w:val="single" w:color="auto"/>
                      <w:lang w:val="en-US" w:eastAsia="zh-CN"/>
                    </w:rPr>
                    <w:t>《地表水环境质量标准》（GB3838-2002），</w:t>
                  </w:r>
                  <w:r>
                    <w:rPr>
                      <w:rFonts w:hint="default" w:ascii="Times New Roman" w:hAnsi="Times New Roman" w:cs="Times New Roman"/>
                      <w:color w:val="auto"/>
                      <w:kern w:val="2"/>
                      <w:sz w:val="21"/>
                      <w:szCs w:val="24"/>
                      <w:u w:val="single" w:color="auto"/>
                      <w:lang w:val="en-US" w:eastAsia="zh-CN"/>
                    </w:rPr>
                    <w:t>Ⅲ</w:t>
                  </w:r>
                  <w:r>
                    <w:rPr>
                      <w:color w:val="auto"/>
                      <w:kern w:val="2"/>
                      <w:sz w:val="21"/>
                      <w:szCs w:val="24"/>
                      <w:u w:val="single" w:color="auto"/>
                      <w:lang w:val="en-US" w:eastAsia="zh-CN"/>
                    </w:rPr>
                    <w:t>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3" w:type="pct"/>
                  <w:vMerge w:val="restart"/>
                  <w:tcBorders>
                    <w:top w:val="single" w:color="auto" w:sz="6" w:space="0"/>
                    <w:left w:val="single" w:color="auto" w:sz="12" w:space="0"/>
                    <w:right w:val="single" w:color="auto" w:sz="6" w:space="0"/>
                  </w:tcBorders>
                  <w:noWrap w:val="0"/>
                  <w:vAlign w:val="center"/>
                </w:tcPr>
                <w:p>
                  <w:pPr>
                    <w:pStyle w:val="37"/>
                    <w:rPr>
                      <w:rFonts w:hint="default"/>
                      <w:color w:val="000000"/>
                      <w:kern w:val="2"/>
                      <w:u w:val="single" w:color="auto"/>
                    </w:rPr>
                  </w:pPr>
                  <w:r>
                    <w:rPr>
                      <w:rFonts w:hint="default"/>
                      <w:color w:val="000000"/>
                      <w:kern w:val="2"/>
                      <w:u w:val="single" w:color="auto"/>
                    </w:rPr>
                    <w:t>生态环境</w:t>
                  </w:r>
                </w:p>
              </w:tc>
              <w:tc>
                <w:tcPr>
                  <w:tcW w:w="2433" w:type="pct"/>
                  <w:gridSpan w:val="3"/>
                  <w:tcBorders>
                    <w:top w:val="single" w:color="auto" w:sz="6" w:space="0"/>
                    <w:left w:val="single" w:color="auto" w:sz="6" w:space="0"/>
                    <w:bottom w:val="single" w:color="auto" w:sz="6" w:space="0"/>
                    <w:right w:val="single" w:color="auto" w:sz="6" w:space="0"/>
                  </w:tcBorders>
                  <w:noWrap w:val="0"/>
                  <w:vAlign w:val="center"/>
                </w:tcPr>
                <w:p>
                  <w:pPr>
                    <w:pStyle w:val="37"/>
                    <w:rPr>
                      <w:rFonts w:hint="default"/>
                      <w:color w:val="000000"/>
                      <w:kern w:val="2"/>
                      <w:u w:val="single" w:color="auto"/>
                    </w:rPr>
                  </w:pPr>
                  <w:r>
                    <w:rPr>
                      <w:rFonts w:ascii="Times New Roman" w:hAnsi="宋体" w:eastAsia="宋体"/>
                      <w:sz w:val="21"/>
                      <w:szCs w:val="21"/>
                      <w:u w:val="single" w:color="auto"/>
                    </w:rPr>
                    <w:t>用地范围内的动植物、植被，以及水土流失</w:t>
                  </w:r>
                </w:p>
              </w:tc>
              <w:tc>
                <w:tcPr>
                  <w:tcW w:w="878" w:type="pct"/>
                  <w:tcBorders>
                    <w:top w:val="single" w:color="auto" w:sz="6" w:space="0"/>
                    <w:left w:val="single" w:color="auto" w:sz="6" w:space="0"/>
                    <w:bottom w:val="single" w:color="auto" w:sz="6" w:space="0"/>
                    <w:right w:val="single" w:color="auto" w:sz="6" w:space="0"/>
                  </w:tcBorders>
                  <w:noWrap w:val="0"/>
                  <w:vAlign w:val="center"/>
                </w:tcPr>
                <w:p>
                  <w:pPr>
                    <w:pStyle w:val="37"/>
                    <w:rPr>
                      <w:rFonts w:hint="default"/>
                      <w:color w:val="000000"/>
                      <w:kern w:val="2"/>
                      <w:u w:val="single" w:color="auto"/>
                    </w:rPr>
                  </w:pPr>
                  <w:r>
                    <w:rPr>
                      <w:rFonts w:hint="default"/>
                      <w:color w:val="000000"/>
                      <w:kern w:val="2"/>
                      <w:u w:val="single" w:color="auto"/>
                    </w:rPr>
                    <w:t>水土保持、保护生态系统的稳定性</w:t>
                  </w:r>
                </w:p>
              </w:tc>
              <w:tc>
                <w:tcPr>
                  <w:tcW w:w="1185" w:type="pct"/>
                  <w:tcBorders>
                    <w:top w:val="single" w:color="auto" w:sz="6" w:space="0"/>
                    <w:left w:val="single" w:color="auto" w:sz="6" w:space="0"/>
                    <w:bottom w:val="single" w:color="auto" w:sz="6" w:space="0"/>
                    <w:right w:val="single" w:color="auto" w:sz="12" w:space="0"/>
                  </w:tcBorders>
                  <w:noWrap w:val="0"/>
                  <w:vAlign w:val="center"/>
                </w:tcPr>
                <w:p>
                  <w:pPr>
                    <w:pStyle w:val="37"/>
                    <w:rPr>
                      <w:rFonts w:hint="eastAsia" w:eastAsia="宋体"/>
                      <w:color w:val="000000"/>
                      <w:kern w:val="2"/>
                      <w:u w:val="single" w:color="auto"/>
                      <w:lang w:val="en-US" w:eastAsia="zh-CN"/>
                    </w:rPr>
                  </w:pPr>
                  <w:r>
                    <w:rPr>
                      <w:rFonts w:hint="eastAsia"/>
                      <w:color w:val="000000"/>
                      <w:kern w:val="2"/>
                      <w:u w:val="singl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3" w:type="pct"/>
                  <w:vMerge w:val="continue"/>
                  <w:tcBorders>
                    <w:left w:val="single" w:color="auto" w:sz="12" w:space="0"/>
                    <w:bottom w:val="single" w:color="auto" w:sz="12" w:space="0"/>
                    <w:right w:val="single" w:color="auto" w:sz="6" w:space="0"/>
                  </w:tcBorders>
                  <w:noWrap w:val="0"/>
                  <w:vAlign w:val="center"/>
                </w:tcPr>
                <w:p>
                  <w:pPr>
                    <w:pStyle w:val="37"/>
                    <w:rPr>
                      <w:rFonts w:hint="default"/>
                      <w:color w:val="000000"/>
                      <w:kern w:val="2"/>
                      <w:u w:val="single" w:color="auto"/>
                    </w:rPr>
                  </w:pPr>
                </w:p>
              </w:tc>
              <w:tc>
                <w:tcPr>
                  <w:tcW w:w="1053" w:type="pct"/>
                  <w:tcBorders>
                    <w:top w:val="single" w:color="auto" w:sz="6" w:space="0"/>
                    <w:left w:val="single" w:color="auto" w:sz="6" w:space="0"/>
                    <w:bottom w:val="single" w:color="auto" w:sz="12" w:space="0"/>
                    <w:right w:val="single" w:color="auto" w:sz="6" w:space="0"/>
                  </w:tcBorders>
                  <w:noWrap w:val="0"/>
                  <w:vAlign w:val="center"/>
                </w:tcPr>
                <w:p>
                  <w:pPr>
                    <w:pStyle w:val="37"/>
                    <w:rPr>
                      <w:rFonts w:ascii="Times New Roman" w:hAnsi="宋体" w:eastAsia="宋体"/>
                      <w:sz w:val="21"/>
                      <w:szCs w:val="21"/>
                      <w:u w:val="single" w:color="auto"/>
                    </w:rPr>
                  </w:pPr>
                  <w:r>
                    <w:rPr>
                      <w:rFonts w:hint="eastAsia" w:ascii="Times New Roman" w:hAnsi="Times New Roman" w:eastAsia="宋体"/>
                      <w:sz w:val="21"/>
                      <w:szCs w:val="21"/>
                      <w:u w:val="single" w:color="auto"/>
                    </w:rPr>
                    <w:t>沅水特有鱼类国家级水产种质资源保护区</w:t>
                  </w:r>
                </w:p>
              </w:tc>
              <w:tc>
                <w:tcPr>
                  <w:tcW w:w="455" w:type="pct"/>
                  <w:tcBorders>
                    <w:top w:val="single" w:color="auto" w:sz="6" w:space="0"/>
                    <w:left w:val="single" w:color="auto" w:sz="6" w:space="0"/>
                    <w:bottom w:val="single" w:color="auto" w:sz="12" w:space="0"/>
                    <w:right w:val="single" w:color="auto" w:sz="6" w:space="0"/>
                  </w:tcBorders>
                  <w:noWrap w:val="0"/>
                  <w:vAlign w:val="center"/>
                </w:tcPr>
                <w:p>
                  <w:pPr>
                    <w:pStyle w:val="37"/>
                    <w:rPr>
                      <w:rFonts w:hint="eastAsia" w:ascii="Times New Roman" w:hAnsi="Times New Roman" w:eastAsia="宋体"/>
                      <w:sz w:val="21"/>
                      <w:szCs w:val="21"/>
                      <w:u w:val="single" w:color="auto"/>
                    </w:rPr>
                  </w:pPr>
                  <w:r>
                    <w:rPr>
                      <w:rFonts w:hint="eastAsia"/>
                      <w:color w:val="000000"/>
                      <w:kern w:val="2"/>
                      <w:u w:val="single" w:color="auto"/>
                      <w:lang w:val="en-US" w:eastAsia="zh-CN"/>
                    </w:rPr>
                    <w:t>西</w:t>
                  </w:r>
                </w:p>
              </w:tc>
              <w:tc>
                <w:tcPr>
                  <w:tcW w:w="924" w:type="pct"/>
                  <w:tcBorders>
                    <w:top w:val="single" w:color="auto" w:sz="6" w:space="0"/>
                    <w:left w:val="single" w:color="auto" w:sz="6" w:space="0"/>
                    <w:bottom w:val="single" w:color="auto" w:sz="12" w:space="0"/>
                    <w:right w:val="single" w:color="auto" w:sz="6" w:space="0"/>
                  </w:tcBorders>
                  <w:noWrap w:val="0"/>
                  <w:vAlign w:val="center"/>
                </w:tcPr>
                <w:p>
                  <w:pPr>
                    <w:pStyle w:val="37"/>
                    <w:rPr>
                      <w:rFonts w:hint="default" w:eastAsia="宋体"/>
                      <w:color w:val="000000"/>
                      <w:kern w:val="2"/>
                      <w:u w:val="single" w:color="auto"/>
                      <w:lang w:val="en-US" w:eastAsia="zh-CN"/>
                    </w:rPr>
                  </w:pPr>
                  <w:r>
                    <w:rPr>
                      <w:rFonts w:hint="eastAsia"/>
                      <w:sz w:val="21"/>
                      <w:szCs w:val="21"/>
                      <w:u w:val="single" w:color="auto"/>
                      <w:lang w:val="en-US" w:eastAsia="zh-CN"/>
                    </w:rPr>
                    <w:t>20m</w:t>
                  </w:r>
                </w:p>
              </w:tc>
              <w:tc>
                <w:tcPr>
                  <w:tcW w:w="878" w:type="pct"/>
                  <w:tcBorders>
                    <w:top w:val="single" w:color="auto" w:sz="6" w:space="0"/>
                    <w:left w:val="single" w:color="auto" w:sz="6" w:space="0"/>
                    <w:bottom w:val="single" w:color="auto" w:sz="12" w:space="0"/>
                    <w:right w:val="single" w:color="auto" w:sz="6" w:space="0"/>
                  </w:tcBorders>
                  <w:noWrap w:val="0"/>
                  <w:vAlign w:val="center"/>
                </w:tcPr>
                <w:p>
                  <w:pPr>
                    <w:pStyle w:val="37"/>
                    <w:rPr>
                      <w:rFonts w:hint="default"/>
                      <w:color w:val="000000"/>
                      <w:kern w:val="2"/>
                      <w:u w:val="single" w:color="auto"/>
                    </w:rPr>
                  </w:pPr>
                  <w:r>
                    <w:rPr>
                      <w:rFonts w:hint="eastAsia" w:ascii="宋体" w:hAnsi="宋体" w:eastAsia="宋体" w:cs="宋体"/>
                      <w:sz w:val="21"/>
                      <w:szCs w:val="21"/>
                      <w:u w:val="single" w:color="auto"/>
                      <w:lang w:eastAsia="zh-CN"/>
                    </w:rPr>
                    <w:t>保护鱼类品种：</w:t>
                  </w:r>
                  <w:r>
                    <w:rPr>
                      <w:rFonts w:hint="eastAsia" w:ascii="宋体" w:hAnsi="宋体" w:eastAsia="宋体" w:cs="宋体"/>
                      <w:sz w:val="21"/>
                      <w:szCs w:val="21"/>
                      <w:u w:val="single" w:color="auto"/>
                    </w:rPr>
                    <w:t>湘华鲮和南方大口鲶</w:t>
                  </w:r>
                </w:p>
              </w:tc>
              <w:tc>
                <w:tcPr>
                  <w:tcW w:w="1185" w:type="pct"/>
                  <w:tcBorders>
                    <w:top w:val="single" w:color="auto" w:sz="6" w:space="0"/>
                    <w:left w:val="single" w:color="auto" w:sz="6" w:space="0"/>
                    <w:bottom w:val="single" w:color="auto" w:sz="12" w:space="0"/>
                    <w:right w:val="single" w:color="auto" w:sz="12" w:space="0"/>
                  </w:tcBorders>
                  <w:noWrap w:val="0"/>
                  <w:vAlign w:val="center"/>
                </w:tcPr>
                <w:p>
                  <w:pPr>
                    <w:pStyle w:val="37"/>
                    <w:rPr>
                      <w:rFonts w:hint="default"/>
                      <w:color w:val="000000"/>
                      <w:kern w:val="2"/>
                      <w:u w:val="single" w:color="auto"/>
                      <w:lang w:val="en-US" w:eastAsia="zh-CN"/>
                    </w:rPr>
                  </w:pPr>
                  <w:r>
                    <w:rPr>
                      <w:rFonts w:hint="eastAsia"/>
                      <w:color w:val="000000"/>
                      <w:kern w:val="2"/>
                      <w:u w:val="single" w:color="auto"/>
                      <w:lang w:val="en-US" w:eastAsia="zh-CN"/>
                    </w:rPr>
                    <w:t>/</w:t>
                  </w:r>
                </w:p>
              </w:tc>
            </w:tr>
          </w:tbl>
          <w:p>
            <w:pPr>
              <w:pStyle w:val="33"/>
              <w:jc w:val="center"/>
              <w:rPr>
                <w:color w:val="000000"/>
                <w:u w:val="single"/>
                <w:lang w:val="en-US" w:eastAsia="zh-CN"/>
              </w:rPr>
            </w:pPr>
            <w:r>
              <w:rPr>
                <w:color w:val="000000"/>
                <w:u w:val="single"/>
                <w:lang w:val="en-US" w:eastAsia="zh-CN"/>
              </w:rPr>
              <w:drawing>
                <wp:inline distT="0" distB="0" distL="114300" distR="114300">
                  <wp:extent cx="4065905" cy="3533140"/>
                  <wp:effectExtent l="0" t="0" r="10795" b="10160"/>
                  <wp:docPr id="1" name="图片 1" descr="1661936898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61936898467"/>
                          <pic:cNvPicPr>
                            <a:picLocks noChangeAspect="1"/>
                          </pic:cNvPicPr>
                        </pic:nvPicPr>
                        <pic:blipFill>
                          <a:blip r:embed="rId14"/>
                          <a:stretch>
                            <a:fillRect/>
                          </a:stretch>
                        </pic:blipFill>
                        <pic:spPr>
                          <a:xfrm>
                            <a:off x="0" y="0"/>
                            <a:ext cx="4065905" cy="3533140"/>
                          </a:xfrm>
                          <a:prstGeom prst="rect">
                            <a:avLst/>
                          </a:prstGeom>
                        </pic:spPr>
                      </pic:pic>
                    </a:graphicData>
                  </a:graphic>
                </wp:inline>
              </w:drawing>
            </w:r>
          </w:p>
          <w:p>
            <w:pPr>
              <w:pStyle w:val="33"/>
              <w:rPr>
                <w:rFonts w:ascii="宋体" w:hAnsi="宋体" w:cs="宋体"/>
                <w:kern w:val="0"/>
                <w:szCs w:val="21"/>
                <w:u w:val="single"/>
              </w:rPr>
            </w:pPr>
            <w:r>
              <w:rPr>
                <w:color w:val="000000"/>
                <w:u w:val="none"/>
                <w:lang w:val="en-US" w:eastAsia="zh-CN"/>
              </w:rPr>
              <w:t>图3-1 环境保护目标示意图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737" w:type="dxa"/>
            <w:noWrap w:val="0"/>
            <w:tcMar>
              <w:left w:w="28" w:type="dxa"/>
              <w:right w:w="28" w:type="dxa"/>
            </w:tcMar>
            <w:vAlign w:val="center"/>
          </w:tcPr>
          <w:p>
            <w:pPr>
              <w:adjustRightInd w:val="0"/>
              <w:snapToGrid w:val="0"/>
              <w:jc w:val="center"/>
              <w:rPr>
                <w:rFonts w:hint="eastAsia" w:ascii="宋体" w:hAnsi="宋体" w:cs="宋体"/>
                <w:kern w:val="0"/>
                <w:sz w:val="24"/>
                <w:szCs w:val="24"/>
                <w:u w:val="none"/>
              </w:rPr>
            </w:pPr>
            <w:r>
              <w:rPr>
                <w:rFonts w:hint="eastAsia" w:ascii="宋体" w:hAnsi="宋体" w:cs="宋体"/>
                <w:kern w:val="0"/>
                <w:sz w:val="24"/>
                <w:szCs w:val="24"/>
                <w:u w:val="none"/>
              </w:rPr>
              <w:t>污染</w:t>
            </w:r>
          </w:p>
          <w:p>
            <w:pPr>
              <w:adjustRightInd w:val="0"/>
              <w:snapToGrid w:val="0"/>
              <w:jc w:val="center"/>
              <w:rPr>
                <w:rFonts w:hint="eastAsia" w:ascii="宋体" w:hAnsi="宋体" w:cs="宋体"/>
                <w:kern w:val="0"/>
                <w:sz w:val="24"/>
                <w:szCs w:val="24"/>
                <w:u w:val="none"/>
              </w:rPr>
            </w:pPr>
            <w:r>
              <w:rPr>
                <w:rFonts w:hint="eastAsia" w:ascii="宋体" w:hAnsi="宋体" w:cs="宋体"/>
                <w:kern w:val="0"/>
                <w:sz w:val="24"/>
                <w:szCs w:val="24"/>
                <w:u w:val="none"/>
              </w:rPr>
              <w:t>物排</w:t>
            </w:r>
          </w:p>
          <w:p>
            <w:pPr>
              <w:adjustRightInd w:val="0"/>
              <w:snapToGrid w:val="0"/>
              <w:jc w:val="center"/>
              <w:rPr>
                <w:rFonts w:hint="eastAsia" w:ascii="宋体" w:hAnsi="宋体" w:cs="宋体"/>
                <w:kern w:val="0"/>
                <w:sz w:val="24"/>
                <w:szCs w:val="24"/>
                <w:u w:val="none"/>
              </w:rPr>
            </w:pPr>
            <w:r>
              <w:rPr>
                <w:rFonts w:hint="eastAsia" w:ascii="宋体" w:hAnsi="宋体" w:cs="宋体"/>
                <w:kern w:val="0"/>
                <w:sz w:val="24"/>
                <w:szCs w:val="24"/>
                <w:u w:val="none"/>
              </w:rPr>
              <w:t>放控</w:t>
            </w:r>
          </w:p>
          <w:p>
            <w:pPr>
              <w:adjustRightInd w:val="0"/>
              <w:snapToGrid w:val="0"/>
              <w:jc w:val="center"/>
              <w:rPr>
                <w:rFonts w:hint="eastAsia" w:ascii="宋体" w:hAnsi="宋体" w:cs="宋体"/>
                <w:kern w:val="0"/>
                <w:sz w:val="24"/>
                <w:szCs w:val="24"/>
                <w:u w:val="none"/>
              </w:rPr>
            </w:pPr>
            <w:r>
              <w:rPr>
                <w:rFonts w:hint="eastAsia" w:ascii="宋体" w:hAnsi="宋体" w:cs="宋体"/>
                <w:kern w:val="0"/>
                <w:sz w:val="24"/>
                <w:szCs w:val="24"/>
                <w:u w:val="none"/>
              </w:rPr>
              <w:t>制标</w:t>
            </w:r>
          </w:p>
          <w:p>
            <w:pPr>
              <w:adjustRightInd w:val="0"/>
              <w:snapToGrid w:val="0"/>
              <w:jc w:val="center"/>
              <w:rPr>
                <w:rFonts w:ascii="宋体" w:hAnsi="宋体" w:cs="宋体"/>
                <w:kern w:val="0"/>
                <w:szCs w:val="21"/>
                <w:u w:val="none"/>
              </w:rPr>
            </w:pPr>
            <w:r>
              <w:rPr>
                <w:rFonts w:hint="eastAsia" w:ascii="宋体" w:hAnsi="宋体" w:cs="宋体"/>
                <w:kern w:val="0"/>
                <w:sz w:val="24"/>
                <w:szCs w:val="24"/>
                <w:u w:val="none"/>
              </w:rPr>
              <w:t>准</w:t>
            </w:r>
          </w:p>
        </w:tc>
        <w:tc>
          <w:tcPr>
            <w:tcW w:w="8334" w:type="dxa"/>
            <w:noWrap w:val="0"/>
            <w:vAlign w:val="center"/>
          </w:tcPr>
          <w:p>
            <w:pPr>
              <w:pStyle w:val="36"/>
              <w:bidi w:val="0"/>
              <w:rPr>
                <w:b w:val="0"/>
                <w:bCs w:val="0"/>
                <w:color w:val="auto"/>
                <w:u w:val="none"/>
              </w:rPr>
            </w:pPr>
            <w:r>
              <w:rPr>
                <w:rFonts w:hint="eastAsia"/>
                <w:b w:val="0"/>
                <w:bCs w:val="0"/>
                <w:color w:val="auto"/>
                <w:u w:val="none"/>
                <w:lang w:eastAsia="zh-CN"/>
              </w:rPr>
              <w:t>（</w:t>
            </w:r>
            <w:r>
              <w:rPr>
                <w:rFonts w:hint="eastAsia"/>
                <w:b w:val="0"/>
                <w:bCs w:val="0"/>
                <w:color w:val="auto"/>
                <w:u w:val="none"/>
                <w:lang w:val="en-US" w:eastAsia="zh-CN"/>
              </w:rPr>
              <w:t>1</w:t>
            </w:r>
            <w:r>
              <w:rPr>
                <w:rFonts w:hint="eastAsia"/>
                <w:b w:val="0"/>
                <w:bCs w:val="0"/>
                <w:color w:val="auto"/>
                <w:u w:val="none"/>
                <w:lang w:eastAsia="zh-CN"/>
              </w:rPr>
              <w:t>）</w:t>
            </w:r>
            <w:r>
              <w:rPr>
                <w:b w:val="0"/>
                <w:bCs w:val="0"/>
                <w:color w:val="auto"/>
                <w:u w:val="none"/>
              </w:rPr>
              <w:t>噪声：</w:t>
            </w:r>
            <w:r>
              <w:rPr>
                <w:rFonts w:hint="eastAsia"/>
                <w:b w:val="0"/>
                <w:bCs w:val="0"/>
                <w:color w:val="auto"/>
                <w:u w:val="none"/>
                <w:lang w:val="en-US" w:eastAsia="zh-CN"/>
              </w:rPr>
              <w:t>厂界</w:t>
            </w:r>
            <w:r>
              <w:rPr>
                <w:b w:val="0"/>
                <w:bCs w:val="0"/>
                <w:color w:val="auto"/>
                <w:u w:val="none"/>
              </w:rPr>
              <w:t>执行《工业企业厂界环境噪声排放标准》（GB12348-2008）中3类标准。</w:t>
            </w:r>
          </w:p>
          <w:p>
            <w:pPr>
              <w:pStyle w:val="33"/>
              <w:bidi w:val="0"/>
            </w:pPr>
            <w:r>
              <w:t>表3-</w:t>
            </w:r>
            <w:r>
              <w:rPr>
                <w:rFonts w:hint="eastAsia"/>
                <w:lang w:val="en-US" w:eastAsia="zh-CN"/>
              </w:rPr>
              <w:t>5</w:t>
            </w:r>
            <w:r>
              <w:t xml:space="preserve"> 工业企业厂界环境噪声排放标准 （摘要） 单位：dB（A）</w:t>
            </w:r>
          </w:p>
          <w:tbl>
            <w:tblPr>
              <w:tblStyle w:val="22"/>
              <w:tblW w:w="4998"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2673"/>
              <w:gridCol w:w="2672"/>
              <w:gridCol w:w="2740"/>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53" w:type="pct"/>
                  <w:tcBorders>
                    <w:bottom w:val="single" w:color="000000" w:sz="4" w:space="0"/>
                    <w:right w:val="single" w:color="000000" w:sz="4" w:space="0"/>
                  </w:tcBorders>
                  <w:noWrap w:val="0"/>
                  <w:vAlign w:val="center"/>
                </w:tcPr>
                <w:p>
                  <w:pPr>
                    <w:pStyle w:val="37"/>
                    <w:rPr>
                      <w:rFonts w:hint="default"/>
                      <w:b w:val="0"/>
                      <w:bCs w:val="0"/>
                      <w:color w:val="auto"/>
                      <w:u w:val="none"/>
                    </w:rPr>
                  </w:pPr>
                  <w:r>
                    <w:rPr>
                      <w:rFonts w:hint="default"/>
                      <w:b w:val="0"/>
                      <w:bCs w:val="0"/>
                      <w:color w:val="auto"/>
                      <w:u w:val="none"/>
                    </w:rPr>
                    <w:t>类别</w:t>
                  </w:r>
                </w:p>
              </w:tc>
              <w:tc>
                <w:tcPr>
                  <w:tcW w:w="1652" w:type="pct"/>
                  <w:tcBorders>
                    <w:left w:val="single" w:color="000000" w:sz="4" w:space="0"/>
                    <w:bottom w:val="single" w:color="000000" w:sz="4" w:space="0"/>
                    <w:right w:val="single" w:color="000000" w:sz="4" w:space="0"/>
                  </w:tcBorders>
                  <w:noWrap w:val="0"/>
                  <w:vAlign w:val="center"/>
                </w:tcPr>
                <w:p>
                  <w:pPr>
                    <w:pStyle w:val="37"/>
                    <w:rPr>
                      <w:rFonts w:hint="default"/>
                      <w:b w:val="0"/>
                      <w:bCs w:val="0"/>
                      <w:color w:val="auto"/>
                      <w:u w:val="none"/>
                    </w:rPr>
                  </w:pPr>
                  <w:r>
                    <w:rPr>
                      <w:rFonts w:hint="default"/>
                      <w:b w:val="0"/>
                      <w:bCs w:val="0"/>
                      <w:color w:val="auto"/>
                      <w:u w:val="none"/>
                    </w:rPr>
                    <w:t>昼间</w:t>
                  </w:r>
                </w:p>
              </w:tc>
              <w:tc>
                <w:tcPr>
                  <w:tcW w:w="1694" w:type="pct"/>
                  <w:tcBorders>
                    <w:left w:val="single" w:color="000000" w:sz="4" w:space="0"/>
                    <w:bottom w:val="single" w:color="000000" w:sz="4" w:space="0"/>
                  </w:tcBorders>
                  <w:noWrap w:val="0"/>
                  <w:vAlign w:val="center"/>
                </w:tcPr>
                <w:p>
                  <w:pPr>
                    <w:pStyle w:val="37"/>
                    <w:rPr>
                      <w:rFonts w:hint="default"/>
                      <w:b w:val="0"/>
                      <w:bCs w:val="0"/>
                      <w:color w:val="auto"/>
                      <w:u w:val="none"/>
                    </w:rPr>
                  </w:pPr>
                  <w:r>
                    <w:rPr>
                      <w:rFonts w:hint="default"/>
                      <w:b w:val="0"/>
                      <w:bCs w:val="0"/>
                      <w:color w:val="auto"/>
                      <w:u w:val="none"/>
                    </w:rPr>
                    <w:t>夜间</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53" w:type="pct"/>
                  <w:tcBorders>
                    <w:top w:val="single" w:color="000000" w:sz="4" w:space="0"/>
                    <w:right w:val="single" w:color="000000" w:sz="4" w:space="0"/>
                  </w:tcBorders>
                  <w:noWrap w:val="0"/>
                  <w:vAlign w:val="center"/>
                </w:tcPr>
                <w:p>
                  <w:pPr>
                    <w:pStyle w:val="37"/>
                    <w:rPr>
                      <w:rFonts w:hint="default"/>
                      <w:b w:val="0"/>
                      <w:bCs w:val="0"/>
                      <w:color w:val="auto"/>
                      <w:u w:val="none"/>
                    </w:rPr>
                  </w:pPr>
                  <w:r>
                    <w:rPr>
                      <w:rFonts w:hint="default"/>
                      <w:b w:val="0"/>
                      <w:bCs w:val="0"/>
                      <w:color w:val="auto"/>
                      <w:u w:val="none"/>
                    </w:rPr>
                    <w:t>3类</w:t>
                  </w:r>
                </w:p>
              </w:tc>
              <w:tc>
                <w:tcPr>
                  <w:tcW w:w="1652" w:type="pct"/>
                  <w:tcBorders>
                    <w:top w:val="single" w:color="000000" w:sz="4" w:space="0"/>
                    <w:left w:val="single" w:color="000000" w:sz="4" w:space="0"/>
                    <w:right w:val="single" w:color="000000" w:sz="4" w:space="0"/>
                  </w:tcBorders>
                  <w:noWrap w:val="0"/>
                  <w:vAlign w:val="center"/>
                </w:tcPr>
                <w:p>
                  <w:pPr>
                    <w:pStyle w:val="37"/>
                    <w:rPr>
                      <w:rFonts w:hint="default"/>
                      <w:b w:val="0"/>
                      <w:bCs w:val="0"/>
                      <w:color w:val="auto"/>
                      <w:u w:val="none"/>
                    </w:rPr>
                  </w:pPr>
                  <w:r>
                    <w:rPr>
                      <w:rFonts w:hint="default"/>
                      <w:b w:val="0"/>
                      <w:bCs w:val="0"/>
                      <w:color w:val="auto"/>
                      <w:u w:val="none"/>
                    </w:rPr>
                    <w:t>65</w:t>
                  </w:r>
                </w:p>
              </w:tc>
              <w:tc>
                <w:tcPr>
                  <w:tcW w:w="1694" w:type="pct"/>
                  <w:tcBorders>
                    <w:top w:val="single" w:color="000000" w:sz="4" w:space="0"/>
                    <w:left w:val="single" w:color="000000" w:sz="4" w:space="0"/>
                  </w:tcBorders>
                  <w:noWrap w:val="0"/>
                  <w:vAlign w:val="center"/>
                </w:tcPr>
                <w:p>
                  <w:pPr>
                    <w:pStyle w:val="37"/>
                    <w:rPr>
                      <w:rFonts w:hint="default"/>
                      <w:b w:val="0"/>
                      <w:bCs w:val="0"/>
                      <w:color w:val="auto"/>
                      <w:u w:val="none"/>
                    </w:rPr>
                  </w:pPr>
                  <w:r>
                    <w:rPr>
                      <w:rFonts w:hint="default"/>
                      <w:b w:val="0"/>
                      <w:bCs w:val="0"/>
                      <w:color w:val="auto"/>
                      <w:u w:val="none"/>
                    </w:rPr>
                    <w:t>55</w:t>
                  </w:r>
                </w:p>
              </w:tc>
            </w:tr>
          </w:tbl>
          <w:p>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eastAsia" w:ascii="Times New Roman" w:hAnsi="Times New Roman" w:eastAsia="仿宋_GB2312" w:cs="Times New Roman"/>
                <w:color w:val="000000" w:themeColor="text1"/>
                <w:szCs w:val="28"/>
                <w:u w:val="single" w:color="auto"/>
                <w:lang w:eastAsia="zh-CN"/>
                <w14:textFill>
                  <w14:solidFill>
                    <w14:schemeClr w14:val="tx1"/>
                  </w14:solidFill>
                </w14:textFill>
              </w:rPr>
            </w:pPr>
            <w:r>
              <w:rPr>
                <w:rFonts w:hint="eastAsia"/>
                <w:color w:val="auto"/>
                <w:u w:val="single" w:color="auto"/>
                <w:lang w:val="en-US" w:eastAsia="zh-CN"/>
              </w:rPr>
              <w:t>废水：</w:t>
            </w:r>
            <w:r>
              <w:rPr>
                <w:rFonts w:hint="eastAsia"/>
                <w:color w:val="auto"/>
                <w:u w:val="single" w:color="auto"/>
                <w:lang w:eastAsia="zh-CN"/>
              </w:rPr>
              <w:t>项目</w:t>
            </w:r>
            <w:r>
              <w:rPr>
                <w:rFonts w:hint="eastAsia"/>
                <w:color w:val="auto"/>
                <w:u w:val="single" w:color="auto"/>
                <w:lang w:val="en-US" w:eastAsia="zh-CN"/>
              </w:rPr>
              <w:t>不新增生活污水，生产</w:t>
            </w:r>
            <w:r>
              <w:rPr>
                <w:rFonts w:hint="eastAsia"/>
                <w:color w:val="auto"/>
                <w:u w:val="single" w:color="auto"/>
                <w:lang w:eastAsia="zh-CN"/>
              </w:rPr>
              <w:t>废水排入</w:t>
            </w:r>
            <w:r>
              <w:rPr>
                <w:rFonts w:hint="eastAsia"/>
                <w:color w:val="auto"/>
                <w:u w:val="single" w:color="auto"/>
                <w:lang w:val="en-US" w:eastAsia="zh-CN"/>
              </w:rPr>
              <w:t>洪江高新区</w:t>
            </w:r>
            <w:r>
              <w:rPr>
                <w:rFonts w:hint="eastAsia"/>
                <w:color w:val="auto"/>
                <w:u w:val="single" w:color="auto"/>
                <w:lang w:eastAsia="zh-CN"/>
              </w:rPr>
              <w:t>污水处理厂深度处理，</w:t>
            </w:r>
            <w:r>
              <w:rPr>
                <w:rFonts w:hint="default" w:ascii="Times New Roman" w:hAnsi="Times New Roman" w:eastAsia="宋体" w:cs="Times New Roman"/>
                <w:color w:val="000000" w:themeColor="text1"/>
                <w:szCs w:val="28"/>
                <w:u w:val="single" w:color="auto"/>
                <w:lang w:eastAsia="zh-CN"/>
                <w14:textFill>
                  <w14:solidFill>
                    <w14:schemeClr w14:val="tx1"/>
                  </w14:solidFill>
                </w14:textFill>
              </w:rPr>
              <w:t>执行《污水综合排放标准》(GB8978-1996）中表4、《硫酸工业污染物排放标准》(GB26132-2010）中表2新建企业水污染物间接排放限值要求、《烧碱、聚氯乙烯工业污染物排放标准》(GB15581-2016）表1间接排放限值要求同时满足洪江高新区（洪江区）污水处理厂接管标准要求。</w:t>
            </w:r>
          </w:p>
          <w:p>
            <w:pPr>
              <w:ind w:firstLine="0" w:firstLineChars="0"/>
              <w:jc w:val="center"/>
              <w:rPr>
                <w:rFonts w:hint="eastAsia" w:ascii="Times New Roman" w:hAnsi="Times New Roman" w:eastAsia="宋体" w:cs="Times New Roman"/>
                <w:b/>
                <w:kern w:val="2"/>
                <w:sz w:val="21"/>
                <w:szCs w:val="21"/>
                <w:u w:val="single" w:color="auto"/>
                <w:lang w:val="en-US" w:eastAsia="zh-CN" w:bidi="ar-SA"/>
              </w:rPr>
            </w:pPr>
            <w:r>
              <w:rPr>
                <w:rFonts w:hint="eastAsia" w:ascii="Times New Roman" w:hAnsi="Times New Roman" w:eastAsia="宋体" w:cs="Times New Roman"/>
                <w:b/>
                <w:kern w:val="2"/>
                <w:sz w:val="21"/>
                <w:szCs w:val="21"/>
                <w:u w:val="single" w:color="auto"/>
                <w:lang w:val="en-US" w:eastAsia="zh-CN" w:bidi="ar-SA"/>
              </w:rPr>
              <w:t>表3-</w:t>
            </w:r>
            <w:r>
              <w:rPr>
                <w:rFonts w:hint="eastAsia" w:cs="Times New Roman"/>
                <w:b/>
                <w:kern w:val="2"/>
                <w:sz w:val="21"/>
                <w:szCs w:val="21"/>
                <w:u w:val="single" w:color="auto"/>
                <w:lang w:val="en-US" w:eastAsia="zh-CN" w:bidi="ar-SA"/>
              </w:rPr>
              <w:t>6</w:t>
            </w:r>
            <w:r>
              <w:rPr>
                <w:rFonts w:hint="eastAsia" w:ascii="Times New Roman" w:hAnsi="Times New Roman" w:eastAsia="宋体" w:cs="Times New Roman"/>
                <w:b/>
                <w:kern w:val="2"/>
                <w:sz w:val="21"/>
                <w:szCs w:val="21"/>
                <w:u w:val="single" w:color="auto"/>
                <w:lang w:val="en-US" w:eastAsia="zh-CN" w:bidi="ar-SA"/>
              </w:rPr>
              <w:t xml:space="preserve"> 本项目废水排放标准单位：mg/L，</w:t>
            </w:r>
            <w:r>
              <w:rPr>
                <w:rFonts w:hint="eastAsia" w:eastAsia="宋体" w:cs="Times New Roman"/>
                <w:b/>
                <w:kern w:val="2"/>
                <w:sz w:val="21"/>
                <w:szCs w:val="21"/>
                <w:u w:val="single" w:color="auto"/>
                <w:lang w:val="en-US" w:eastAsia="zh-CN" w:bidi="ar-SA"/>
              </w:rPr>
              <w:t>pH值</w:t>
            </w:r>
            <w:r>
              <w:rPr>
                <w:rFonts w:hint="eastAsia" w:ascii="Times New Roman" w:hAnsi="Times New Roman" w:eastAsia="宋体" w:cs="Times New Roman"/>
                <w:b/>
                <w:kern w:val="2"/>
                <w:sz w:val="21"/>
                <w:szCs w:val="21"/>
                <w:u w:val="single" w:color="auto"/>
                <w:lang w:val="en-US" w:eastAsia="zh-CN" w:bidi="ar-SA"/>
              </w:rPr>
              <w:t>无量纲</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166"/>
              <w:gridCol w:w="830"/>
              <w:gridCol w:w="830"/>
              <w:gridCol w:w="928"/>
              <w:gridCol w:w="900"/>
              <w:gridCol w:w="830"/>
              <w:gridCol w:w="835"/>
              <w:gridCol w:w="7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7" w:hRule="atLeast"/>
                <w:jc w:val="center"/>
              </w:trPr>
              <w:tc>
                <w:tcPr>
                  <w:tcW w:w="1338" w:type="pct"/>
                  <w:tcBorders>
                    <w:bottom w:val="single" w:color="auto" w:sz="4" w:space="0"/>
                    <w:right w:val="single" w:color="auto" w:sz="4" w:space="0"/>
                  </w:tcBorders>
                  <w:vAlign w:val="center"/>
                </w:tcPr>
                <w:p>
                  <w:pPr>
                    <w:widowControl/>
                    <w:spacing w:line="240" w:lineRule="auto"/>
                    <w:ind w:firstLine="0" w:firstLineChars="0"/>
                    <w:jc w:val="center"/>
                    <w:rPr>
                      <w:rFonts w:ascii="Times New Roman" w:hAnsi="Times New Roman" w:eastAsia="宋体"/>
                      <w:kern w:val="0"/>
                      <w:sz w:val="21"/>
                      <w:szCs w:val="21"/>
                      <w:lang w:eastAsia="en-US"/>
                    </w:rPr>
                  </w:pPr>
                  <w:r>
                    <w:rPr>
                      <w:rFonts w:hint="eastAsia" w:ascii="Times New Roman" w:hAnsi="Times New Roman" w:eastAsia="宋体"/>
                      <w:kern w:val="0"/>
                      <w:sz w:val="21"/>
                      <w:szCs w:val="21"/>
                      <w:lang w:eastAsia="en-US"/>
                    </w:rPr>
                    <w:t>污染物</w:t>
                  </w:r>
                </w:p>
              </w:tc>
              <w:tc>
                <w:tcPr>
                  <w:tcW w:w="513" w:type="pct"/>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Times New Roman" w:hAnsi="Times New Roman" w:eastAsia="宋体"/>
                      <w:kern w:val="0"/>
                      <w:sz w:val="21"/>
                      <w:szCs w:val="21"/>
                      <w:lang w:eastAsia="en-US"/>
                    </w:rPr>
                  </w:pPr>
                  <w:r>
                    <w:rPr>
                      <w:rFonts w:ascii="Times New Roman" w:hAnsi="Times New Roman" w:eastAsia="宋体"/>
                      <w:kern w:val="0"/>
                      <w:sz w:val="21"/>
                      <w:szCs w:val="21"/>
                      <w:lang w:eastAsia="en-US"/>
                    </w:rPr>
                    <w:t>pH</w:t>
                  </w:r>
                </w:p>
              </w:tc>
              <w:tc>
                <w:tcPr>
                  <w:tcW w:w="513" w:type="pct"/>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Times New Roman" w:hAnsi="Times New Roman" w:eastAsia="宋体"/>
                      <w:kern w:val="0"/>
                      <w:sz w:val="21"/>
                      <w:szCs w:val="21"/>
                      <w:lang w:eastAsia="en-US"/>
                    </w:rPr>
                  </w:pPr>
                  <w:r>
                    <w:rPr>
                      <w:rFonts w:ascii="Times New Roman" w:hAnsi="Times New Roman" w:eastAsia="宋体"/>
                      <w:kern w:val="0"/>
                      <w:sz w:val="21"/>
                      <w:szCs w:val="21"/>
                      <w:lang w:eastAsia="en-US"/>
                    </w:rPr>
                    <w:t>SS</w:t>
                  </w:r>
                </w:p>
              </w:tc>
              <w:tc>
                <w:tcPr>
                  <w:tcW w:w="573" w:type="pct"/>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Times New Roman" w:hAnsi="Times New Roman" w:eastAsia="宋体"/>
                      <w:kern w:val="0"/>
                      <w:sz w:val="21"/>
                      <w:szCs w:val="21"/>
                      <w:lang w:eastAsia="en-US"/>
                    </w:rPr>
                  </w:pPr>
                  <w:r>
                    <w:rPr>
                      <w:rFonts w:ascii="Times New Roman" w:hAnsi="Times New Roman" w:eastAsia="宋体"/>
                      <w:kern w:val="0"/>
                      <w:sz w:val="21"/>
                      <w:szCs w:val="21"/>
                    </w:rPr>
                    <w:t>COD</w:t>
                  </w:r>
                </w:p>
              </w:tc>
              <w:tc>
                <w:tcPr>
                  <w:tcW w:w="556" w:type="pct"/>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Times New Roman" w:hAnsi="Times New Roman" w:eastAsia="宋体"/>
                      <w:kern w:val="0"/>
                      <w:sz w:val="21"/>
                      <w:szCs w:val="21"/>
                    </w:rPr>
                  </w:pPr>
                  <w:r>
                    <w:rPr>
                      <w:rFonts w:hint="eastAsia" w:ascii="Times New Roman" w:hAnsi="Times New Roman" w:eastAsia="宋体"/>
                      <w:kern w:val="0"/>
                      <w:sz w:val="21"/>
                      <w:szCs w:val="21"/>
                    </w:rPr>
                    <w:t>氨氮</w:t>
                  </w:r>
                </w:p>
              </w:tc>
              <w:tc>
                <w:tcPr>
                  <w:tcW w:w="513" w:type="pct"/>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Times New Roman" w:hAnsi="Times New Roman" w:eastAsia="宋体"/>
                      <w:kern w:val="0"/>
                      <w:sz w:val="21"/>
                      <w:szCs w:val="21"/>
                    </w:rPr>
                  </w:pPr>
                  <w:r>
                    <w:rPr>
                      <w:rFonts w:hint="eastAsia" w:ascii="Times New Roman" w:hAnsi="Times New Roman" w:eastAsia="宋体"/>
                      <w:kern w:val="0"/>
                      <w:sz w:val="21"/>
                      <w:szCs w:val="21"/>
                    </w:rPr>
                    <w:t>总磷</w:t>
                  </w:r>
                </w:p>
              </w:tc>
              <w:tc>
                <w:tcPr>
                  <w:tcW w:w="515" w:type="pct"/>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Times New Roman" w:hAnsi="Times New Roman" w:eastAsia="宋体"/>
                      <w:kern w:val="0"/>
                      <w:sz w:val="21"/>
                      <w:szCs w:val="21"/>
                      <w:lang w:val="en-US" w:eastAsia="zh-CN"/>
                    </w:rPr>
                  </w:pPr>
                  <w:r>
                    <w:rPr>
                      <w:rFonts w:hint="eastAsia" w:ascii="Times New Roman" w:hAnsi="Times New Roman" w:eastAsia="宋体"/>
                      <w:kern w:val="0"/>
                      <w:sz w:val="21"/>
                      <w:szCs w:val="21"/>
                      <w:lang w:val="en-US" w:eastAsia="zh-CN"/>
                    </w:rPr>
                    <w:t>全盐量</w:t>
                  </w:r>
                </w:p>
              </w:tc>
              <w:tc>
                <w:tcPr>
                  <w:tcW w:w="475" w:type="pct"/>
                  <w:tcBorders>
                    <w:left w:val="single" w:color="auto" w:sz="4" w:space="0"/>
                    <w:bottom w:val="single" w:color="auto" w:sz="4" w:space="0"/>
                  </w:tcBorders>
                  <w:vAlign w:val="center"/>
                </w:tcPr>
                <w:p>
                  <w:pPr>
                    <w:widowControl/>
                    <w:spacing w:line="240" w:lineRule="auto"/>
                    <w:ind w:firstLine="0" w:firstLineChars="0"/>
                    <w:jc w:val="center"/>
                    <w:rPr>
                      <w:rFonts w:ascii="Times New Roman" w:hAnsi="Times New Roman" w:eastAsia="宋体"/>
                      <w:kern w:val="0"/>
                      <w:sz w:val="21"/>
                      <w:szCs w:val="21"/>
                    </w:rPr>
                  </w:pPr>
                  <w:r>
                    <w:rPr>
                      <w:rFonts w:hint="eastAsia" w:ascii="Times New Roman" w:hAnsi="Times New Roman" w:eastAsia="宋体"/>
                      <w:kern w:val="0"/>
                      <w:sz w:val="21"/>
                      <w:szCs w:val="21"/>
                    </w:rPr>
                    <w:t>氯化物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9" w:hRule="atLeast"/>
                <w:jc w:val="center"/>
              </w:trPr>
              <w:tc>
                <w:tcPr>
                  <w:tcW w:w="1338" w:type="pct"/>
                  <w:tcBorders>
                    <w:top w:val="single" w:color="auto" w:sz="4" w:space="0"/>
                    <w:bottom w:val="single" w:color="auto" w:sz="4" w:space="0"/>
                    <w:right w:val="single" w:color="auto" w:sz="4" w:space="0"/>
                  </w:tcBorders>
                  <w:vAlign w:val="center"/>
                </w:tcPr>
                <w:p>
                  <w:pPr>
                    <w:widowControl/>
                    <w:spacing w:line="240" w:lineRule="auto"/>
                    <w:ind w:firstLine="0" w:firstLineChars="0"/>
                    <w:jc w:val="center"/>
                    <w:rPr>
                      <w:rFonts w:ascii="Times New Roman" w:hAnsi="Times New Roman" w:eastAsia="宋体"/>
                      <w:kern w:val="0"/>
                      <w:sz w:val="21"/>
                      <w:szCs w:val="21"/>
                    </w:rPr>
                  </w:pPr>
                  <w:r>
                    <w:rPr>
                      <w:rFonts w:hint="eastAsia" w:ascii="Times New Roman" w:hAnsi="Times New Roman" w:eastAsia="宋体"/>
                      <w:kern w:val="0"/>
                      <w:sz w:val="21"/>
                      <w:szCs w:val="21"/>
                    </w:rPr>
                    <w:t>GB8978-1996</w:t>
                  </w:r>
                </w:p>
              </w:tc>
              <w:tc>
                <w:tcPr>
                  <w:tcW w:w="51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default" w:ascii="Times New Roman" w:hAnsi="Times New Roman" w:eastAsia="宋体"/>
                      <w:kern w:val="0"/>
                      <w:sz w:val="21"/>
                      <w:szCs w:val="21"/>
                      <w:lang w:val="en-US" w:eastAsia="zh-CN"/>
                    </w:rPr>
                  </w:pPr>
                  <w:r>
                    <w:rPr>
                      <w:rFonts w:ascii="Times New Roman" w:hAnsi="Times New Roman" w:eastAsia="宋体"/>
                      <w:kern w:val="0"/>
                      <w:sz w:val="21"/>
                      <w:szCs w:val="21"/>
                      <w:lang w:eastAsia="en-US"/>
                    </w:rPr>
                    <w:t>6~9</w:t>
                  </w:r>
                </w:p>
              </w:tc>
              <w:tc>
                <w:tcPr>
                  <w:tcW w:w="51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Times New Roman" w:hAnsi="Times New Roman" w:eastAsia="宋体"/>
                      <w:kern w:val="0"/>
                      <w:sz w:val="21"/>
                      <w:szCs w:val="21"/>
                    </w:rPr>
                  </w:pPr>
                  <w:r>
                    <w:rPr>
                      <w:rFonts w:hint="eastAsia" w:ascii="Times New Roman" w:hAnsi="Times New Roman" w:eastAsia="宋体"/>
                      <w:kern w:val="0"/>
                      <w:sz w:val="21"/>
                      <w:szCs w:val="21"/>
                    </w:rPr>
                    <w:t>400</w:t>
                  </w:r>
                </w:p>
              </w:tc>
              <w:tc>
                <w:tcPr>
                  <w:tcW w:w="57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Times New Roman" w:hAnsi="Times New Roman" w:eastAsia="宋体"/>
                      <w:kern w:val="0"/>
                      <w:sz w:val="21"/>
                      <w:szCs w:val="21"/>
                    </w:rPr>
                  </w:pPr>
                  <w:r>
                    <w:rPr>
                      <w:rFonts w:hint="eastAsia" w:ascii="Times New Roman" w:hAnsi="Times New Roman" w:eastAsia="宋体"/>
                      <w:kern w:val="0"/>
                      <w:sz w:val="21"/>
                      <w:szCs w:val="21"/>
                    </w:rPr>
                    <w:t>500</w:t>
                  </w:r>
                </w:p>
              </w:tc>
              <w:tc>
                <w:tcPr>
                  <w:tcW w:w="556"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Times New Roman" w:hAnsi="Times New Roman" w:eastAsia="宋体"/>
                      <w:kern w:val="0"/>
                      <w:sz w:val="21"/>
                      <w:szCs w:val="21"/>
                    </w:rPr>
                  </w:pPr>
                  <w:r>
                    <w:rPr>
                      <w:rFonts w:hint="eastAsia" w:ascii="Times New Roman" w:hAnsi="Times New Roman" w:eastAsia="宋体"/>
                      <w:kern w:val="0"/>
                      <w:sz w:val="21"/>
                      <w:szCs w:val="21"/>
                    </w:rPr>
                    <w:t>-</w:t>
                  </w:r>
                </w:p>
              </w:tc>
              <w:tc>
                <w:tcPr>
                  <w:tcW w:w="51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Times New Roman" w:hAnsi="Times New Roman" w:eastAsia="宋体"/>
                      <w:kern w:val="0"/>
                      <w:sz w:val="21"/>
                      <w:szCs w:val="21"/>
                    </w:rPr>
                  </w:pPr>
                  <w:r>
                    <w:rPr>
                      <w:rFonts w:hint="eastAsia" w:ascii="Times New Roman" w:hAnsi="Times New Roman" w:eastAsia="宋体"/>
                      <w:kern w:val="0"/>
                      <w:sz w:val="21"/>
                      <w:szCs w:val="21"/>
                    </w:rPr>
                    <w:t>-</w:t>
                  </w:r>
                </w:p>
              </w:tc>
              <w:tc>
                <w:tcPr>
                  <w:tcW w:w="515"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Times New Roman" w:hAnsi="Times New Roman" w:eastAsia="宋体"/>
                      <w:kern w:val="0"/>
                      <w:sz w:val="21"/>
                      <w:szCs w:val="21"/>
                    </w:rPr>
                  </w:pPr>
                  <w:r>
                    <w:rPr>
                      <w:rFonts w:hint="eastAsia" w:ascii="Times New Roman" w:hAnsi="Times New Roman" w:eastAsia="宋体"/>
                      <w:kern w:val="0"/>
                      <w:sz w:val="21"/>
                      <w:szCs w:val="21"/>
                    </w:rPr>
                    <w:t>-</w:t>
                  </w:r>
                </w:p>
              </w:tc>
              <w:tc>
                <w:tcPr>
                  <w:tcW w:w="475" w:type="pct"/>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rFonts w:ascii="Times New Roman" w:hAnsi="Times New Roman" w:eastAsia="宋体"/>
                      <w:kern w:val="0"/>
                      <w:sz w:val="21"/>
                      <w:szCs w:val="21"/>
                    </w:rPr>
                  </w:pPr>
                  <w:r>
                    <w:rPr>
                      <w:rFonts w:hint="eastAsia" w:ascii="Times New Roman" w:hAnsi="Times New Roman" w:eastAsia="宋体"/>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9" w:hRule="atLeast"/>
                <w:jc w:val="center"/>
              </w:trPr>
              <w:tc>
                <w:tcPr>
                  <w:tcW w:w="1338" w:type="pct"/>
                  <w:tcBorders>
                    <w:top w:val="single" w:color="auto" w:sz="4" w:space="0"/>
                    <w:bottom w:val="single" w:color="auto" w:sz="4" w:space="0"/>
                    <w:right w:val="single" w:color="auto" w:sz="4" w:space="0"/>
                  </w:tcBorders>
                  <w:vAlign w:val="center"/>
                </w:tcPr>
                <w:p>
                  <w:pPr>
                    <w:widowControl/>
                    <w:spacing w:line="240" w:lineRule="auto"/>
                    <w:ind w:firstLine="0" w:firstLineChars="0"/>
                    <w:jc w:val="center"/>
                    <w:rPr>
                      <w:rFonts w:ascii="Times New Roman" w:hAnsi="Times New Roman" w:eastAsia="宋体"/>
                      <w:kern w:val="0"/>
                      <w:sz w:val="21"/>
                      <w:szCs w:val="21"/>
                    </w:rPr>
                  </w:pPr>
                  <w:r>
                    <w:rPr>
                      <w:rFonts w:hint="eastAsia" w:ascii="Times New Roman" w:hAnsi="Times New Roman" w:eastAsia="宋体"/>
                      <w:kern w:val="0"/>
                      <w:sz w:val="21"/>
                      <w:szCs w:val="21"/>
                    </w:rPr>
                    <w:t>GB26132-2010</w:t>
                  </w:r>
                </w:p>
              </w:tc>
              <w:tc>
                <w:tcPr>
                  <w:tcW w:w="51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Times New Roman" w:hAnsi="Times New Roman" w:eastAsia="宋体"/>
                      <w:kern w:val="0"/>
                      <w:sz w:val="21"/>
                      <w:szCs w:val="21"/>
                    </w:rPr>
                  </w:pPr>
                  <w:r>
                    <w:rPr>
                      <w:rFonts w:ascii="Times New Roman" w:hAnsi="Times New Roman" w:eastAsia="宋体"/>
                      <w:kern w:val="0"/>
                      <w:sz w:val="21"/>
                      <w:szCs w:val="21"/>
                      <w:lang w:eastAsia="en-US"/>
                    </w:rPr>
                    <w:t>6~9</w:t>
                  </w:r>
                </w:p>
              </w:tc>
              <w:tc>
                <w:tcPr>
                  <w:tcW w:w="51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default" w:ascii="Times New Roman" w:hAnsi="Times New Roman" w:eastAsia="宋体"/>
                      <w:kern w:val="0"/>
                      <w:sz w:val="21"/>
                      <w:szCs w:val="21"/>
                      <w:lang w:val="en-US" w:eastAsia="zh-CN"/>
                    </w:rPr>
                  </w:pPr>
                  <w:r>
                    <w:rPr>
                      <w:rFonts w:hint="eastAsia" w:ascii="Times New Roman" w:hAnsi="Times New Roman" w:eastAsia="宋体"/>
                      <w:kern w:val="0"/>
                      <w:sz w:val="21"/>
                      <w:szCs w:val="21"/>
                      <w:lang w:val="en-US" w:eastAsia="zh-CN"/>
                    </w:rPr>
                    <w:t>100</w:t>
                  </w:r>
                </w:p>
              </w:tc>
              <w:tc>
                <w:tcPr>
                  <w:tcW w:w="57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default" w:ascii="Times New Roman" w:hAnsi="Times New Roman" w:eastAsia="宋体"/>
                      <w:kern w:val="0"/>
                      <w:sz w:val="21"/>
                      <w:szCs w:val="21"/>
                      <w:lang w:val="en-US" w:eastAsia="zh-CN"/>
                    </w:rPr>
                  </w:pPr>
                  <w:r>
                    <w:rPr>
                      <w:rFonts w:hint="eastAsia" w:ascii="Times New Roman" w:hAnsi="Times New Roman" w:eastAsia="宋体"/>
                      <w:kern w:val="0"/>
                      <w:sz w:val="21"/>
                      <w:szCs w:val="21"/>
                      <w:lang w:val="en-US" w:eastAsia="zh-CN"/>
                    </w:rPr>
                    <w:t>100</w:t>
                  </w:r>
                </w:p>
              </w:tc>
              <w:tc>
                <w:tcPr>
                  <w:tcW w:w="556"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default" w:ascii="Times New Roman" w:hAnsi="Times New Roman" w:eastAsia="宋体"/>
                      <w:kern w:val="0"/>
                      <w:sz w:val="21"/>
                      <w:szCs w:val="21"/>
                      <w:lang w:val="en-US" w:eastAsia="zh-CN"/>
                    </w:rPr>
                  </w:pPr>
                  <w:r>
                    <w:rPr>
                      <w:rFonts w:hint="eastAsia" w:ascii="Times New Roman" w:hAnsi="Times New Roman" w:eastAsia="宋体"/>
                      <w:kern w:val="0"/>
                      <w:sz w:val="21"/>
                      <w:szCs w:val="21"/>
                      <w:lang w:val="en-US" w:eastAsia="zh-CN"/>
                    </w:rPr>
                    <w:t>20</w:t>
                  </w:r>
                </w:p>
              </w:tc>
              <w:tc>
                <w:tcPr>
                  <w:tcW w:w="51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Times New Roman" w:hAnsi="Times New Roman" w:eastAsia="宋体"/>
                      <w:kern w:val="0"/>
                      <w:sz w:val="21"/>
                      <w:szCs w:val="21"/>
                      <w:lang w:eastAsia="zh-CN"/>
                    </w:rPr>
                  </w:pPr>
                  <w:r>
                    <w:rPr>
                      <w:rFonts w:hint="eastAsia" w:ascii="Times New Roman" w:hAnsi="Times New Roman" w:eastAsia="宋体"/>
                      <w:kern w:val="0"/>
                      <w:sz w:val="21"/>
                      <w:szCs w:val="21"/>
                      <w:lang w:val="en-US" w:eastAsia="zh-CN"/>
                    </w:rPr>
                    <w:t>2</w:t>
                  </w:r>
                </w:p>
              </w:tc>
              <w:tc>
                <w:tcPr>
                  <w:tcW w:w="515"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Times New Roman" w:hAnsi="Times New Roman" w:eastAsia="宋体"/>
                      <w:kern w:val="0"/>
                      <w:sz w:val="21"/>
                      <w:szCs w:val="21"/>
                    </w:rPr>
                  </w:pPr>
                  <w:r>
                    <w:rPr>
                      <w:rFonts w:hint="eastAsia" w:ascii="Times New Roman" w:hAnsi="Times New Roman" w:eastAsia="宋体"/>
                      <w:kern w:val="0"/>
                      <w:sz w:val="21"/>
                      <w:szCs w:val="21"/>
                    </w:rPr>
                    <w:t>-</w:t>
                  </w:r>
                </w:p>
              </w:tc>
              <w:tc>
                <w:tcPr>
                  <w:tcW w:w="475" w:type="pct"/>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rFonts w:ascii="Times New Roman" w:hAnsi="Times New Roman" w:eastAsia="宋体"/>
                      <w:kern w:val="0"/>
                      <w:sz w:val="21"/>
                      <w:szCs w:val="21"/>
                    </w:rPr>
                  </w:pPr>
                  <w:r>
                    <w:rPr>
                      <w:rFonts w:hint="eastAsia" w:ascii="Times New Roman" w:hAnsi="Times New Roman" w:eastAsia="宋体"/>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9" w:hRule="atLeast"/>
                <w:jc w:val="center"/>
              </w:trPr>
              <w:tc>
                <w:tcPr>
                  <w:tcW w:w="1338" w:type="pct"/>
                  <w:tcBorders>
                    <w:top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Times New Roman" w:hAnsi="Times New Roman" w:eastAsia="宋体"/>
                      <w:kern w:val="0"/>
                      <w:sz w:val="21"/>
                      <w:szCs w:val="21"/>
                    </w:rPr>
                  </w:pPr>
                  <w:r>
                    <w:rPr>
                      <w:rFonts w:hint="eastAsia" w:ascii="Times New Roman" w:hAnsi="Times New Roman" w:eastAsia="宋体"/>
                      <w:kern w:val="0"/>
                      <w:sz w:val="21"/>
                      <w:szCs w:val="21"/>
                    </w:rPr>
                    <w:t>GB15581-2016</w:t>
                  </w:r>
                </w:p>
              </w:tc>
              <w:tc>
                <w:tcPr>
                  <w:tcW w:w="51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Times New Roman" w:hAnsi="Times New Roman" w:eastAsia="宋体"/>
                      <w:kern w:val="0"/>
                      <w:sz w:val="21"/>
                      <w:szCs w:val="21"/>
                    </w:rPr>
                  </w:pPr>
                  <w:r>
                    <w:rPr>
                      <w:rFonts w:ascii="Times New Roman" w:hAnsi="Times New Roman" w:eastAsia="宋体"/>
                      <w:kern w:val="0"/>
                      <w:sz w:val="21"/>
                      <w:szCs w:val="21"/>
                      <w:lang w:eastAsia="en-US"/>
                    </w:rPr>
                    <w:t>6~9</w:t>
                  </w:r>
                </w:p>
              </w:tc>
              <w:tc>
                <w:tcPr>
                  <w:tcW w:w="51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default" w:ascii="Times New Roman" w:hAnsi="Times New Roman" w:eastAsia="宋体"/>
                      <w:kern w:val="0"/>
                      <w:sz w:val="21"/>
                      <w:szCs w:val="21"/>
                      <w:lang w:val="en-US" w:eastAsia="zh-CN"/>
                    </w:rPr>
                  </w:pPr>
                  <w:r>
                    <w:rPr>
                      <w:rFonts w:hint="eastAsia" w:ascii="Times New Roman" w:hAnsi="Times New Roman" w:eastAsia="宋体"/>
                      <w:kern w:val="0"/>
                      <w:sz w:val="21"/>
                      <w:szCs w:val="21"/>
                      <w:lang w:val="en-US" w:eastAsia="zh-CN"/>
                    </w:rPr>
                    <w:t>70</w:t>
                  </w:r>
                </w:p>
              </w:tc>
              <w:tc>
                <w:tcPr>
                  <w:tcW w:w="57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default" w:ascii="Times New Roman" w:hAnsi="Times New Roman" w:eastAsia="宋体"/>
                      <w:kern w:val="0"/>
                      <w:sz w:val="21"/>
                      <w:szCs w:val="21"/>
                      <w:lang w:val="en-US" w:eastAsia="zh-CN"/>
                    </w:rPr>
                  </w:pPr>
                  <w:r>
                    <w:rPr>
                      <w:rFonts w:hint="eastAsia" w:ascii="Times New Roman" w:hAnsi="Times New Roman" w:eastAsia="宋体"/>
                      <w:kern w:val="0"/>
                      <w:sz w:val="21"/>
                      <w:szCs w:val="21"/>
                      <w:lang w:val="en-US" w:eastAsia="zh-CN"/>
                    </w:rPr>
                    <w:t>250</w:t>
                  </w:r>
                </w:p>
              </w:tc>
              <w:tc>
                <w:tcPr>
                  <w:tcW w:w="556"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default" w:ascii="Times New Roman" w:hAnsi="Times New Roman" w:eastAsia="宋体"/>
                      <w:kern w:val="0"/>
                      <w:sz w:val="21"/>
                      <w:szCs w:val="21"/>
                      <w:lang w:val="en-US" w:eastAsia="zh-CN"/>
                    </w:rPr>
                  </w:pPr>
                  <w:r>
                    <w:rPr>
                      <w:rFonts w:hint="eastAsia" w:ascii="Times New Roman" w:hAnsi="Times New Roman" w:eastAsia="宋体"/>
                      <w:kern w:val="0"/>
                      <w:sz w:val="21"/>
                      <w:szCs w:val="21"/>
                      <w:lang w:val="en-US" w:eastAsia="zh-CN"/>
                    </w:rPr>
                    <w:t>40</w:t>
                  </w:r>
                </w:p>
              </w:tc>
              <w:tc>
                <w:tcPr>
                  <w:tcW w:w="51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default" w:ascii="Times New Roman" w:hAnsi="Times New Roman" w:eastAsia="宋体"/>
                      <w:kern w:val="0"/>
                      <w:sz w:val="21"/>
                      <w:szCs w:val="21"/>
                      <w:lang w:val="en-US" w:eastAsia="zh-CN"/>
                    </w:rPr>
                  </w:pPr>
                  <w:r>
                    <w:rPr>
                      <w:rFonts w:hint="eastAsia" w:ascii="Times New Roman" w:hAnsi="Times New Roman" w:eastAsia="宋体"/>
                      <w:kern w:val="0"/>
                      <w:sz w:val="21"/>
                      <w:szCs w:val="21"/>
                      <w:lang w:val="en-US" w:eastAsia="zh-CN"/>
                    </w:rPr>
                    <w:t>5</w:t>
                  </w:r>
                </w:p>
              </w:tc>
              <w:tc>
                <w:tcPr>
                  <w:tcW w:w="515"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Times New Roman" w:hAnsi="Times New Roman" w:eastAsia="宋体"/>
                      <w:kern w:val="0"/>
                      <w:sz w:val="21"/>
                      <w:szCs w:val="21"/>
                    </w:rPr>
                  </w:pPr>
                </w:p>
              </w:tc>
              <w:tc>
                <w:tcPr>
                  <w:tcW w:w="475" w:type="pct"/>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rFonts w:hint="eastAsia" w:ascii="Times New Roman" w:hAnsi="Times New Roman" w:eastAsia="宋体"/>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9" w:hRule="atLeast"/>
                <w:jc w:val="center"/>
              </w:trPr>
              <w:tc>
                <w:tcPr>
                  <w:tcW w:w="1338" w:type="pct"/>
                  <w:tcBorders>
                    <w:top w:val="single" w:color="auto" w:sz="4" w:space="0"/>
                    <w:bottom w:val="single" w:color="auto" w:sz="4" w:space="0"/>
                    <w:right w:val="single" w:color="auto" w:sz="4" w:space="0"/>
                  </w:tcBorders>
                  <w:vAlign w:val="center"/>
                </w:tcPr>
                <w:p>
                  <w:pPr>
                    <w:widowControl/>
                    <w:spacing w:line="240" w:lineRule="auto"/>
                    <w:ind w:firstLine="0" w:firstLineChars="0"/>
                    <w:jc w:val="center"/>
                    <w:rPr>
                      <w:rFonts w:ascii="Times New Roman" w:hAnsi="Times New Roman" w:eastAsia="宋体"/>
                      <w:kern w:val="0"/>
                      <w:sz w:val="21"/>
                      <w:szCs w:val="21"/>
                    </w:rPr>
                  </w:pPr>
                  <w:r>
                    <w:rPr>
                      <w:rFonts w:hint="eastAsia" w:ascii="Times New Roman" w:hAnsi="Times New Roman" w:eastAsia="宋体"/>
                      <w:kern w:val="0"/>
                      <w:sz w:val="21"/>
                      <w:szCs w:val="21"/>
                    </w:rPr>
                    <w:t>洪江高新区污水处理厂接管要求</w:t>
                  </w:r>
                </w:p>
              </w:tc>
              <w:tc>
                <w:tcPr>
                  <w:tcW w:w="51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Times New Roman" w:hAnsi="Times New Roman" w:eastAsia="宋体"/>
                      <w:kern w:val="0"/>
                      <w:sz w:val="21"/>
                      <w:szCs w:val="21"/>
                    </w:rPr>
                  </w:pPr>
                  <w:r>
                    <w:rPr>
                      <w:rFonts w:ascii="Times New Roman" w:hAnsi="Times New Roman" w:eastAsia="宋体"/>
                      <w:kern w:val="0"/>
                      <w:sz w:val="21"/>
                      <w:szCs w:val="21"/>
                      <w:lang w:eastAsia="en-US"/>
                    </w:rPr>
                    <w:t>6~9</w:t>
                  </w:r>
                </w:p>
              </w:tc>
              <w:tc>
                <w:tcPr>
                  <w:tcW w:w="51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Times New Roman" w:hAnsi="Times New Roman" w:eastAsia="宋体"/>
                      <w:kern w:val="0"/>
                      <w:sz w:val="21"/>
                      <w:szCs w:val="21"/>
                    </w:rPr>
                  </w:pPr>
                  <w:r>
                    <w:rPr>
                      <w:rFonts w:hint="eastAsia" w:ascii="Times New Roman" w:hAnsi="Times New Roman" w:eastAsia="宋体"/>
                      <w:kern w:val="0"/>
                      <w:sz w:val="21"/>
                      <w:szCs w:val="21"/>
                    </w:rPr>
                    <w:t>400</w:t>
                  </w:r>
                </w:p>
              </w:tc>
              <w:tc>
                <w:tcPr>
                  <w:tcW w:w="57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Times New Roman" w:hAnsi="Times New Roman" w:eastAsia="宋体"/>
                      <w:kern w:val="0"/>
                      <w:sz w:val="21"/>
                      <w:szCs w:val="21"/>
                    </w:rPr>
                  </w:pPr>
                  <w:r>
                    <w:rPr>
                      <w:rFonts w:hint="eastAsia" w:ascii="Times New Roman" w:hAnsi="Times New Roman" w:eastAsia="宋体"/>
                      <w:kern w:val="0"/>
                      <w:sz w:val="21"/>
                      <w:szCs w:val="21"/>
                    </w:rPr>
                    <w:t>500</w:t>
                  </w:r>
                </w:p>
              </w:tc>
              <w:tc>
                <w:tcPr>
                  <w:tcW w:w="556"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Times New Roman" w:hAnsi="Times New Roman" w:eastAsia="宋体"/>
                      <w:kern w:val="0"/>
                      <w:sz w:val="21"/>
                      <w:szCs w:val="21"/>
                    </w:rPr>
                  </w:pPr>
                  <w:r>
                    <w:rPr>
                      <w:rFonts w:hint="eastAsia" w:ascii="Times New Roman" w:hAnsi="Times New Roman" w:eastAsia="宋体"/>
                      <w:kern w:val="0"/>
                      <w:sz w:val="21"/>
                      <w:szCs w:val="21"/>
                    </w:rPr>
                    <w:t>35</w:t>
                  </w:r>
                </w:p>
              </w:tc>
              <w:tc>
                <w:tcPr>
                  <w:tcW w:w="51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Times New Roman" w:hAnsi="Times New Roman" w:eastAsia="宋体"/>
                      <w:kern w:val="0"/>
                      <w:sz w:val="21"/>
                      <w:szCs w:val="21"/>
                    </w:rPr>
                  </w:pPr>
                  <w:r>
                    <w:rPr>
                      <w:rFonts w:hint="eastAsia" w:ascii="Times New Roman" w:hAnsi="Times New Roman" w:eastAsia="宋体"/>
                      <w:kern w:val="0"/>
                      <w:sz w:val="21"/>
                      <w:szCs w:val="21"/>
                    </w:rPr>
                    <w:t>4</w:t>
                  </w:r>
                </w:p>
              </w:tc>
              <w:tc>
                <w:tcPr>
                  <w:tcW w:w="515"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Times New Roman" w:hAnsi="Times New Roman" w:eastAsia="宋体"/>
                      <w:kern w:val="0"/>
                      <w:sz w:val="21"/>
                      <w:szCs w:val="21"/>
                    </w:rPr>
                  </w:pPr>
                  <w:r>
                    <w:rPr>
                      <w:rFonts w:hint="eastAsia" w:ascii="Times New Roman" w:hAnsi="Times New Roman" w:eastAsia="宋体"/>
                      <w:kern w:val="0"/>
                      <w:sz w:val="21"/>
                      <w:szCs w:val="21"/>
                    </w:rPr>
                    <w:t>-</w:t>
                  </w:r>
                </w:p>
              </w:tc>
              <w:tc>
                <w:tcPr>
                  <w:tcW w:w="475" w:type="pct"/>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rFonts w:hint="default" w:ascii="Times New Roman" w:hAnsi="Times New Roman" w:eastAsia="宋体"/>
                      <w:kern w:val="0"/>
                      <w:sz w:val="21"/>
                      <w:szCs w:val="21"/>
                      <w:lang w:val="en-US" w:eastAsia="zh-CN"/>
                    </w:rPr>
                  </w:pPr>
                  <w:r>
                    <w:rPr>
                      <w:rFonts w:hint="eastAsia" w:ascii="Times New Roman" w:hAnsi="Times New Roman" w:eastAsia="宋体"/>
                      <w:kern w:val="0"/>
                      <w:sz w:val="21"/>
                      <w:szCs w:val="21"/>
                      <w:lang w:val="en-US" w:eastAsia="zh-CN"/>
                    </w:rPr>
                    <w:t>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9" w:hRule="atLeast"/>
                <w:jc w:val="center"/>
              </w:trPr>
              <w:tc>
                <w:tcPr>
                  <w:tcW w:w="1338" w:type="pct"/>
                  <w:tcBorders>
                    <w:top w:val="single" w:color="auto" w:sz="4" w:space="0"/>
                    <w:right w:val="single" w:color="auto" w:sz="4" w:space="0"/>
                  </w:tcBorders>
                  <w:vAlign w:val="center"/>
                </w:tcPr>
                <w:p>
                  <w:pPr>
                    <w:widowControl/>
                    <w:spacing w:line="240" w:lineRule="auto"/>
                    <w:ind w:firstLine="0" w:firstLineChars="0"/>
                    <w:jc w:val="center"/>
                    <w:rPr>
                      <w:rFonts w:ascii="Times New Roman" w:hAnsi="Times New Roman" w:eastAsia="宋体"/>
                      <w:kern w:val="0"/>
                      <w:sz w:val="21"/>
                      <w:szCs w:val="21"/>
                    </w:rPr>
                  </w:pPr>
                  <w:r>
                    <w:rPr>
                      <w:rFonts w:hint="eastAsia" w:ascii="Times New Roman" w:hAnsi="Times New Roman" w:eastAsia="宋体"/>
                      <w:kern w:val="0"/>
                      <w:sz w:val="21"/>
                      <w:szCs w:val="21"/>
                    </w:rPr>
                    <w:t>本项目废水排放</w:t>
                  </w:r>
                </w:p>
                <w:p>
                  <w:pPr>
                    <w:widowControl/>
                    <w:spacing w:line="240" w:lineRule="auto"/>
                    <w:ind w:firstLine="0" w:firstLineChars="0"/>
                    <w:jc w:val="center"/>
                    <w:rPr>
                      <w:rFonts w:ascii="Times New Roman" w:hAnsi="Times New Roman" w:eastAsia="宋体"/>
                      <w:kern w:val="0"/>
                      <w:sz w:val="21"/>
                      <w:szCs w:val="21"/>
                    </w:rPr>
                  </w:pPr>
                  <w:r>
                    <w:rPr>
                      <w:rFonts w:hint="eastAsia" w:ascii="Times New Roman" w:hAnsi="Times New Roman" w:eastAsia="宋体"/>
                      <w:kern w:val="0"/>
                      <w:sz w:val="21"/>
                      <w:szCs w:val="21"/>
                    </w:rPr>
                    <w:t>限值</w:t>
                  </w:r>
                </w:p>
              </w:tc>
              <w:tc>
                <w:tcPr>
                  <w:tcW w:w="513" w:type="pct"/>
                  <w:tcBorders>
                    <w:top w:val="single" w:color="auto" w:sz="4" w:space="0"/>
                    <w:left w:val="single" w:color="auto" w:sz="4" w:space="0"/>
                    <w:right w:val="single" w:color="auto" w:sz="4" w:space="0"/>
                  </w:tcBorders>
                  <w:vAlign w:val="center"/>
                </w:tcPr>
                <w:p>
                  <w:pPr>
                    <w:widowControl/>
                    <w:spacing w:line="240" w:lineRule="auto"/>
                    <w:ind w:firstLine="0" w:firstLineChars="0"/>
                    <w:jc w:val="center"/>
                    <w:rPr>
                      <w:rFonts w:ascii="Times New Roman" w:hAnsi="Times New Roman" w:eastAsia="宋体"/>
                      <w:kern w:val="0"/>
                      <w:sz w:val="21"/>
                      <w:szCs w:val="21"/>
                    </w:rPr>
                  </w:pPr>
                  <w:r>
                    <w:rPr>
                      <w:rFonts w:ascii="Times New Roman" w:hAnsi="Times New Roman" w:eastAsia="宋体"/>
                      <w:kern w:val="0"/>
                      <w:sz w:val="21"/>
                      <w:szCs w:val="21"/>
                      <w:lang w:eastAsia="en-US"/>
                    </w:rPr>
                    <w:t>6~9</w:t>
                  </w:r>
                </w:p>
              </w:tc>
              <w:tc>
                <w:tcPr>
                  <w:tcW w:w="513" w:type="pct"/>
                  <w:tcBorders>
                    <w:top w:val="single" w:color="auto" w:sz="4" w:space="0"/>
                    <w:left w:val="single" w:color="auto" w:sz="4" w:space="0"/>
                    <w:right w:val="single" w:color="auto" w:sz="4" w:space="0"/>
                  </w:tcBorders>
                  <w:vAlign w:val="center"/>
                </w:tcPr>
                <w:p>
                  <w:pPr>
                    <w:widowControl/>
                    <w:spacing w:line="240" w:lineRule="auto"/>
                    <w:ind w:firstLine="0" w:firstLineChars="0"/>
                    <w:jc w:val="center"/>
                    <w:rPr>
                      <w:rFonts w:hint="default" w:ascii="Times New Roman" w:hAnsi="Times New Roman" w:eastAsia="宋体"/>
                      <w:kern w:val="0"/>
                      <w:sz w:val="21"/>
                      <w:szCs w:val="21"/>
                      <w:lang w:val="en-US" w:eastAsia="zh-CN"/>
                    </w:rPr>
                  </w:pPr>
                  <w:r>
                    <w:rPr>
                      <w:rFonts w:hint="eastAsia" w:ascii="Times New Roman" w:hAnsi="Times New Roman" w:eastAsia="宋体"/>
                      <w:kern w:val="0"/>
                      <w:sz w:val="21"/>
                      <w:szCs w:val="21"/>
                      <w:lang w:val="en-US" w:eastAsia="zh-CN"/>
                    </w:rPr>
                    <w:t>70</w:t>
                  </w:r>
                </w:p>
              </w:tc>
              <w:tc>
                <w:tcPr>
                  <w:tcW w:w="573" w:type="pct"/>
                  <w:tcBorders>
                    <w:top w:val="single" w:color="auto" w:sz="4" w:space="0"/>
                    <w:left w:val="single" w:color="auto" w:sz="4" w:space="0"/>
                    <w:right w:val="single" w:color="auto" w:sz="4" w:space="0"/>
                  </w:tcBorders>
                  <w:vAlign w:val="center"/>
                </w:tcPr>
                <w:p>
                  <w:pPr>
                    <w:widowControl/>
                    <w:spacing w:line="240" w:lineRule="auto"/>
                    <w:ind w:firstLine="0" w:firstLineChars="0"/>
                    <w:jc w:val="center"/>
                    <w:rPr>
                      <w:rFonts w:hint="default" w:ascii="Times New Roman" w:hAnsi="Times New Roman" w:eastAsia="宋体"/>
                      <w:kern w:val="0"/>
                      <w:sz w:val="21"/>
                      <w:szCs w:val="21"/>
                      <w:lang w:val="en-US" w:eastAsia="zh-CN"/>
                    </w:rPr>
                  </w:pPr>
                  <w:r>
                    <w:rPr>
                      <w:rFonts w:hint="eastAsia" w:ascii="Times New Roman" w:hAnsi="Times New Roman" w:eastAsia="宋体"/>
                      <w:kern w:val="0"/>
                      <w:sz w:val="21"/>
                      <w:szCs w:val="21"/>
                      <w:lang w:val="en-US" w:eastAsia="zh-CN"/>
                    </w:rPr>
                    <w:t>100</w:t>
                  </w:r>
                </w:p>
              </w:tc>
              <w:tc>
                <w:tcPr>
                  <w:tcW w:w="556" w:type="pct"/>
                  <w:tcBorders>
                    <w:top w:val="single" w:color="auto" w:sz="4" w:space="0"/>
                    <w:left w:val="single" w:color="auto" w:sz="4" w:space="0"/>
                    <w:right w:val="single" w:color="auto" w:sz="4" w:space="0"/>
                  </w:tcBorders>
                  <w:vAlign w:val="center"/>
                </w:tcPr>
                <w:p>
                  <w:pPr>
                    <w:widowControl/>
                    <w:spacing w:line="240" w:lineRule="auto"/>
                    <w:ind w:firstLine="0" w:firstLineChars="0"/>
                    <w:jc w:val="center"/>
                    <w:rPr>
                      <w:rFonts w:hint="default" w:ascii="Times New Roman" w:hAnsi="Times New Roman" w:eastAsia="宋体"/>
                      <w:kern w:val="0"/>
                      <w:sz w:val="21"/>
                      <w:szCs w:val="21"/>
                      <w:lang w:val="en-US" w:eastAsia="zh-CN"/>
                    </w:rPr>
                  </w:pPr>
                  <w:r>
                    <w:rPr>
                      <w:rFonts w:hint="eastAsia" w:ascii="Times New Roman" w:hAnsi="Times New Roman" w:eastAsia="宋体"/>
                      <w:kern w:val="0"/>
                      <w:sz w:val="21"/>
                      <w:szCs w:val="21"/>
                      <w:lang w:val="en-US" w:eastAsia="zh-CN"/>
                    </w:rPr>
                    <w:t>20</w:t>
                  </w:r>
                </w:p>
              </w:tc>
              <w:tc>
                <w:tcPr>
                  <w:tcW w:w="513" w:type="pct"/>
                  <w:tcBorders>
                    <w:top w:val="single" w:color="auto" w:sz="4" w:space="0"/>
                    <w:left w:val="single" w:color="auto" w:sz="4" w:space="0"/>
                    <w:right w:val="single" w:color="auto" w:sz="4" w:space="0"/>
                  </w:tcBorders>
                  <w:vAlign w:val="center"/>
                </w:tcPr>
                <w:p>
                  <w:pPr>
                    <w:widowControl/>
                    <w:spacing w:line="240" w:lineRule="auto"/>
                    <w:ind w:firstLine="0" w:firstLineChars="0"/>
                    <w:jc w:val="center"/>
                    <w:rPr>
                      <w:rFonts w:hint="eastAsia" w:ascii="Times New Roman" w:hAnsi="Times New Roman" w:eastAsia="宋体"/>
                      <w:kern w:val="0"/>
                      <w:sz w:val="21"/>
                      <w:szCs w:val="21"/>
                      <w:lang w:eastAsia="zh-CN"/>
                    </w:rPr>
                  </w:pPr>
                  <w:r>
                    <w:rPr>
                      <w:rFonts w:hint="eastAsia" w:ascii="Times New Roman" w:hAnsi="Times New Roman" w:eastAsia="宋体"/>
                      <w:kern w:val="0"/>
                      <w:sz w:val="21"/>
                      <w:szCs w:val="21"/>
                      <w:lang w:val="en-US" w:eastAsia="zh-CN"/>
                    </w:rPr>
                    <w:t>2</w:t>
                  </w:r>
                </w:p>
              </w:tc>
              <w:tc>
                <w:tcPr>
                  <w:tcW w:w="515" w:type="pct"/>
                  <w:tcBorders>
                    <w:top w:val="single" w:color="auto" w:sz="4" w:space="0"/>
                    <w:left w:val="single" w:color="auto" w:sz="4" w:space="0"/>
                    <w:right w:val="single" w:color="auto" w:sz="4" w:space="0"/>
                  </w:tcBorders>
                  <w:vAlign w:val="center"/>
                </w:tcPr>
                <w:p>
                  <w:pPr>
                    <w:widowControl/>
                    <w:spacing w:line="240" w:lineRule="auto"/>
                    <w:ind w:firstLine="0" w:firstLineChars="0"/>
                    <w:jc w:val="center"/>
                    <w:rPr>
                      <w:rFonts w:ascii="Times New Roman" w:hAnsi="Times New Roman" w:eastAsia="宋体"/>
                      <w:kern w:val="0"/>
                      <w:sz w:val="21"/>
                      <w:szCs w:val="21"/>
                    </w:rPr>
                  </w:pPr>
                  <w:r>
                    <w:rPr>
                      <w:rFonts w:hint="eastAsia" w:ascii="Times New Roman" w:hAnsi="Times New Roman" w:eastAsia="宋体"/>
                      <w:kern w:val="0"/>
                      <w:sz w:val="21"/>
                      <w:szCs w:val="21"/>
                    </w:rPr>
                    <w:t>-</w:t>
                  </w:r>
                </w:p>
              </w:tc>
              <w:tc>
                <w:tcPr>
                  <w:tcW w:w="475" w:type="pct"/>
                  <w:tcBorders>
                    <w:top w:val="single" w:color="auto" w:sz="4" w:space="0"/>
                    <w:left w:val="single" w:color="auto" w:sz="4" w:space="0"/>
                  </w:tcBorders>
                  <w:vAlign w:val="center"/>
                </w:tcPr>
                <w:p>
                  <w:pPr>
                    <w:widowControl/>
                    <w:spacing w:line="240" w:lineRule="auto"/>
                    <w:ind w:firstLine="0" w:firstLineChars="0"/>
                    <w:jc w:val="center"/>
                    <w:rPr>
                      <w:rFonts w:hint="default" w:ascii="Times New Roman" w:hAnsi="Times New Roman" w:eastAsia="宋体"/>
                      <w:kern w:val="0"/>
                      <w:sz w:val="21"/>
                      <w:szCs w:val="21"/>
                      <w:lang w:val="en-US" w:eastAsia="zh-CN"/>
                    </w:rPr>
                  </w:pPr>
                  <w:r>
                    <w:rPr>
                      <w:rFonts w:hint="eastAsia" w:ascii="Times New Roman" w:hAnsi="Times New Roman" w:eastAsia="宋体"/>
                      <w:kern w:val="0"/>
                      <w:sz w:val="21"/>
                      <w:szCs w:val="21"/>
                      <w:lang w:val="en-US" w:eastAsia="zh-CN"/>
                    </w:rPr>
                    <w:t>800</w:t>
                  </w:r>
                </w:p>
              </w:tc>
            </w:tr>
          </w:tbl>
          <w:p>
            <w:pPr>
              <w:pStyle w:val="57"/>
              <w:bidi w:val="0"/>
              <w:rPr>
                <w:rFonts w:hint="eastAsia" w:ascii="宋体" w:hAnsi="宋体" w:eastAsia="宋体" w:cs="宋体"/>
                <w:kern w:val="0"/>
                <w:szCs w:val="21"/>
                <w:u w:val="none"/>
                <w:lang w:eastAsia="zh-CN"/>
              </w:rPr>
            </w:pPr>
            <w:r>
              <w:rPr>
                <w:rFonts w:hint="eastAsia"/>
                <w:color w:val="000000"/>
                <w:u w:val="none"/>
              </w:rPr>
              <w:t>（</w:t>
            </w:r>
            <w:r>
              <w:rPr>
                <w:rFonts w:hint="eastAsia"/>
                <w:color w:val="000000"/>
                <w:u w:val="none"/>
                <w:lang w:val="en-US" w:eastAsia="zh-CN"/>
              </w:rPr>
              <w:t>3</w:t>
            </w:r>
            <w:r>
              <w:rPr>
                <w:rFonts w:hint="eastAsia"/>
                <w:color w:val="000000"/>
                <w:u w:val="none"/>
              </w:rPr>
              <w:t>）</w:t>
            </w:r>
            <w:r>
              <w:rPr>
                <w:color w:val="000000"/>
                <w:u w:val="none"/>
              </w:rPr>
              <w:t>固体废物：</w:t>
            </w:r>
            <w:r>
              <w:rPr>
                <w:rFonts w:hint="default" w:ascii="Times New Roman" w:hAnsi="Times New Roman" w:cs="Times New Roman"/>
                <w:color w:val="auto"/>
              </w:rPr>
              <w:t>一般固体废物执行《一般工业固体废物贮存和填埋污染控制标准》（GB18599-2020）</w:t>
            </w:r>
            <w:r>
              <w:rPr>
                <w:rFonts w:hint="eastAsia" w:cs="Times New Roman"/>
                <w:color w:val="auto"/>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737" w:type="dxa"/>
            <w:noWrap w:val="0"/>
            <w:vAlign w:val="center"/>
          </w:tcPr>
          <w:p>
            <w:pPr>
              <w:adjustRightInd w:val="0"/>
              <w:snapToGrid w:val="0"/>
              <w:jc w:val="center"/>
              <w:rPr>
                <w:rFonts w:hint="eastAsia" w:ascii="宋体" w:hAnsi="宋体" w:cs="宋体"/>
                <w:kern w:val="0"/>
                <w:szCs w:val="21"/>
              </w:rPr>
            </w:pPr>
            <w:r>
              <w:rPr>
                <w:rFonts w:hint="eastAsia" w:ascii="宋体" w:hAnsi="宋体" w:cs="宋体"/>
                <w:kern w:val="0"/>
                <w:szCs w:val="21"/>
              </w:rPr>
              <w:t>总量</w:t>
            </w:r>
          </w:p>
          <w:p>
            <w:pPr>
              <w:adjustRightInd w:val="0"/>
              <w:snapToGrid w:val="0"/>
              <w:jc w:val="center"/>
              <w:rPr>
                <w:rFonts w:hint="eastAsia" w:ascii="宋体" w:hAnsi="宋体" w:cs="宋体"/>
                <w:kern w:val="0"/>
                <w:szCs w:val="21"/>
              </w:rPr>
            </w:pPr>
            <w:r>
              <w:rPr>
                <w:rFonts w:hint="eastAsia" w:ascii="宋体" w:hAnsi="宋体" w:cs="宋体"/>
                <w:kern w:val="0"/>
                <w:szCs w:val="21"/>
              </w:rPr>
              <w:t>控制</w:t>
            </w:r>
          </w:p>
          <w:p>
            <w:pPr>
              <w:adjustRightInd w:val="0"/>
              <w:snapToGrid w:val="0"/>
              <w:jc w:val="center"/>
              <w:rPr>
                <w:rFonts w:ascii="宋体" w:hAnsi="宋体" w:cs="宋体"/>
                <w:kern w:val="0"/>
                <w:szCs w:val="21"/>
              </w:rPr>
            </w:pPr>
            <w:r>
              <w:rPr>
                <w:rFonts w:hint="eastAsia" w:ascii="宋体" w:hAnsi="宋体" w:cs="宋体"/>
                <w:kern w:val="0"/>
                <w:szCs w:val="21"/>
              </w:rPr>
              <w:t>指标</w:t>
            </w:r>
          </w:p>
        </w:tc>
        <w:tc>
          <w:tcPr>
            <w:tcW w:w="8334" w:type="dxa"/>
            <w:noWrap w:val="0"/>
            <w:vAlign w:val="center"/>
          </w:tcPr>
          <w:p>
            <w:pPr>
              <w:pStyle w:val="36"/>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eastAsia="宋体"/>
                <w:lang w:val="en-US" w:eastAsia="zh-CN"/>
              </w:rPr>
            </w:pPr>
            <w:r>
              <w:rPr>
                <w:rFonts w:hint="eastAsia"/>
              </w:rPr>
              <w:t>本项目</w:t>
            </w:r>
            <w:r>
              <w:rPr>
                <w:rFonts w:hint="eastAsia"/>
                <w:lang w:val="en-US" w:eastAsia="zh-CN"/>
              </w:rPr>
              <w:t>属于供水系统升级改造项目，运营期无生产废气产生，生产废水主要污染物为无机盐和氯化物，不涉及总量控制中的污染物，故本项目无需申请总量控制。</w:t>
            </w:r>
          </w:p>
        </w:tc>
      </w:tr>
    </w:tbl>
    <w:p>
      <w:pPr>
        <w:pStyle w:val="18"/>
        <w:jc w:val="center"/>
        <w:outlineLvl w:val="0"/>
        <w:rPr>
          <w:rFonts w:ascii="黑体" w:hAnsi="黑体" w:eastAsia="黑体"/>
          <w:snapToGrid w:val="0"/>
          <w:sz w:val="30"/>
          <w:szCs w:val="30"/>
        </w:rPr>
      </w:pPr>
      <w:r>
        <w:rPr>
          <w:rFonts w:ascii="黑体" w:hAnsi="黑体" w:eastAsia="黑体"/>
          <w:snapToGrid w:val="0"/>
          <w:sz w:val="36"/>
          <w:szCs w:val="36"/>
        </w:rPr>
        <w:br w:type="page"/>
      </w:r>
      <w:r>
        <w:rPr>
          <w:rFonts w:hint="eastAsia" w:ascii="黑体" w:hAnsi="黑体" w:eastAsia="黑体"/>
          <w:snapToGrid w:val="0"/>
          <w:sz w:val="30"/>
          <w:szCs w:val="30"/>
        </w:rPr>
        <w:t>四、主要环境影响和保护措施</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7"/>
        <w:gridCol w:w="83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51" w:hRule="atLeast"/>
          <w:jc w:val="center"/>
        </w:trPr>
        <w:tc>
          <w:tcPr>
            <w:tcW w:w="737" w:type="dxa"/>
            <w:noWrap w:val="0"/>
            <w:tcMar>
              <w:left w:w="28" w:type="dxa"/>
              <w:right w:w="28" w:type="dxa"/>
            </w:tcMar>
            <w:vAlign w:val="center"/>
          </w:tcPr>
          <w:p>
            <w:pPr>
              <w:pStyle w:val="18"/>
              <w:adjustRightInd w:val="0"/>
              <w:snapToGrid w:val="0"/>
              <w:spacing w:before="0" w:beforeAutospacing="0" w:after="0" w:afterAutospacing="0"/>
              <w:jc w:val="center"/>
              <w:rPr>
                <w:rFonts w:hint="eastAsia" w:cs="宋体"/>
                <w:kern w:val="2"/>
                <w:sz w:val="24"/>
                <w:szCs w:val="24"/>
              </w:rPr>
            </w:pPr>
            <w:r>
              <w:rPr>
                <w:rFonts w:hint="eastAsia" w:cs="宋体"/>
                <w:kern w:val="2"/>
                <w:sz w:val="24"/>
                <w:szCs w:val="24"/>
              </w:rPr>
              <w:t>施工</w:t>
            </w:r>
          </w:p>
          <w:p>
            <w:pPr>
              <w:pStyle w:val="18"/>
              <w:adjustRightInd w:val="0"/>
              <w:snapToGrid w:val="0"/>
              <w:spacing w:before="0" w:beforeAutospacing="0" w:after="0" w:afterAutospacing="0"/>
              <w:jc w:val="center"/>
              <w:rPr>
                <w:rFonts w:hint="eastAsia" w:cs="宋体"/>
                <w:kern w:val="2"/>
                <w:sz w:val="24"/>
                <w:szCs w:val="24"/>
              </w:rPr>
            </w:pPr>
            <w:r>
              <w:rPr>
                <w:rFonts w:hint="eastAsia" w:cs="宋体"/>
                <w:kern w:val="2"/>
                <w:sz w:val="24"/>
                <w:szCs w:val="24"/>
              </w:rPr>
              <w:t>期环</w:t>
            </w:r>
          </w:p>
          <w:p>
            <w:pPr>
              <w:pStyle w:val="18"/>
              <w:adjustRightInd w:val="0"/>
              <w:snapToGrid w:val="0"/>
              <w:spacing w:before="0" w:beforeAutospacing="0" w:after="0" w:afterAutospacing="0"/>
              <w:jc w:val="center"/>
              <w:rPr>
                <w:rFonts w:hint="eastAsia" w:cs="宋体"/>
                <w:kern w:val="2"/>
                <w:sz w:val="24"/>
                <w:szCs w:val="24"/>
              </w:rPr>
            </w:pPr>
            <w:r>
              <w:rPr>
                <w:rFonts w:hint="eastAsia" w:cs="宋体"/>
                <w:kern w:val="2"/>
                <w:sz w:val="24"/>
                <w:szCs w:val="24"/>
              </w:rPr>
              <w:t>境保</w:t>
            </w:r>
          </w:p>
          <w:p>
            <w:pPr>
              <w:pStyle w:val="18"/>
              <w:adjustRightInd w:val="0"/>
              <w:snapToGrid w:val="0"/>
              <w:spacing w:before="0" w:beforeAutospacing="0" w:after="0" w:afterAutospacing="0"/>
              <w:jc w:val="center"/>
              <w:rPr>
                <w:rFonts w:hint="eastAsia" w:cs="宋体"/>
                <w:kern w:val="2"/>
                <w:sz w:val="24"/>
                <w:szCs w:val="24"/>
              </w:rPr>
            </w:pPr>
            <w:r>
              <w:rPr>
                <w:rFonts w:hint="eastAsia" w:cs="宋体"/>
                <w:kern w:val="2"/>
                <w:sz w:val="24"/>
                <w:szCs w:val="24"/>
              </w:rPr>
              <w:t>护措</w:t>
            </w:r>
          </w:p>
          <w:p>
            <w:pPr>
              <w:pStyle w:val="18"/>
              <w:adjustRightInd w:val="0"/>
              <w:snapToGrid w:val="0"/>
              <w:spacing w:before="0" w:beforeAutospacing="0" w:after="0" w:afterAutospacing="0"/>
              <w:jc w:val="center"/>
              <w:rPr>
                <w:rFonts w:hint="eastAsia" w:cs="宋体"/>
                <w:bCs/>
                <w:kern w:val="2"/>
                <w:sz w:val="21"/>
                <w:szCs w:val="21"/>
              </w:rPr>
            </w:pPr>
            <w:r>
              <w:rPr>
                <w:rFonts w:hint="eastAsia" w:cs="宋体"/>
                <w:kern w:val="2"/>
                <w:sz w:val="24"/>
                <w:szCs w:val="24"/>
              </w:rPr>
              <w:t>施</w:t>
            </w:r>
          </w:p>
        </w:tc>
        <w:tc>
          <w:tcPr>
            <w:tcW w:w="8334" w:type="dxa"/>
            <w:noWrap w:val="0"/>
            <w:vAlign w:val="center"/>
          </w:tcPr>
          <w:p>
            <w:pPr>
              <w:pStyle w:val="36"/>
              <w:numPr>
                <w:ilvl w:val="0"/>
                <w:numId w:val="0"/>
              </w:numPr>
              <w:bidi w:val="0"/>
              <w:ind w:firstLine="480" w:firstLineChars="200"/>
              <w:rPr>
                <w:rFonts w:hint="eastAsia" w:cs="Times New Roman"/>
                <w:color w:val="FF0000"/>
                <w:u w:val="single"/>
                <w:lang w:val="en-US" w:eastAsia="zh-CN"/>
              </w:rPr>
            </w:pPr>
            <w:r>
              <w:rPr>
                <w:rFonts w:hint="eastAsia" w:cs="Times New Roman"/>
                <w:color w:val="FF0000"/>
                <w:u w:val="single"/>
                <w:lang w:val="en-US" w:eastAsia="zh-CN"/>
              </w:rPr>
              <w:t>本项目为改扩建项目。本项目需进行原有纯水处理区设备的拆除、地面平台建设、生产设备及环保工程安装。主要工程流程如下图4-1所示。</w:t>
            </w:r>
          </w:p>
          <w:p>
            <w:pPr>
              <w:rPr>
                <w:rFonts w:hint="eastAsia"/>
                <w:lang w:val="en-US" w:eastAsia="zh-CN"/>
              </w:rPr>
            </w:pPr>
            <w:r>
              <w:rPr>
                <w:rFonts w:hint="eastAsia"/>
                <w:lang w:val="en-US" w:eastAsia="zh-CN"/>
              </w:rPr>
              <w:drawing>
                <wp:inline distT="0" distB="0" distL="114300" distR="114300">
                  <wp:extent cx="5029200" cy="2305050"/>
                  <wp:effectExtent l="0" t="0" r="0" b="0"/>
                  <wp:docPr id="14" name="图片 14" descr="C:\Users\Administrator\Pictures\恒光科技\0919.png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Pictures\恒光科技\0919.png0919"/>
                          <pic:cNvPicPr>
                            <a:picLocks noChangeAspect="1"/>
                          </pic:cNvPicPr>
                        </pic:nvPicPr>
                        <pic:blipFill>
                          <a:blip r:embed="rId15"/>
                          <a:srcRect/>
                          <a:stretch>
                            <a:fillRect/>
                          </a:stretch>
                        </pic:blipFill>
                        <pic:spPr>
                          <a:xfrm>
                            <a:off x="0" y="0"/>
                            <a:ext cx="5029200" cy="2305050"/>
                          </a:xfrm>
                          <a:prstGeom prst="rect">
                            <a:avLst/>
                          </a:prstGeom>
                        </pic:spPr>
                      </pic:pic>
                    </a:graphicData>
                  </a:graphic>
                </wp:inline>
              </w:drawing>
            </w:r>
          </w:p>
          <w:p>
            <w:pPr>
              <w:pStyle w:val="32"/>
              <w:bidi w:val="0"/>
              <w:rPr>
                <w:rFonts w:hint="eastAsia"/>
                <w:lang w:val="en-US" w:eastAsia="zh-CN"/>
              </w:rPr>
            </w:pPr>
            <w:r>
              <w:rPr>
                <w:rFonts w:hint="eastAsia"/>
                <w:lang w:val="en-US" w:eastAsia="zh-CN"/>
              </w:rPr>
              <w:t>图4-1   项目施工工艺流程及产污环节</w:t>
            </w:r>
          </w:p>
          <w:p>
            <w:pPr>
              <w:pStyle w:val="36"/>
              <w:bidi w:val="0"/>
              <w:rPr>
                <w:rFonts w:hint="default" w:eastAsia="宋体"/>
                <w:b/>
                <w:bCs/>
                <w:color w:val="auto"/>
                <w:u w:val="single"/>
                <w:lang w:val="en-US" w:eastAsia="zh-CN"/>
              </w:rPr>
            </w:pPr>
            <w:r>
              <w:rPr>
                <w:rFonts w:hint="eastAsia"/>
                <w:b/>
                <w:bCs/>
                <w:color w:val="auto"/>
                <w:u w:val="single"/>
              </w:rPr>
              <w:t>一、</w:t>
            </w:r>
            <w:r>
              <w:rPr>
                <w:b/>
                <w:bCs/>
                <w:color w:val="auto"/>
                <w:u w:val="single"/>
              </w:rPr>
              <w:t>施工期大气</w:t>
            </w:r>
            <w:r>
              <w:rPr>
                <w:rFonts w:hint="eastAsia"/>
                <w:b/>
                <w:bCs/>
                <w:color w:val="auto"/>
                <w:u w:val="single"/>
                <w:lang w:val="en-US" w:eastAsia="zh-CN"/>
              </w:rPr>
              <w:t>污染防治措施</w:t>
            </w:r>
          </w:p>
          <w:p>
            <w:pPr>
              <w:pStyle w:val="36"/>
              <w:ind w:firstLine="480"/>
              <w:rPr>
                <w:color w:val="auto"/>
                <w:kern w:val="2"/>
                <w:szCs w:val="24"/>
                <w:u w:val="single"/>
                <w:lang w:val="en-US" w:eastAsia="zh-CN"/>
              </w:rPr>
            </w:pPr>
            <w:r>
              <w:rPr>
                <w:color w:val="auto"/>
                <w:kern w:val="2"/>
                <w:szCs w:val="24"/>
                <w:u w:val="single"/>
                <w:lang w:val="en-US" w:eastAsia="zh-CN"/>
              </w:rPr>
              <w:t>施工期的大气污染物主要有施工扬尘，汽车尾气和燃油机械废气。</w:t>
            </w:r>
          </w:p>
          <w:p>
            <w:pPr>
              <w:pStyle w:val="36"/>
              <w:ind w:firstLine="480"/>
              <w:rPr>
                <w:color w:val="auto"/>
                <w:kern w:val="2"/>
                <w:szCs w:val="24"/>
                <w:u w:val="single"/>
                <w:lang w:val="en-US" w:eastAsia="zh-CN"/>
              </w:rPr>
            </w:pPr>
            <w:r>
              <w:rPr>
                <w:color w:val="auto"/>
                <w:kern w:val="2"/>
                <w:szCs w:val="24"/>
                <w:u w:val="single"/>
                <w:lang w:val="en-US" w:eastAsia="zh-CN"/>
              </w:rPr>
              <w:t>废气污染控制措施</w:t>
            </w:r>
            <w:r>
              <w:rPr>
                <w:rFonts w:hint="eastAsia"/>
                <w:color w:val="auto"/>
                <w:kern w:val="2"/>
                <w:szCs w:val="24"/>
                <w:u w:val="single"/>
                <w:lang w:val="en-US" w:eastAsia="zh-CN"/>
              </w:rPr>
              <w:t>如下：</w:t>
            </w:r>
          </w:p>
          <w:p>
            <w:pPr>
              <w:pStyle w:val="36"/>
              <w:ind w:firstLine="480"/>
              <w:rPr>
                <w:color w:val="auto"/>
                <w:kern w:val="2"/>
                <w:szCs w:val="24"/>
                <w:u w:val="single"/>
                <w:lang w:val="en-US" w:eastAsia="zh-CN"/>
              </w:rPr>
            </w:pPr>
            <w:r>
              <w:rPr>
                <w:color w:val="auto"/>
                <w:kern w:val="2"/>
                <w:szCs w:val="24"/>
                <w:u w:val="single"/>
                <w:lang w:val="en-US" w:eastAsia="zh-CN"/>
              </w:rPr>
              <w:t>①定期在施工现场地面和道路上洒水，以减少施工扬尘的产生。</w:t>
            </w:r>
          </w:p>
          <w:p>
            <w:pPr>
              <w:pStyle w:val="36"/>
              <w:ind w:firstLine="480"/>
              <w:rPr>
                <w:color w:val="auto"/>
                <w:kern w:val="2"/>
                <w:szCs w:val="24"/>
                <w:u w:val="single"/>
                <w:lang w:val="en-US" w:eastAsia="zh-CN"/>
              </w:rPr>
            </w:pPr>
            <w:r>
              <w:rPr>
                <w:color w:val="auto"/>
                <w:kern w:val="2"/>
                <w:szCs w:val="24"/>
                <w:u w:val="single"/>
                <w:lang w:val="en-US" w:eastAsia="zh-CN"/>
              </w:rPr>
              <w:t>②施工工地周围设围墙，高度不低于2.5m，围墙在三通一平前完成。</w:t>
            </w:r>
          </w:p>
          <w:p>
            <w:pPr>
              <w:pStyle w:val="36"/>
              <w:bidi w:val="0"/>
              <w:rPr>
                <w:b/>
                <w:bCs/>
                <w:color w:val="auto"/>
                <w:u w:val="single"/>
              </w:rPr>
            </w:pPr>
            <w:r>
              <w:rPr>
                <w:rFonts w:hint="eastAsia"/>
                <w:b/>
                <w:bCs/>
                <w:color w:val="auto"/>
                <w:u w:val="single"/>
              </w:rPr>
              <w:t>二、</w:t>
            </w:r>
            <w:r>
              <w:rPr>
                <w:b/>
                <w:bCs/>
                <w:color w:val="auto"/>
                <w:u w:val="single"/>
              </w:rPr>
              <w:t>施工期水环境</w:t>
            </w:r>
            <w:r>
              <w:rPr>
                <w:rFonts w:hint="eastAsia"/>
                <w:b/>
                <w:bCs/>
                <w:color w:val="auto"/>
                <w:u w:val="single"/>
                <w:lang w:val="en-US" w:eastAsia="zh-CN"/>
              </w:rPr>
              <w:t>污染防治措施</w:t>
            </w:r>
          </w:p>
          <w:p>
            <w:pPr>
              <w:pStyle w:val="36"/>
              <w:ind w:firstLine="480"/>
              <w:rPr>
                <w:color w:val="auto"/>
                <w:kern w:val="2"/>
                <w:szCs w:val="24"/>
                <w:u w:val="single"/>
                <w:lang w:val="en-US" w:eastAsia="zh-CN"/>
              </w:rPr>
            </w:pPr>
            <w:r>
              <w:rPr>
                <w:color w:val="auto"/>
                <w:kern w:val="2"/>
                <w:szCs w:val="24"/>
                <w:u w:val="single"/>
                <w:lang w:val="en-US" w:eastAsia="zh-CN"/>
              </w:rPr>
              <w:t>施工期水环境影响主要来自施工过程中产生的施工废水和施工人员的生活污水。</w:t>
            </w:r>
          </w:p>
          <w:p>
            <w:pPr>
              <w:pStyle w:val="36"/>
              <w:ind w:firstLine="480"/>
              <w:rPr>
                <w:color w:val="auto"/>
                <w:kern w:val="2"/>
                <w:szCs w:val="24"/>
                <w:u w:val="single"/>
                <w:lang w:val="en-US" w:eastAsia="zh-CN"/>
              </w:rPr>
            </w:pPr>
            <w:r>
              <w:rPr>
                <w:color w:val="auto"/>
                <w:kern w:val="2"/>
                <w:szCs w:val="24"/>
                <w:u w:val="single"/>
                <w:lang w:val="en-US" w:eastAsia="zh-CN"/>
              </w:rPr>
              <w:t>施工废水主要有混凝土养护水，运输车辆冲洗废水等</w:t>
            </w:r>
            <w:r>
              <w:rPr>
                <w:rFonts w:hint="eastAsia"/>
                <w:color w:val="auto"/>
                <w:kern w:val="2"/>
                <w:szCs w:val="24"/>
                <w:u w:val="single"/>
                <w:lang w:val="en-US" w:eastAsia="zh-CN"/>
              </w:rPr>
              <w:t>。</w:t>
            </w:r>
          </w:p>
          <w:p>
            <w:pPr>
              <w:pStyle w:val="36"/>
              <w:ind w:firstLine="480"/>
              <w:rPr>
                <w:color w:val="auto"/>
                <w:kern w:val="2"/>
                <w:szCs w:val="24"/>
                <w:u w:val="single"/>
                <w:lang w:val="en-US" w:eastAsia="zh-CN"/>
              </w:rPr>
            </w:pPr>
            <w:r>
              <w:rPr>
                <w:color w:val="auto"/>
                <w:kern w:val="2"/>
                <w:szCs w:val="24"/>
                <w:u w:val="single"/>
                <w:lang w:val="en-US" w:eastAsia="zh-CN"/>
              </w:rPr>
              <w:t>施工人员生活污水产生于施工人员生活过程中，污水中主要含SS、CODcr、BOD</w:t>
            </w:r>
            <w:r>
              <w:rPr>
                <w:color w:val="auto"/>
                <w:kern w:val="2"/>
                <w:szCs w:val="24"/>
                <w:u w:val="single"/>
                <w:vertAlign w:val="subscript"/>
                <w:lang w:val="en-US" w:eastAsia="zh-CN"/>
              </w:rPr>
              <w:t>5</w:t>
            </w:r>
            <w:r>
              <w:rPr>
                <w:color w:val="auto"/>
                <w:kern w:val="2"/>
                <w:szCs w:val="24"/>
                <w:u w:val="single"/>
                <w:lang w:val="en-US" w:eastAsia="zh-CN"/>
              </w:rPr>
              <w:t>、NH</w:t>
            </w:r>
            <w:r>
              <w:rPr>
                <w:color w:val="auto"/>
                <w:kern w:val="2"/>
                <w:szCs w:val="24"/>
                <w:u w:val="single"/>
                <w:vertAlign w:val="subscript"/>
                <w:lang w:val="en-US" w:eastAsia="zh-CN"/>
              </w:rPr>
              <w:t>3</w:t>
            </w:r>
            <w:r>
              <w:rPr>
                <w:color w:val="auto"/>
                <w:kern w:val="2"/>
                <w:szCs w:val="24"/>
                <w:u w:val="single"/>
                <w:lang w:val="en-US" w:eastAsia="zh-CN"/>
              </w:rPr>
              <w:t>-N等，生活污水</w:t>
            </w:r>
            <w:r>
              <w:rPr>
                <w:rFonts w:hint="eastAsia"/>
                <w:color w:val="auto"/>
                <w:kern w:val="2"/>
                <w:szCs w:val="24"/>
                <w:u w:val="single"/>
                <w:lang w:val="en-US" w:eastAsia="zh-CN"/>
              </w:rPr>
              <w:t>经化粪池处理后排入洪江高新区污水处理厂</w:t>
            </w:r>
            <w:r>
              <w:rPr>
                <w:color w:val="auto"/>
                <w:kern w:val="2"/>
                <w:szCs w:val="24"/>
                <w:u w:val="single"/>
                <w:lang w:val="en-US" w:eastAsia="zh-CN"/>
              </w:rPr>
              <w:t>。</w:t>
            </w:r>
          </w:p>
          <w:p>
            <w:pPr>
              <w:pStyle w:val="36"/>
              <w:ind w:firstLine="480"/>
              <w:rPr>
                <w:rFonts w:hint="eastAsia"/>
                <w:color w:val="auto"/>
                <w:kern w:val="2"/>
                <w:szCs w:val="24"/>
                <w:u w:val="single"/>
                <w:lang w:val="en-US" w:eastAsia="zh-CN"/>
              </w:rPr>
            </w:pPr>
            <w:r>
              <w:rPr>
                <w:color w:val="auto"/>
                <w:kern w:val="2"/>
                <w:szCs w:val="24"/>
                <w:u w:val="single"/>
                <w:lang w:val="en-US" w:eastAsia="zh-CN"/>
              </w:rPr>
              <w:t>水污染控制措施</w:t>
            </w:r>
            <w:r>
              <w:rPr>
                <w:rFonts w:hint="eastAsia"/>
                <w:color w:val="auto"/>
                <w:kern w:val="2"/>
                <w:szCs w:val="24"/>
                <w:u w:val="single"/>
                <w:lang w:val="en-US" w:eastAsia="zh-CN"/>
              </w:rPr>
              <w:t>：</w:t>
            </w:r>
          </w:p>
          <w:p>
            <w:pPr>
              <w:pStyle w:val="36"/>
              <w:ind w:firstLine="480"/>
              <w:rPr>
                <w:color w:val="auto"/>
                <w:kern w:val="2"/>
                <w:szCs w:val="24"/>
                <w:u w:val="single"/>
                <w:lang w:val="en-US" w:eastAsia="zh-CN"/>
              </w:rPr>
            </w:pPr>
            <w:r>
              <w:rPr>
                <w:color w:val="auto"/>
                <w:kern w:val="2"/>
                <w:szCs w:val="24"/>
                <w:u w:val="single"/>
                <w:lang w:val="en-US" w:eastAsia="zh-CN"/>
              </w:rPr>
              <w:t>①施工现场应设置完善的配套排水系统、泥浆沉淀设施，出施工场地的运输车辆经过冲洗后方可上路，冲洗废水经过沉淀处理后回用作为洗车水。</w:t>
            </w:r>
          </w:p>
          <w:p>
            <w:pPr>
              <w:pStyle w:val="36"/>
              <w:ind w:firstLine="480"/>
              <w:rPr>
                <w:color w:val="auto"/>
                <w:kern w:val="2"/>
                <w:szCs w:val="24"/>
                <w:u w:val="single"/>
                <w:lang w:val="en-US" w:eastAsia="zh-CN"/>
              </w:rPr>
            </w:pPr>
            <w:r>
              <w:rPr>
                <w:color w:val="auto"/>
                <w:kern w:val="2"/>
                <w:szCs w:val="24"/>
                <w:u w:val="single"/>
                <w:lang w:val="en-US" w:eastAsia="zh-CN"/>
              </w:rPr>
              <w:t>②做好建筑材料和施工废渣的管理和回收，特别是含有油污的物体，不能露天存放，应用废油桶收集起来，集中保管，定期送有关单位进行处理回收</w:t>
            </w:r>
            <w:r>
              <w:rPr>
                <w:rFonts w:hint="eastAsia"/>
                <w:color w:val="auto"/>
                <w:kern w:val="2"/>
                <w:szCs w:val="24"/>
                <w:u w:val="single"/>
                <w:lang w:val="en-US" w:eastAsia="zh-CN"/>
              </w:rPr>
              <w:t>。</w:t>
            </w:r>
          </w:p>
          <w:p>
            <w:pPr>
              <w:pStyle w:val="36"/>
              <w:bidi w:val="0"/>
              <w:rPr>
                <w:b/>
                <w:bCs/>
                <w:color w:val="auto"/>
                <w:u w:val="single"/>
              </w:rPr>
            </w:pPr>
            <w:r>
              <w:rPr>
                <w:rFonts w:hint="eastAsia"/>
                <w:b/>
                <w:bCs/>
                <w:color w:val="auto"/>
                <w:u w:val="single"/>
              </w:rPr>
              <w:t>三、</w:t>
            </w:r>
            <w:r>
              <w:rPr>
                <w:b/>
                <w:bCs/>
                <w:color w:val="auto"/>
                <w:u w:val="single"/>
              </w:rPr>
              <w:t>施工期噪声</w:t>
            </w:r>
            <w:r>
              <w:rPr>
                <w:rFonts w:hint="eastAsia"/>
                <w:b/>
                <w:bCs/>
                <w:color w:val="auto"/>
                <w:u w:val="single"/>
                <w:lang w:val="en-US" w:eastAsia="zh-CN"/>
              </w:rPr>
              <w:t>污染防治措施</w:t>
            </w:r>
          </w:p>
          <w:p>
            <w:pPr>
              <w:pStyle w:val="36"/>
              <w:ind w:firstLine="480"/>
              <w:rPr>
                <w:color w:val="auto"/>
                <w:kern w:val="2"/>
                <w:szCs w:val="24"/>
                <w:u w:val="single"/>
                <w:lang w:val="en-US" w:eastAsia="zh-CN"/>
              </w:rPr>
            </w:pPr>
            <w:r>
              <w:rPr>
                <w:color w:val="auto"/>
                <w:kern w:val="2"/>
                <w:szCs w:val="24"/>
                <w:u w:val="single"/>
                <w:lang w:val="en-US" w:eastAsia="zh-CN"/>
              </w:rPr>
              <w:t>施工期对声环境的影响主要来自施工机械噪声，其次是交通噪声和人为噪声。</w:t>
            </w:r>
          </w:p>
          <w:p>
            <w:pPr>
              <w:pStyle w:val="36"/>
              <w:bidi w:val="0"/>
              <w:rPr>
                <w:rFonts w:hint="eastAsia"/>
                <w:color w:val="auto"/>
                <w:u w:val="single"/>
              </w:rPr>
            </w:pPr>
            <w:r>
              <w:rPr>
                <w:color w:val="auto"/>
                <w:u w:val="single"/>
              </w:rPr>
              <w:t>噪声污染控制措施</w:t>
            </w:r>
            <w:r>
              <w:rPr>
                <w:rFonts w:hint="eastAsia"/>
                <w:color w:val="auto"/>
                <w:u w:val="single"/>
              </w:rPr>
              <w:t>：</w:t>
            </w:r>
          </w:p>
          <w:p>
            <w:pPr>
              <w:pStyle w:val="36"/>
              <w:ind w:firstLine="480"/>
              <w:rPr>
                <w:color w:val="auto"/>
                <w:kern w:val="2"/>
                <w:szCs w:val="24"/>
                <w:u w:val="single"/>
                <w:lang w:val="en-US" w:eastAsia="zh-CN"/>
              </w:rPr>
            </w:pPr>
            <w:r>
              <w:rPr>
                <w:color w:val="auto"/>
                <w:kern w:val="2"/>
                <w:szCs w:val="24"/>
                <w:u w:val="single"/>
                <w:lang w:val="en-US" w:eastAsia="zh-CN"/>
              </w:rPr>
              <w:t>①选用低噪声施工设备，如以液压机械代替燃油机械，低频振捣器代替高频振捣器等。对动力机械设备应进行定期的维修、养护。</w:t>
            </w:r>
          </w:p>
          <w:p>
            <w:pPr>
              <w:pStyle w:val="36"/>
              <w:bidi w:val="0"/>
              <w:rPr>
                <w:color w:val="auto"/>
                <w:u w:val="single"/>
                <w:lang w:val="en-US" w:eastAsia="zh-CN"/>
              </w:rPr>
            </w:pPr>
            <w:r>
              <w:rPr>
                <w:color w:val="auto"/>
                <w:kern w:val="2"/>
                <w:szCs w:val="24"/>
                <w:u w:val="single"/>
                <w:lang w:val="en-US" w:eastAsia="zh-CN"/>
              </w:rPr>
              <w:t>②合理安排施工作业，尽量避免多台强噪声施工机械在同一地点同时施工</w:t>
            </w:r>
            <w:r>
              <w:rPr>
                <w:color w:val="auto"/>
                <w:u w:val="single"/>
                <w:lang w:val="en-US" w:eastAsia="zh-CN"/>
              </w:rPr>
              <w:t>。</w:t>
            </w:r>
          </w:p>
          <w:p>
            <w:pPr>
              <w:pStyle w:val="36"/>
              <w:bidi w:val="0"/>
              <w:rPr>
                <w:b/>
                <w:bCs/>
                <w:color w:val="auto"/>
                <w:u w:val="single"/>
              </w:rPr>
            </w:pPr>
            <w:r>
              <w:rPr>
                <w:rFonts w:hint="eastAsia"/>
                <w:b/>
                <w:bCs/>
                <w:color w:val="auto"/>
                <w:u w:val="single"/>
              </w:rPr>
              <w:t>四、</w:t>
            </w:r>
            <w:r>
              <w:rPr>
                <w:b/>
                <w:bCs/>
                <w:color w:val="auto"/>
                <w:u w:val="single"/>
              </w:rPr>
              <w:t>施工期固体废物</w:t>
            </w:r>
            <w:r>
              <w:rPr>
                <w:rFonts w:hint="eastAsia"/>
                <w:b/>
                <w:bCs/>
                <w:color w:val="auto"/>
                <w:u w:val="single"/>
                <w:lang w:val="en-US" w:eastAsia="zh-CN"/>
              </w:rPr>
              <w:t>污染防治措施</w:t>
            </w:r>
          </w:p>
          <w:p>
            <w:pPr>
              <w:pStyle w:val="36"/>
              <w:ind w:firstLine="480"/>
              <w:rPr>
                <w:color w:val="auto"/>
                <w:kern w:val="2"/>
                <w:szCs w:val="24"/>
                <w:u w:val="single"/>
                <w:lang w:val="en-US" w:eastAsia="zh-CN"/>
              </w:rPr>
            </w:pPr>
            <w:r>
              <w:rPr>
                <w:color w:val="auto"/>
                <w:kern w:val="2"/>
                <w:szCs w:val="24"/>
                <w:u w:val="single"/>
                <w:lang w:val="en-US" w:eastAsia="zh-CN"/>
              </w:rPr>
              <w:t>施工期产生的固体废物主要为建筑物建设过程产生建筑垃圾以及少量施工人员生活垃圾等。</w:t>
            </w:r>
          </w:p>
          <w:p>
            <w:pPr>
              <w:pStyle w:val="36"/>
              <w:ind w:firstLine="480"/>
              <w:rPr>
                <w:rFonts w:hint="eastAsia"/>
                <w:color w:val="auto"/>
                <w:kern w:val="2"/>
                <w:szCs w:val="24"/>
                <w:u w:val="single"/>
                <w:lang w:val="en-US" w:eastAsia="zh-CN"/>
              </w:rPr>
            </w:pPr>
            <w:r>
              <w:rPr>
                <w:color w:val="auto"/>
                <w:kern w:val="2"/>
                <w:szCs w:val="24"/>
                <w:u w:val="single"/>
                <w:lang w:val="en-US" w:eastAsia="zh-CN"/>
              </w:rPr>
              <w:t>固体废物污染防治措施</w:t>
            </w:r>
            <w:r>
              <w:rPr>
                <w:rFonts w:hint="eastAsia"/>
                <w:color w:val="auto"/>
                <w:kern w:val="2"/>
                <w:szCs w:val="24"/>
                <w:u w:val="single"/>
                <w:lang w:val="en-US" w:eastAsia="zh-CN"/>
              </w:rPr>
              <w:t>：</w:t>
            </w:r>
          </w:p>
          <w:p>
            <w:pPr>
              <w:pStyle w:val="36"/>
              <w:ind w:firstLine="480"/>
              <w:rPr>
                <w:color w:val="FF0000"/>
                <w:kern w:val="2"/>
                <w:szCs w:val="24"/>
                <w:u w:val="single"/>
                <w:lang w:val="en-US" w:eastAsia="zh-CN"/>
              </w:rPr>
            </w:pPr>
            <w:r>
              <w:rPr>
                <w:color w:val="FF0000"/>
                <w:kern w:val="2"/>
                <w:szCs w:val="24"/>
                <w:u w:val="single"/>
                <w:lang w:val="en-US" w:eastAsia="zh-CN"/>
              </w:rPr>
              <w:t>①在施工过程中施工弃渣均要求集中堆置于临时弃渣场或用于地基填筑</w:t>
            </w:r>
            <w:r>
              <w:rPr>
                <w:rFonts w:hint="eastAsia"/>
                <w:color w:val="FF0000"/>
                <w:kern w:val="2"/>
                <w:szCs w:val="24"/>
                <w:u w:val="single"/>
                <w:lang w:val="en-US" w:eastAsia="zh-CN"/>
              </w:rPr>
              <w:t>。拆除的旧设备交由回收公司处置</w:t>
            </w:r>
            <w:r>
              <w:rPr>
                <w:color w:val="FF0000"/>
                <w:kern w:val="2"/>
                <w:szCs w:val="24"/>
                <w:u w:val="single"/>
                <w:lang w:val="en-US" w:eastAsia="zh-CN"/>
              </w:rPr>
              <w:t>；</w:t>
            </w:r>
          </w:p>
          <w:p>
            <w:pPr>
              <w:pStyle w:val="36"/>
              <w:ind w:firstLine="480"/>
              <w:rPr>
                <w:color w:val="auto"/>
                <w:kern w:val="2"/>
                <w:szCs w:val="24"/>
                <w:u w:val="single"/>
                <w:lang w:val="en-US" w:eastAsia="zh-CN"/>
              </w:rPr>
            </w:pPr>
            <w:r>
              <w:rPr>
                <w:color w:val="auto"/>
                <w:kern w:val="2"/>
                <w:szCs w:val="24"/>
                <w:u w:val="single"/>
                <w:lang w:val="en-US" w:eastAsia="zh-CN"/>
              </w:rPr>
              <w:t>②在施工中应做到规范施工，文明施工，规范运输，施工场地应保持整洁卫生，渣土、弃土要及时清理，及时运走；</w:t>
            </w:r>
          </w:p>
          <w:p>
            <w:pPr>
              <w:pStyle w:val="36"/>
              <w:ind w:firstLine="480"/>
              <w:rPr>
                <w:color w:val="auto"/>
                <w:kern w:val="2"/>
                <w:szCs w:val="24"/>
                <w:u w:val="single"/>
                <w:lang w:val="en-US" w:eastAsia="zh-CN"/>
              </w:rPr>
            </w:pPr>
            <w:r>
              <w:rPr>
                <w:color w:val="auto"/>
                <w:kern w:val="2"/>
                <w:szCs w:val="24"/>
                <w:u w:val="single"/>
                <w:lang w:val="en-US" w:eastAsia="zh-CN"/>
              </w:rPr>
              <w:t>③对建筑垃圾临时堆放场应采取覆盖措施，避免产生水土流失。</w:t>
            </w:r>
          </w:p>
          <w:p>
            <w:pPr>
              <w:pStyle w:val="36"/>
              <w:bidi w:val="0"/>
              <w:rPr>
                <w:b/>
                <w:bCs/>
                <w:color w:val="auto"/>
                <w:u w:val="single"/>
              </w:rPr>
            </w:pPr>
            <w:r>
              <w:rPr>
                <w:rFonts w:hint="eastAsia"/>
                <w:b/>
                <w:bCs/>
                <w:color w:val="auto"/>
                <w:u w:val="single"/>
              </w:rPr>
              <w:t>五、</w:t>
            </w:r>
            <w:r>
              <w:rPr>
                <w:b/>
                <w:bCs/>
                <w:color w:val="auto"/>
                <w:u w:val="single"/>
              </w:rPr>
              <w:t>施工期生态影响</w:t>
            </w:r>
            <w:r>
              <w:rPr>
                <w:rFonts w:hint="eastAsia"/>
                <w:b/>
                <w:bCs/>
                <w:color w:val="auto"/>
                <w:u w:val="single"/>
                <w:lang w:val="en-US" w:eastAsia="zh-CN"/>
              </w:rPr>
              <w:t>防治措施</w:t>
            </w:r>
          </w:p>
          <w:p>
            <w:pPr>
              <w:pStyle w:val="36"/>
              <w:bidi w:val="0"/>
              <w:rPr>
                <w:color w:val="auto"/>
                <w:u w:val="single"/>
                <w:lang w:val="en-US" w:eastAsia="zh-CN"/>
              </w:rPr>
            </w:pPr>
            <w:r>
              <w:rPr>
                <w:color w:val="auto"/>
                <w:u w:val="single"/>
                <w:lang w:val="en-US" w:eastAsia="zh-CN"/>
              </w:rPr>
              <w:t>（1）生态环境影响</w:t>
            </w:r>
          </w:p>
          <w:p>
            <w:pPr>
              <w:pStyle w:val="36"/>
              <w:ind w:firstLine="480"/>
              <w:rPr>
                <w:color w:val="auto"/>
                <w:kern w:val="2"/>
                <w:szCs w:val="24"/>
                <w:u w:val="single"/>
                <w:lang w:val="en-US" w:eastAsia="zh-CN"/>
              </w:rPr>
            </w:pPr>
            <w:r>
              <w:rPr>
                <w:color w:val="auto"/>
                <w:kern w:val="2"/>
                <w:szCs w:val="24"/>
                <w:u w:val="single"/>
                <w:lang w:val="en-US" w:eastAsia="zh-CN"/>
              </w:rPr>
              <w:t>据现场调查，</w:t>
            </w:r>
            <w:r>
              <w:rPr>
                <w:color w:val="auto"/>
                <w:u w:val="single"/>
              </w:rPr>
              <w:t>项目</w:t>
            </w:r>
            <w:r>
              <w:rPr>
                <w:rFonts w:hint="eastAsia"/>
                <w:color w:val="auto"/>
                <w:u w:val="single"/>
                <w:lang w:eastAsia="zh-CN"/>
              </w:rPr>
              <w:t>位于</w:t>
            </w:r>
            <w:r>
              <w:rPr>
                <w:rFonts w:ascii="宋体" w:hAnsi="宋体" w:eastAsia="宋体" w:cs="宋体"/>
                <w:sz w:val="24"/>
                <w:szCs w:val="24"/>
                <w:u w:val="single"/>
              </w:rPr>
              <w:t>湖南省怀化市洪江区岩门01号</w:t>
            </w:r>
            <w:r>
              <w:rPr>
                <w:rFonts w:hint="eastAsia"/>
                <w:color w:val="auto"/>
                <w:u w:val="single"/>
              </w:rPr>
              <w:t>，</w:t>
            </w:r>
            <w:r>
              <w:rPr>
                <w:rFonts w:hint="eastAsia"/>
                <w:color w:val="auto"/>
                <w:highlight w:val="none"/>
                <w:u w:val="single"/>
                <w:lang w:eastAsia="zh-CN"/>
              </w:rPr>
              <w:t>项目所在地为</w:t>
            </w:r>
            <w:r>
              <w:rPr>
                <w:rFonts w:hint="eastAsia"/>
                <w:color w:val="auto"/>
                <w:highlight w:val="none"/>
                <w:u w:val="single"/>
                <w:lang w:val="en-US" w:eastAsia="zh-CN"/>
              </w:rPr>
              <w:t>厂区内空</w:t>
            </w:r>
            <w:r>
              <w:rPr>
                <w:rFonts w:hint="eastAsia"/>
                <w:color w:val="auto"/>
                <w:highlight w:val="none"/>
                <w:u w:val="single"/>
                <w:lang w:eastAsia="zh-CN"/>
              </w:rPr>
              <w:t>地</w:t>
            </w:r>
            <w:r>
              <w:rPr>
                <w:rFonts w:hint="eastAsia"/>
                <w:color w:val="auto"/>
                <w:highlight w:val="none"/>
                <w:u w:val="single"/>
              </w:rPr>
              <w:t>，</w:t>
            </w:r>
            <w:r>
              <w:rPr>
                <w:rFonts w:hint="eastAsia"/>
                <w:color w:val="auto"/>
                <w:highlight w:val="none"/>
                <w:u w:val="single"/>
                <w:lang w:val="en-US" w:eastAsia="zh-CN"/>
              </w:rPr>
              <w:t>但无需新建厂房</w:t>
            </w:r>
            <w:r>
              <w:rPr>
                <w:rFonts w:hint="eastAsia"/>
                <w:color w:val="auto"/>
                <w:kern w:val="2"/>
                <w:szCs w:val="24"/>
                <w:highlight w:val="none"/>
                <w:u w:val="single"/>
                <w:lang w:val="en-US" w:eastAsia="zh-CN"/>
              </w:rPr>
              <w:t>。</w:t>
            </w:r>
            <w:r>
              <w:rPr>
                <w:color w:val="auto"/>
                <w:kern w:val="2"/>
                <w:szCs w:val="24"/>
                <w:u w:val="single"/>
                <w:lang w:val="en-US" w:eastAsia="zh-CN"/>
              </w:rPr>
              <w:t>由于建设地</w:t>
            </w:r>
            <w:r>
              <w:rPr>
                <w:rFonts w:hint="eastAsia"/>
                <w:color w:val="auto"/>
                <w:kern w:val="2"/>
                <w:szCs w:val="24"/>
                <w:u w:val="single"/>
                <w:lang w:val="en-US" w:eastAsia="zh-CN"/>
              </w:rPr>
              <w:t>为工业用地，不属于</w:t>
            </w:r>
            <w:r>
              <w:rPr>
                <w:color w:val="auto"/>
                <w:kern w:val="2"/>
                <w:szCs w:val="24"/>
                <w:u w:val="single"/>
                <w:lang w:val="en-US" w:eastAsia="zh-CN"/>
              </w:rPr>
              <w:t>生态环境敏感地区</w:t>
            </w:r>
            <w:r>
              <w:rPr>
                <w:rFonts w:hint="eastAsia"/>
                <w:color w:val="auto"/>
                <w:kern w:val="2"/>
                <w:szCs w:val="24"/>
                <w:u w:val="single"/>
                <w:lang w:val="en-US" w:eastAsia="zh-CN"/>
              </w:rPr>
              <w:t>，没有</w:t>
            </w:r>
            <w:r>
              <w:rPr>
                <w:color w:val="auto"/>
                <w:kern w:val="2"/>
                <w:szCs w:val="24"/>
                <w:u w:val="single"/>
                <w:lang w:val="en-US" w:eastAsia="zh-CN"/>
              </w:rPr>
              <w:t>受保护的动植被，因此，项目建设对植被的影响总体影响较小。施工期对生态环境的影响主要表现为水体流失影响。施工过程由于扰动表土结构，土壤抗蚀能力降低，地表裸露，在地表径流的作用下，可能造成水土流失。工程施工可能造成的水土流失面积主要包括以下2个方面：</w:t>
            </w:r>
          </w:p>
          <w:p>
            <w:pPr>
              <w:pStyle w:val="36"/>
              <w:ind w:firstLine="480"/>
              <w:rPr>
                <w:color w:val="auto"/>
                <w:kern w:val="2"/>
                <w:szCs w:val="24"/>
                <w:u w:val="single"/>
                <w:lang w:val="en-US" w:eastAsia="zh-CN"/>
              </w:rPr>
            </w:pPr>
            <w:r>
              <w:rPr>
                <w:color w:val="auto"/>
                <w:kern w:val="2"/>
                <w:szCs w:val="24"/>
                <w:u w:val="single"/>
                <w:lang w:val="en-US" w:eastAsia="zh-CN"/>
              </w:rPr>
              <w:t>①基础开挖、场地平整、主体工程施工等对原有地表的扰动，使其地表建筑物、植被等受到破坏，水土保持能力降低。</w:t>
            </w:r>
          </w:p>
          <w:p>
            <w:pPr>
              <w:pStyle w:val="36"/>
              <w:ind w:firstLine="480"/>
              <w:rPr>
                <w:color w:val="auto"/>
                <w:kern w:val="2"/>
                <w:szCs w:val="24"/>
                <w:u w:val="single"/>
                <w:lang w:val="en-US" w:eastAsia="zh-CN"/>
              </w:rPr>
            </w:pPr>
            <w:r>
              <w:rPr>
                <w:color w:val="auto"/>
                <w:kern w:val="2"/>
                <w:szCs w:val="24"/>
                <w:u w:val="single"/>
                <w:lang w:val="en-US" w:eastAsia="zh-CN"/>
              </w:rPr>
              <w:t>②临时弃土、弃渣堆置，产生新的裸露地表，受雨水冲刷极易产生大的水土流失。</w:t>
            </w:r>
          </w:p>
          <w:p>
            <w:pPr>
              <w:pStyle w:val="36"/>
              <w:ind w:firstLine="480"/>
              <w:rPr>
                <w:color w:val="auto"/>
                <w:kern w:val="2"/>
                <w:szCs w:val="24"/>
                <w:u w:val="single"/>
                <w:lang w:val="en-US" w:eastAsia="zh-CN"/>
              </w:rPr>
            </w:pPr>
            <w:r>
              <w:rPr>
                <w:color w:val="auto"/>
                <w:kern w:val="2"/>
                <w:szCs w:val="24"/>
                <w:u w:val="single"/>
                <w:lang w:val="en-US" w:eastAsia="zh-CN"/>
              </w:rPr>
              <w:t>（2）水土流失防治措施</w:t>
            </w:r>
          </w:p>
          <w:p>
            <w:pPr>
              <w:pStyle w:val="36"/>
              <w:ind w:firstLine="480"/>
              <w:rPr>
                <w:color w:val="auto"/>
                <w:kern w:val="2"/>
                <w:szCs w:val="24"/>
                <w:u w:val="single"/>
                <w:lang w:val="en-US" w:eastAsia="zh-CN"/>
              </w:rPr>
            </w:pPr>
            <w:r>
              <w:rPr>
                <w:color w:val="auto"/>
                <w:kern w:val="2"/>
                <w:szCs w:val="24"/>
                <w:u w:val="single"/>
                <w:lang w:val="en-US" w:eastAsia="zh-CN"/>
              </w:rPr>
              <w:t>在建设期间，由于工程建设扰动地表，并造成土体裸露，使疏松土体直接受降雨及径流的综合作用发生水土流失，根据工程的平面设计及工程所导致的水土流失特点采取如下措施进行防治：</w:t>
            </w:r>
          </w:p>
          <w:p>
            <w:pPr>
              <w:pStyle w:val="36"/>
              <w:ind w:firstLine="480"/>
              <w:rPr>
                <w:color w:val="auto"/>
                <w:kern w:val="2"/>
                <w:szCs w:val="24"/>
                <w:u w:val="single"/>
                <w:lang w:val="en-US" w:eastAsia="zh-CN"/>
              </w:rPr>
            </w:pPr>
            <w:r>
              <w:rPr>
                <w:color w:val="auto"/>
                <w:kern w:val="2"/>
                <w:szCs w:val="24"/>
                <w:u w:val="single"/>
                <w:lang w:val="en-US" w:eastAsia="zh-CN"/>
              </w:rPr>
              <w:t>①在本工程用地区外围修建围墙，以确保施工所引起的水土流失不流出项目的防治范围；</w:t>
            </w:r>
          </w:p>
          <w:p>
            <w:pPr>
              <w:pStyle w:val="36"/>
              <w:ind w:firstLine="480"/>
              <w:rPr>
                <w:color w:val="auto"/>
                <w:kern w:val="2"/>
                <w:szCs w:val="24"/>
                <w:u w:val="single"/>
                <w:lang w:val="en-US" w:eastAsia="zh-CN"/>
              </w:rPr>
            </w:pPr>
            <w:r>
              <w:rPr>
                <w:color w:val="auto"/>
                <w:kern w:val="2"/>
                <w:szCs w:val="24"/>
                <w:u w:val="single"/>
                <w:lang w:val="en-US" w:eastAsia="zh-CN"/>
              </w:rPr>
              <w:t>②对于施工产生的建筑垃圾，应选择合适的堆场，并采取覆盖措施，避免造成植被破坏和水土流失；</w:t>
            </w:r>
          </w:p>
          <w:p>
            <w:pPr>
              <w:pStyle w:val="36"/>
              <w:rPr>
                <w:rFonts w:ascii="宋体" w:hAnsi="宋体" w:cs="宋体"/>
                <w:bCs/>
                <w:spacing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noWrap w:val="0"/>
            <w:tcMar>
              <w:left w:w="28" w:type="dxa"/>
              <w:right w:w="28" w:type="dxa"/>
            </w:tcMar>
            <w:vAlign w:val="center"/>
          </w:tcPr>
          <w:p>
            <w:pPr>
              <w:adjustRightInd w:val="0"/>
              <w:snapToGrid w:val="0"/>
              <w:jc w:val="center"/>
              <w:rPr>
                <w:rFonts w:hint="eastAsia" w:ascii="宋体" w:hAnsi="宋体" w:cs="宋体"/>
                <w:bCs/>
                <w:sz w:val="24"/>
                <w:szCs w:val="24"/>
              </w:rPr>
            </w:pPr>
            <w:r>
              <w:rPr>
                <w:rFonts w:hint="eastAsia" w:ascii="宋体" w:hAnsi="宋体" w:cs="宋体"/>
                <w:bCs/>
                <w:sz w:val="24"/>
                <w:szCs w:val="24"/>
              </w:rPr>
              <w:t>运营</w:t>
            </w:r>
          </w:p>
          <w:p>
            <w:pPr>
              <w:adjustRightInd w:val="0"/>
              <w:snapToGrid w:val="0"/>
              <w:jc w:val="center"/>
              <w:rPr>
                <w:rFonts w:hint="eastAsia" w:ascii="宋体" w:hAnsi="宋体" w:cs="宋体"/>
                <w:bCs/>
                <w:sz w:val="24"/>
                <w:szCs w:val="24"/>
              </w:rPr>
            </w:pPr>
            <w:r>
              <w:rPr>
                <w:rFonts w:hint="eastAsia" w:ascii="宋体" w:hAnsi="宋体" w:cs="宋体"/>
                <w:bCs/>
                <w:sz w:val="24"/>
                <w:szCs w:val="24"/>
              </w:rPr>
              <w:t>期环</w:t>
            </w:r>
          </w:p>
          <w:p>
            <w:pPr>
              <w:adjustRightInd w:val="0"/>
              <w:snapToGrid w:val="0"/>
              <w:jc w:val="center"/>
              <w:rPr>
                <w:rFonts w:hint="eastAsia" w:ascii="宋体" w:hAnsi="宋体" w:cs="宋体"/>
                <w:bCs/>
                <w:sz w:val="24"/>
                <w:szCs w:val="24"/>
              </w:rPr>
            </w:pPr>
            <w:r>
              <w:rPr>
                <w:rFonts w:hint="eastAsia" w:ascii="宋体" w:hAnsi="宋体" w:cs="宋体"/>
                <w:bCs/>
                <w:sz w:val="24"/>
                <w:szCs w:val="24"/>
              </w:rPr>
              <w:t>境影</w:t>
            </w:r>
          </w:p>
          <w:p>
            <w:pPr>
              <w:adjustRightInd w:val="0"/>
              <w:snapToGrid w:val="0"/>
              <w:jc w:val="center"/>
              <w:rPr>
                <w:rFonts w:hint="eastAsia" w:ascii="宋体" w:hAnsi="宋体" w:cs="宋体"/>
                <w:bCs/>
                <w:sz w:val="24"/>
                <w:szCs w:val="24"/>
              </w:rPr>
            </w:pPr>
            <w:r>
              <w:rPr>
                <w:rFonts w:hint="eastAsia" w:ascii="宋体" w:hAnsi="宋体" w:cs="宋体"/>
                <w:bCs/>
                <w:sz w:val="24"/>
                <w:szCs w:val="24"/>
              </w:rPr>
              <w:t>响和</w:t>
            </w:r>
          </w:p>
          <w:p>
            <w:pPr>
              <w:adjustRightInd w:val="0"/>
              <w:snapToGrid w:val="0"/>
              <w:jc w:val="center"/>
              <w:rPr>
                <w:rFonts w:hint="eastAsia" w:ascii="宋体" w:hAnsi="宋体" w:cs="宋体"/>
                <w:bCs/>
                <w:sz w:val="24"/>
                <w:szCs w:val="24"/>
              </w:rPr>
            </w:pPr>
            <w:r>
              <w:rPr>
                <w:rFonts w:hint="eastAsia" w:ascii="宋体" w:hAnsi="宋体" w:cs="宋体"/>
                <w:bCs/>
                <w:sz w:val="24"/>
                <w:szCs w:val="24"/>
              </w:rPr>
              <w:t>保护</w:t>
            </w:r>
          </w:p>
          <w:p>
            <w:pPr>
              <w:pStyle w:val="18"/>
              <w:adjustRightInd w:val="0"/>
              <w:snapToGrid w:val="0"/>
              <w:spacing w:before="0" w:beforeAutospacing="0" w:after="0" w:afterAutospacing="0"/>
              <w:jc w:val="center"/>
              <w:rPr>
                <w:rFonts w:hint="eastAsia" w:cs="宋体"/>
                <w:kern w:val="2"/>
                <w:sz w:val="24"/>
                <w:szCs w:val="24"/>
              </w:rPr>
            </w:pPr>
            <w:r>
              <w:rPr>
                <w:rFonts w:hint="eastAsia" w:ascii="宋体" w:hAnsi="宋体" w:cs="宋体"/>
                <w:bCs/>
                <w:sz w:val="24"/>
                <w:szCs w:val="24"/>
              </w:rPr>
              <w:t>措施</w:t>
            </w:r>
          </w:p>
        </w:tc>
        <w:tc>
          <w:tcPr>
            <w:tcW w:w="8334" w:type="dxa"/>
            <w:noWrap w:val="0"/>
            <w:vAlign w:val="center"/>
          </w:tcPr>
          <w:p>
            <w:pPr>
              <w:pStyle w:val="36"/>
              <w:bidi w:val="0"/>
            </w:pPr>
            <w:r>
              <w:t>一、废气</w:t>
            </w:r>
          </w:p>
          <w:p>
            <w:pPr>
              <w:pStyle w:val="36"/>
              <w:bidi w:val="0"/>
            </w:pPr>
            <w:r>
              <w:t>1、污染物产生情况</w:t>
            </w:r>
          </w:p>
          <w:p>
            <w:pPr>
              <w:pStyle w:val="36"/>
              <w:bidi w:val="0"/>
              <w:rPr>
                <w:rFonts w:hint="default"/>
              </w:rPr>
            </w:pPr>
            <w:r>
              <w:rPr>
                <w:rFonts w:hint="default"/>
              </w:rPr>
              <w:t>本项目产生的废气主要为:</w:t>
            </w:r>
            <w:r>
              <w:rPr>
                <w:rFonts w:hint="eastAsia"/>
                <w:lang w:val="en-US" w:eastAsia="zh-CN"/>
              </w:rPr>
              <w:t>净水加药过程产生</w:t>
            </w:r>
            <w:r>
              <w:rPr>
                <w:rFonts w:hint="default"/>
              </w:rPr>
              <w:t>的盐酸、</w:t>
            </w:r>
            <w:r>
              <w:rPr>
                <w:rFonts w:hint="eastAsia"/>
                <w:lang w:val="en-US" w:eastAsia="zh-CN"/>
              </w:rPr>
              <w:t>氨气</w:t>
            </w:r>
            <w:r>
              <w:rPr>
                <w:rFonts w:hint="default"/>
              </w:rPr>
              <w:t>刺激性气味气体，</w:t>
            </w:r>
            <w:r>
              <w:rPr>
                <w:rFonts w:hint="eastAsia"/>
                <w:lang w:val="en-US" w:eastAsia="zh-CN"/>
              </w:rPr>
              <w:t>反洗水调节池</w:t>
            </w:r>
            <w:r>
              <w:rPr>
                <w:rFonts w:hint="default"/>
              </w:rPr>
              <w:t>的恶臭气体。</w:t>
            </w:r>
          </w:p>
          <w:p>
            <w:pPr>
              <w:pStyle w:val="36"/>
              <w:numPr>
                <w:ilvl w:val="0"/>
                <w:numId w:val="0"/>
              </w:numPr>
              <w:bidi w:val="0"/>
              <w:ind w:firstLine="480" w:firstLineChars="200"/>
              <w:rPr>
                <w:rFonts w:hint="default"/>
              </w:rPr>
            </w:pPr>
            <w:r>
              <w:rPr>
                <w:rFonts w:hint="eastAsia"/>
                <w:lang w:eastAsia="zh-CN"/>
              </w:rPr>
              <w:t>（</w:t>
            </w:r>
            <w:r>
              <w:rPr>
                <w:rFonts w:hint="eastAsia"/>
                <w:lang w:val="en-US" w:eastAsia="zh-CN"/>
              </w:rPr>
              <w:t>1</w:t>
            </w:r>
            <w:r>
              <w:rPr>
                <w:rFonts w:hint="eastAsia"/>
                <w:lang w:eastAsia="zh-CN"/>
              </w:rPr>
              <w:t>）</w:t>
            </w:r>
            <w:r>
              <w:rPr>
                <w:rFonts w:hint="default"/>
              </w:rPr>
              <w:t>挥发性气体</w:t>
            </w:r>
          </w:p>
          <w:p>
            <w:pPr>
              <w:pStyle w:val="36"/>
              <w:numPr>
                <w:ilvl w:val="0"/>
                <w:numId w:val="0"/>
              </w:numPr>
              <w:bidi w:val="0"/>
              <w:ind w:firstLine="480" w:firstLineChars="200"/>
              <w:rPr>
                <w:rFonts w:hint="default"/>
              </w:rPr>
            </w:pPr>
            <w:r>
              <w:rPr>
                <w:rFonts w:hint="default"/>
              </w:rPr>
              <w:t>本项目在投加盐酸和</w:t>
            </w:r>
            <w:r>
              <w:rPr>
                <w:rFonts w:hint="eastAsia"/>
                <w:lang w:val="en-US" w:eastAsia="zh-CN"/>
              </w:rPr>
              <w:t>氨水</w:t>
            </w:r>
            <w:r>
              <w:rPr>
                <w:rFonts w:hint="default"/>
              </w:rPr>
              <w:t>药品时将有盐酸</w:t>
            </w:r>
            <w:r>
              <w:rPr>
                <w:rFonts w:hint="eastAsia"/>
                <w:lang w:eastAsia="zh-CN"/>
              </w:rPr>
              <w:t>、</w:t>
            </w:r>
            <w:r>
              <w:rPr>
                <w:rFonts w:hint="eastAsia"/>
                <w:lang w:val="en-US" w:eastAsia="zh-CN"/>
              </w:rPr>
              <w:t>氨气</w:t>
            </w:r>
            <w:r>
              <w:rPr>
                <w:rFonts w:hint="default"/>
              </w:rPr>
              <w:t>挥发性气体产生，</w:t>
            </w:r>
            <w:r>
              <w:rPr>
                <w:rFonts w:hint="eastAsia"/>
                <w:lang w:val="en-US" w:eastAsia="zh-CN"/>
              </w:rPr>
              <w:t>因为本项目盐酸和氨水的使用量只有10m</w:t>
            </w:r>
            <w:r>
              <w:rPr>
                <w:rFonts w:hint="eastAsia"/>
                <w:vertAlign w:val="superscript"/>
                <w:lang w:val="en-US" w:eastAsia="zh-CN"/>
              </w:rPr>
              <w:t>3</w:t>
            </w:r>
            <w:r>
              <w:rPr>
                <w:rFonts w:hint="eastAsia"/>
                <w:vertAlign w:val="baseline"/>
                <w:lang w:val="en-US" w:eastAsia="zh-CN"/>
              </w:rPr>
              <w:t>/a，采用桶装储存，容积为1</w:t>
            </w:r>
            <w:r>
              <w:rPr>
                <w:rFonts w:hint="eastAsia"/>
                <w:lang w:val="en-US" w:eastAsia="zh-CN"/>
              </w:rPr>
              <w:t>m</w:t>
            </w:r>
            <w:r>
              <w:rPr>
                <w:rFonts w:hint="eastAsia"/>
                <w:vertAlign w:val="superscript"/>
                <w:lang w:val="en-US" w:eastAsia="zh-CN"/>
              </w:rPr>
              <w:t>3</w:t>
            </w:r>
            <w:r>
              <w:rPr>
                <w:rFonts w:hint="eastAsia"/>
                <w:vertAlign w:val="baseline"/>
                <w:lang w:val="en-US" w:eastAsia="zh-CN"/>
              </w:rPr>
              <w:t>。加药方式为管道输送，所以盐酸、氨气挥发性气体</w:t>
            </w:r>
            <w:r>
              <w:rPr>
                <w:rFonts w:hint="default"/>
              </w:rPr>
              <w:t>产生量较</w:t>
            </w:r>
            <w:r>
              <w:rPr>
                <w:rFonts w:hint="eastAsia"/>
                <w:lang w:val="en-US" w:eastAsia="zh-CN"/>
              </w:rPr>
              <w:t>少</w:t>
            </w:r>
            <w:r>
              <w:rPr>
                <w:rFonts w:hint="default"/>
              </w:rPr>
              <w:t>。另外加药过程中管道泄漏或操作不当，会有少量</w:t>
            </w:r>
            <w:r>
              <w:rPr>
                <w:rFonts w:hint="eastAsia"/>
                <w:lang w:val="en-US" w:eastAsia="zh-CN"/>
              </w:rPr>
              <w:t>盐酸、氨气</w:t>
            </w:r>
            <w:r>
              <w:rPr>
                <w:rFonts w:hint="default"/>
              </w:rPr>
              <w:t>挥发性气体泄漏。通过加强加药间的通风，挥发性气体对周围环境影响较小。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rPr>
            </w:pPr>
            <w:r>
              <w:rPr>
                <w:rFonts w:hint="eastAsia"/>
                <w:lang w:val="en-US" w:eastAsia="zh-CN"/>
              </w:rPr>
              <w:t>（2）反洗水调节</w:t>
            </w:r>
            <w:r>
              <w:rPr>
                <w:rFonts w:hint="default"/>
              </w:rPr>
              <w:t>池</w:t>
            </w:r>
            <w:r>
              <w:rPr>
                <w:rFonts w:hint="eastAsia"/>
                <w:lang w:val="en-US" w:eastAsia="zh-CN"/>
              </w:rPr>
              <w:t>臭气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rPr>
            </w:pPr>
            <w:r>
              <w:rPr>
                <w:rFonts w:hint="default"/>
              </w:rPr>
              <w:t>本项目投入营运后，</w:t>
            </w:r>
            <w:r>
              <w:rPr>
                <w:rFonts w:hint="eastAsia"/>
                <w:lang w:val="en-US" w:eastAsia="zh-CN"/>
              </w:rPr>
              <w:t>反洗水调节</w:t>
            </w:r>
            <w:r>
              <w:rPr>
                <w:rFonts w:hint="default"/>
              </w:rPr>
              <w:t>池</w:t>
            </w:r>
            <w:r>
              <w:rPr>
                <w:rFonts w:hint="eastAsia"/>
                <w:lang w:eastAsia="zh-CN"/>
              </w:rPr>
              <w:t>、</w:t>
            </w:r>
            <w:r>
              <w:rPr>
                <w:rFonts w:hint="eastAsia"/>
                <w:lang w:val="en-US" w:eastAsia="zh-CN"/>
              </w:rPr>
              <w:t>污泥处理区</w:t>
            </w:r>
            <w:r>
              <w:rPr>
                <w:rFonts w:hint="default"/>
              </w:rPr>
              <w:t>会产生</w:t>
            </w:r>
            <w:r>
              <w:rPr>
                <w:rFonts w:hint="eastAsia"/>
                <w:lang w:val="en-US" w:eastAsia="zh-CN"/>
              </w:rPr>
              <w:t>少量</w:t>
            </w:r>
            <w:r>
              <w:rPr>
                <w:rFonts w:hint="default"/>
              </w:rPr>
              <w:t>恶臭物质，主要成份为NH</w:t>
            </w:r>
            <w:r>
              <w:rPr>
                <w:rFonts w:hint="default"/>
                <w:vertAlign w:val="subscript"/>
              </w:rPr>
              <w:t>3</w:t>
            </w:r>
            <w:r>
              <w:rPr>
                <w:rFonts w:hint="default"/>
              </w:rPr>
              <w:t>和</w:t>
            </w:r>
            <w:r>
              <w:rPr>
                <w:rFonts w:hint="eastAsia"/>
                <w:lang w:val="en-US" w:eastAsia="zh-CN"/>
              </w:rPr>
              <w:t>臭气浓度</w:t>
            </w:r>
            <w:r>
              <w:rPr>
                <w:rFonts w:hint="default"/>
              </w:rPr>
              <w:t>等物质，产生量较少，属无组织排放。周围种植月季、蔷薇等绿色植物，恶臭气体对周围环境影响较小。</w:t>
            </w:r>
          </w:p>
          <w:p>
            <w:pPr>
              <w:pStyle w:val="36"/>
              <w:bidi w:val="0"/>
              <w:rPr>
                <w:rFonts w:hint="eastAsia"/>
                <w:lang w:val="en-US" w:eastAsia="zh-CN"/>
              </w:rPr>
            </w:pPr>
            <w:r>
              <w:rPr>
                <w:rFonts w:hint="eastAsia"/>
                <w:lang w:val="en-US" w:eastAsia="zh-CN"/>
              </w:rPr>
              <w:t>二</w:t>
            </w:r>
            <w:r>
              <w:t>、废</w:t>
            </w:r>
            <w:r>
              <w:rPr>
                <w:rFonts w:hint="eastAsia"/>
                <w:lang w:val="en-US" w:eastAsia="zh-CN"/>
              </w:rPr>
              <w:t>水</w:t>
            </w:r>
          </w:p>
          <w:p>
            <w:pPr>
              <w:pStyle w:val="36"/>
              <w:keepNext w:val="0"/>
              <w:keepLines w:val="0"/>
              <w:pageBreakBefore w:val="0"/>
              <w:widowControl w:val="0"/>
              <w:kinsoku/>
              <w:wordWrap/>
              <w:overflowPunct/>
              <w:topLinePunct w:val="0"/>
              <w:autoSpaceDE/>
              <w:autoSpaceDN/>
              <w:bidi w:val="0"/>
              <w:adjustRightInd/>
              <w:snapToGrid/>
              <w:ind w:leftChars="0"/>
              <w:textAlignment w:val="auto"/>
            </w:pPr>
            <w:r>
              <w:t>1、污染物产生情况</w:t>
            </w:r>
          </w:p>
          <w:p>
            <w:pPr>
              <w:pStyle w:val="36"/>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default"/>
                <w:lang w:val="en-US" w:eastAsia="zh-CN"/>
              </w:rPr>
            </w:pPr>
            <w:r>
              <w:rPr>
                <w:rFonts w:hint="default"/>
                <w:lang w:val="en-US" w:eastAsia="zh-CN"/>
              </w:rPr>
              <w:t>制水过程中产生的排水主要是</w:t>
            </w:r>
            <w:r>
              <w:rPr>
                <w:rFonts w:hint="eastAsia"/>
                <w:lang w:val="en-US" w:eastAsia="zh-CN"/>
              </w:rPr>
              <w:t>浓水、</w:t>
            </w:r>
            <w:r>
              <w:rPr>
                <w:rFonts w:hint="default"/>
                <w:lang w:val="en-US" w:eastAsia="zh-CN"/>
              </w:rPr>
              <w:t>反冲洗水和沉淀池排污水</w:t>
            </w:r>
            <w:r>
              <w:rPr>
                <w:rFonts w:hint="eastAsia"/>
                <w:lang w:val="en-US" w:eastAsia="zh-CN"/>
              </w:rPr>
              <w:t>。</w:t>
            </w:r>
            <w:r>
              <w:rPr>
                <w:rFonts w:hint="default"/>
                <w:lang w:val="en-US" w:eastAsia="zh-CN"/>
              </w:rPr>
              <w:t>本项目不新增员工人数，项目运行时从厂区职工中抽调人员，因此项目不新增生活污水。</w:t>
            </w:r>
          </w:p>
          <w:p>
            <w:pPr>
              <w:pStyle w:val="36"/>
              <w:keepNext w:val="0"/>
              <w:keepLines w:val="0"/>
              <w:pageBreakBefore w:val="0"/>
              <w:widowControl w:val="0"/>
              <w:numPr>
                <w:ilvl w:val="0"/>
                <w:numId w:val="10"/>
              </w:numPr>
              <w:kinsoku/>
              <w:wordWrap/>
              <w:overflowPunct/>
              <w:topLinePunct w:val="0"/>
              <w:autoSpaceDE/>
              <w:autoSpaceDN/>
              <w:bidi w:val="0"/>
              <w:adjustRightInd/>
              <w:snapToGrid/>
              <w:ind w:leftChars="0" w:firstLine="480" w:firstLineChars="200"/>
              <w:textAlignment w:val="auto"/>
              <w:rPr>
                <w:rFonts w:hint="eastAsia"/>
                <w:lang w:val="en-US" w:eastAsia="zh-CN"/>
              </w:rPr>
            </w:pPr>
            <w:r>
              <w:rPr>
                <w:rFonts w:hint="eastAsia"/>
                <w:lang w:val="en-US" w:eastAsia="zh-CN"/>
              </w:rPr>
              <w:t>一体化净水器反洗水</w:t>
            </w:r>
          </w:p>
          <w:p>
            <w:pPr>
              <w:pStyle w:val="36"/>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default"/>
                <w:u w:val="single"/>
                <w:lang w:val="en-US" w:eastAsia="zh-CN"/>
              </w:rPr>
            </w:pPr>
            <w:r>
              <w:rPr>
                <w:rFonts w:hint="default"/>
                <w:u w:val="single"/>
                <w:lang w:val="en-US" w:eastAsia="zh-CN"/>
              </w:rPr>
              <w:t>拟建工程</w:t>
            </w:r>
            <w:r>
              <w:rPr>
                <w:rFonts w:hint="eastAsia"/>
                <w:u w:val="single"/>
                <w:lang w:val="en-US" w:eastAsia="zh-CN"/>
              </w:rPr>
              <w:t>一体化净水器</w:t>
            </w:r>
            <w:r>
              <w:rPr>
                <w:rFonts w:hint="default"/>
                <w:u w:val="single"/>
                <w:lang w:val="en-US" w:eastAsia="zh-CN"/>
              </w:rPr>
              <w:t>处理水规模为</w:t>
            </w:r>
            <w:r>
              <w:rPr>
                <w:rFonts w:hint="eastAsia"/>
                <w:u w:val="single"/>
                <w:lang w:val="en-US" w:eastAsia="zh-CN"/>
              </w:rPr>
              <w:t>7200</w:t>
            </w:r>
            <w:r>
              <w:rPr>
                <w:rFonts w:hint="default"/>
                <w:u w:val="single"/>
                <w:lang w:val="en-US" w:eastAsia="zh-CN"/>
              </w:rPr>
              <w:t>m</w:t>
            </w:r>
            <w:r>
              <w:rPr>
                <w:rFonts w:hint="default"/>
                <w:u w:val="single"/>
                <w:vertAlign w:val="superscript"/>
                <w:lang w:val="en-US" w:eastAsia="zh-CN"/>
              </w:rPr>
              <w:t>3</w:t>
            </w:r>
            <w:r>
              <w:rPr>
                <w:rFonts w:hint="default"/>
                <w:u w:val="single"/>
                <w:lang w:val="en-US" w:eastAsia="zh-CN"/>
              </w:rPr>
              <w:t>/d，由于其处理原水为</w:t>
            </w:r>
            <w:r>
              <w:rPr>
                <w:rFonts w:hint="eastAsia"/>
                <w:u w:val="single"/>
                <w:lang w:val="en-US" w:eastAsia="zh-CN"/>
              </w:rPr>
              <w:t>沅江水</w:t>
            </w:r>
            <w:r>
              <w:rPr>
                <w:rFonts w:hint="default"/>
                <w:u w:val="single"/>
                <w:lang w:val="en-US" w:eastAsia="zh-CN"/>
              </w:rPr>
              <w:t>，泥沙量含量较少，水质情况良好，</w:t>
            </w:r>
            <w:r>
              <w:rPr>
                <w:rFonts w:hint="eastAsia"/>
                <w:u w:val="single"/>
                <w:lang w:val="en-US" w:eastAsia="zh-CN"/>
              </w:rPr>
              <w:t>按照现有一体化净水器产生的泥沙量计算得出</w:t>
            </w:r>
            <w:r>
              <w:rPr>
                <w:rFonts w:hint="default"/>
                <w:u w:val="single"/>
                <w:lang w:val="en-US" w:eastAsia="zh-CN"/>
              </w:rPr>
              <w:t>泥沙量约占原水0.</w:t>
            </w:r>
            <w:r>
              <w:rPr>
                <w:rFonts w:hint="eastAsia"/>
                <w:u w:val="single"/>
                <w:lang w:val="en-US" w:eastAsia="zh-CN"/>
              </w:rPr>
              <w:t>015</w:t>
            </w:r>
            <w:r>
              <w:rPr>
                <w:rFonts w:hint="default"/>
                <w:u w:val="single"/>
                <w:lang w:val="en-US" w:eastAsia="zh-CN"/>
              </w:rPr>
              <w:t>%，则产生量为</w:t>
            </w:r>
            <w:r>
              <w:rPr>
                <w:rFonts w:hint="eastAsia"/>
                <w:u w:val="single"/>
                <w:lang w:val="en-US" w:eastAsia="zh-CN"/>
              </w:rPr>
              <w:t>1.08</w:t>
            </w:r>
            <w:r>
              <w:rPr>
                <w:rFonts w:hint="default"/>
                <w:u w:val="single"/>
                <w:lang w:val="en-US" w:eastAsia="zh-CN"/>
              </w:rPr>
              <w:t>t/d</w:t>
            </w:r>
            <w:r>
              <w:rPr>
                <w:rFonts w:hint="eastAsia"/>
                <w:u w:val="single"/>
                <w:lang w:val="en-US" w:eastAsia="zh-CN"/>
              </w:rPr>
              <w:t>（不含水）</w:t>
            </w:r>
            <w:r>
              <w:rPr>
                <w:rFonts w:hint="default"/>
                <w:u w:val="single"/>
                <w:lang w:val="en-US" w:eastAsia="zh-CN"/>
              </w:rPr>
              <w:t>，</w:t>
            </w:r>
            <w:r>
              <w:rPr>
                <w:rFonts w:hint="eastAsia"/>
                <w:u w:val="single"/>
                <w:lang w:val="en-US" w:eastAsia="zh-CN"/>
              </w:rPr>
              <w:t>一体化净水器反洗水（包含泥沙）产生量为200t/d，泥沙经一体化净水器反洗水一起排入反洗水调节池，沉淀后上层清液流入净水池回用，泥沙由污泥提升泵进</w:t>
            </w:r>
            <w:r>
              <w:rPr>
                <w:rFonts w:hint="eastAsia"/>
                <w:highlight w:val="none"/>
                <w:u w:val="single"/>
                <w:lang w:val="en-US" w:eastAsia="zh-CN"/>
              </w:rPr>
              <w:t>污泥浓缩罐</w:t>
            </w:r>
            <w:r>
              <w:rPr>
                <w:rFonts w:hint="eastAsia"/>
                <w:u w:val="single"/>
                <w:lang w:val="en-US" w:eastAsia="zh-CN"/>
              </w:rPr>
              <w:t>。浓缩罐浓缩后上清液进净水池回用，污泥由污泥泵进叠螺污泥脱水机，此时污泥含水量为98%，含水污泥产生量为54t/d。叠螺污泥脱水机滤液进回用水收集池。脱水后干泥含水量&lt;60%，脱水后污泥产生量为2.7t/d，干泥外运。净水器反洗水经以上处理后水全部流入净水池回用，不外排。</w:t>
            </w:r>
          </w:p>
          <w:p>
            <w:pPr>
              <w:pStyle w:val="36"/>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eastAsia"/>
                <w:lang w:val="en-US" w:eastAsia="zh-CN"/>
              </w:rPr>
            </w:pPr>
            <w:r>
              <w:rPr>
                <w:rFonts w:hint="eastAsia"/>
                <w:lang w:val="en-US" w:eastAsia="zh-CN"/>
              </w:rPr>
              <w:t>（2）浓水</w:t>
            </w:r>
          </w:p>
          <w:p>
            <w:pPr>
              <w:pStyle w:val="36"/>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eastAsia"/>
                <w:lang w:val="en-US" w:eastAsia="zh-CN"/>
              </w:rPr>
            </w:pPr>
            <w:r>
              <w:rPr>
                <w:rFonts w:hint="eastAsia"/>
                <w:lang w:val="en-US" w:eastAsia="zh-CN"/>
              </w:rPr>
              <w:t>纯水净水过程中会产生浓水。根据业主提供资料，浓水产生量为900</w:t>
            </w:r>
            <w:r>
              <w:rPr>
                <w:rFonts w:hint="default"/>
              </w:rPr>
              <w:t>m</w:t>
            </w:r>
            <w:r>
              <w:rPr>
                <w:rFonts w:hint="default"/>
                <w:vertAlign w:val="superscript"/>
              </w:rPr>
              <w:t>3</w:t>
            </w:r>
            <w:r>
              <w:rPr>
                <w:rFonts w:hint="eastAsia"/>
                <w:vertAlign w:val="baseline"/>
                <w:lang w:val="en-US" w:eastAsia="zh-CN"/>
              </w:rPr>
              <w:t>/d</w:t>
            </w:r>
            <w:r>
              <w:rPr>
                <w:rFonts w:hint="eastAsia"/>
                <w:lang w:val="en-US" w:eastAsia="zh-CN"/>
              </w:rPr>
              <w:t>，其中每星期200</w:t>
            </w:r>
            <w:r>
              <w:rPr>
                <w:rFonts w:hint="default"/>
              </w:rPr>
              <w:t>m</w:t>
            </w:r>
            <w:r>
              <w:rPr>
                <w:rFonts w:hint="default"/>
                <w:vertAlign w:val="superscript"/>
              </w:rPr>
              <w:t>3</w:t>
            </w:r>
            <w:r>
              <w:rPr>
                <w:rFonts w:hint="eastAsia"/>
                <w:lang w:val="en-US" w:eastAsia="zh-CN"/>
              </w:rPr>
              <w:t>用于反渗透装置反洗用水，每天480m</w:t>
            </w:r>
            <w:r>
              <w:rPr>
                <w:rFonts w:hint="default"/>
                <w:vertAlign w:val="superscript"/>
              </w:rPr>
              <w:t>3</w:t>
            </w:r>
            <w:r>
              <w:rPr>
                <w:rFonts w:hint="eastAsia"/>
                <w:vertAlign w:val="baseline"/>
                <w:lang w:val="en-US" w:eastAsia="zh-CN"/>
              </w:rPr>
              <w:t>用于厂区内硫酸车间工艺补充用水、干排冷却滚筒冷却用水以及企业厂区绿化用水。</w:t>
            </w:r>
            <w:r>
              <w:rPr>
                <w:rFonts w:hint="eastAsia"/>
                <w:lang w:val="en-US" w:eastAsia="zh-CN"/>
              </w:rPr>
              <w:t>剩余142900</w:t>
            </w:r>
            <w:r>
              <w:rPr>
                <w:rFonts w:hint="default"/>
              </w:rPr>
              <w:t>m</w:t>
            </w:r>
            <w:r>
              <w:rPr>
                <w:rFonts w:hint="default"/>
                <w:vertAlign w:val="superscript"/>
              </w:rPr>
              <w:t>3</w:t>
            </w:r>
            <w:r>
              <w:rPr>
                <w:rFonts w:hint="eastAsia"/>
                <w:vertAlign w:val="baseline"/>
                <w:lang w:val="en-US" w:eastAsia="zh-CN"/>
              </w:rPr>
              <w:t>/a</w:t>
            </w:r>
            <w:r>
              <w:rPr>
                <w:rFonts w:hint="eastAsia"/>
                <w:lang w:val="en-US" w:eastAsia="zh-CN"/>
              </w:rPr>
              <w:t>通过厂内现有废水排放口排入洪江高新区污水处理厂，</w:t>
            </w:r>
            <w:r>
              <w:rPr>
                <w:rFonts w:hint="default" w:ascii="Times New Roman" w:hAnsi="Times New Roman" w:eastAsia="宋体" w:cs="Times New Roman"/>
                <w:color w:val="auto"/>
              </w:rPr>
              <w:t>此类废水</w:t>
            </w:r>
            <w:r>
              <w:rPr>
                <w:rFonts w:hint="default" w:ascii="Times New Roman" w:hAnsi="Times New Roman" w:eastAsia="宋体" w:cs="Times New Roman"/>
                <w:color w:val="auto"/>
                <w:lang w:eastAsia="zh-CN"/>
              </w:rPr>
              <w:t>主要为含盐量较高，不存在其他污染物</w:t>
            </w:r>
            <w:r>
              <w:rPr>
                <w:rFonts w:hint="eastAsia" w:cs="Times New Roman"/>
                <w:color w:val="auto"/>
                <w:lang w:eastAsia="zh-CN"/>
              </w:rPr>
              <w:t>。</w:t>
            </w:r>
          </w:p>
          <w:p>
            <w:pPr>
              <w:pStyle w:val="36"/>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default"/>
                <w:lang w:val="en-US" w:eastAsia="zh-CN"/>
              </w:rPr>
            </w:pPr>
            <w:r>
              <w:rPr>
                <w:rFonts w:hint="eastAsia"/>
                <w:lang w:val="en-US" w:eastAsia="zh-CN"/>
              </w:rPr>
              <w:t>（3）纯水设备</w:t>
            </w:r>
            <w:r>
              <w:rPr>
                <w:rFonts w:hint="default"/>
                <w:lang w:val="en-US" w:eastAsia="zh-CN"/>
              </w:rPr>
              <w:t>反冲洗水</w:t>
            </w:r>
          </w:p>
          <w:p>
            <w:pPr>
              <w:pStyle w:val="36"/>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eastAsia"/>
                <w:lang w:val="en-US" w:eastAsia="zh-CN"/>
              </w:rPr>
            </w:pPr>
            <w:r>
              <w:rPr>
                <w:rFonts w:hint="eastAsia"/>
                <w:lang w:val="en-US" w:eastAsia="zh-CN"/>
              </w:rPr>
              <w:t>根据业主提供资料，纯水制备设备每周需要用到200</w:t>
            </w:r>
            <w:r>
              <w:rPr>
                <w:rFonts w:hint="default"/>
              </w:rPr>
              <w:t>m</w:t>
            </w:r>
            <w:r>
              <w:rPr>
                <w:rFonts w:hint="default"/>
                <w:vertAlign w:val="superscript"/>
              </w:rPr>
              <w:t>3</w:t>
            </w:r>
            <w:r>
              <w:rPr>
                <w:rFonts w:hint="eastAsia"/>
                <w:vertAlign w:val="baseline"/>
                <w:lang w:val="en-US" w:eastAsia="zh-CN"/>
              </w:rPr>
              <w:t>(10400</w:t>
            </w:r>
            <w:r>
              <w:rPr>
                <w:rFonts w:hint="default"/>
              </w:rPr>
              <w:t>m</w:t>
            </w:r>
            <w:r>
              <w:rPr>
                <w:rFonts w:hint="default"/>
                <w:vertAlign w:val="superscript"/>
              </w:rPr>
              <w:t>3</w:t>
            </w:r>
            <w:r>
              <w:rPr>
                <w:rFonts w:hint="eastAsia"/>
                <w:vertAlign w:val="baseline"/>
                <w:lang w:val="en-US" w:eastAsia="zh-CN"/>
              </w:rPr>
              <w:t>/a)</w:t>
            </w:r>
            <w:r>
              <w:rPr>
                <w:rFonts w:hint="eastAsia"/>
                <w:lang w:val="en-US" w:eastAsia="zh-CN"/>
              </w:rPr>
              <w:t>水用于反冲洗，反冲洗水使用浓水，反冲洗水含盐浓度略高于浓水。反冲洗水通过厂内现有废水排放口排入洪江高新区污水处理厂。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lang w:val="en-US" w:eastAsia="zh-CN"/>
              </w:rPr>
            </w:pPr>
            <w:r>
              <w:rPr>
                <w:rFonts w:hint="eastAsia"/>
                <w:lang w:val="en-US" w:eastAsia="zh-CN"/>
              </w:rPr>
              <w:t>（4）软水再生废水</w:t>
            </w:r>
          </w:p>
          <w:p>
            <w:pPr>
              <w:pStyle w:val="36"/>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eastAsia"/>
                <w:lang w:val="en-US" w:eastAsia="zh-CN"/>
              </w:rPr>
            </w:pPr>
            <w:r>
              <w:rPr>
                <w:rFonts w:hint="eastAsia"/>
                <w:lang w:val="en-US" w:eastAsia="zh-CN"/>
              </w:rPr>
              <w:t>软水制备树脂再生过程会产生废水，根据业主提供资料，软水树脂再生废水产生量为6</w:t>
            </w:r>
            <w:r>
              <w:rPr>
                <w:rFonts w:hint="default"/>
              </w:rPr>
              <w:t>m</w:t>
            </w:r>
            <w:r>
              <w:rPr>
                <w:rFonts w:hint="default"/>
                <w:vertAlign w:val="superscript"/>
              </w:rPr>
              <w:t>3</w:t>
            </w:r>
            <w:r>
              <w:rPr>
                <w:rFonts w:hint="eastAsia"/>
                <w:lang w:val="en-US" w:eastAsia="zh-CN"/>
              </w:rPr>
              <w:t>/d，通过厂内现有废水排放口排入洪江高新区污水处理厂。</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t>纯水反渗透再生废水</w:t>
            </w:r>
          </w:p>
          <w:p>
            <w:pPr>
              <w:pStyle w:val="2"/>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textAlignment w:val="auto"/>
              <w:rPr>
                <w:rFonts w:hint="eastAsia"/>
                <w:sz w:val="24"/>
                <w:szCs w:val="24"/>
                <w:lang w:val="en-US" w:eastAsia="zh-CN"/>
              </w:rPr>
            </w:pPr>
            <w:r>
              <w:rPr>
                <w:rFonts w:hint="eastAsia"/>
                <w:sz w:val="24"/>
                <w:szCs w:val="24"/>
                <w:lang w:val="en-US" w:eastAsia="zh-CN"/>
              </w:rPr>
              <w:t>纯水反渗透树脂再生过程会产生再生废水，根据业主提供资料，制纯水再生废水产生量为13m</w:t>
            </w:r>
            <w:r>
              <w:rPr>
                <w:rFonts w:hint="eastAsia"/>
                <w:sz w:val="24"/>
                <w:szCs w:val="24"/>
                <w:vertAlign w:val="superscript"/>
                <w:lang w:val="en-US" w:eastAsia="zh-CN"/>
              </w:rPr>
              <w:t>3</w:t>
            </w:r>
            <w:r>
              <w:rPr>
                <w:rFonts w:hint="eastAsia"/>
                <w:sz w:val="24"/>
                <w:szCs w:val="24"/>
                <w:lang w:val="en-US" w:eastAsia="zh-CN"/>
              </w:rPr>
              <w:t>/d，制纯水树脂再生废水流入中和池进行酸碱中和处理后通过厂内现有废水排口排入洪江高新区污水处理厂。</w:t>
            </w:r>
          </w:p>
          <w:p>
            <w:pPr>
              <w:pStyle w:val="2"/>
              <w:keepNext w:val="0"/>
              <w:keepLines w:val="0"/>
              <w:pageBreakBefore w:val="0"/>
              <w:widowControl/>
              <w:numPr>
                <w:ilvl w:val="0"/>
                <w:numId w:val="11"/>
              </w:numPr>
              <w:kinsoku/>
              <w:wordWrap/>
              <w:overflowPunct/>
              <w:topLinePunct w:val="0"/>
              <w:autoSpaceDE/>
              <w:autoSpaceDN/>
              <w:bidi w:val="0"/>
              <w:adjustRightInd/>
              <w:snapToGrid w:val="0"/>
              <w:spacing w:before="0" w:after="0" w:line="360" w:lineRule="auto"/>
              <w:ind w:left="0" w:leftChars="0" w:right="0" w:rightChars="0" w:firstLine="480" w:firstLineChars="200"/>
              <w:textAlignment w:val="auto"/>
              <w:rPr>
                <w:rFonts w:hint="eastAsia"/>
                <w:sz w:val="24"/>
                <w:szCs w:val="24"/>
                <w:lang w:val="en-US" w:eastAsia="zh-CN"/>
              </w:rPr>
            </w:pPr>
            <w:r>
              <w:rPr>
                <w:rFonts w:hint="eastAsia"/>
                <w:sz w:val="24"/>
                <w:szCs w:val="24"/>
                <w:lang w:val="en-US" w:eastAsia="zh-CN"/>
              </w:rPr>
              <w:t>纯水设备化学清洗废水</w:t>
            </w:r>
          </w:p>
          <w:p>
            <w:pPr>
              <w:pStyle w:val="2"/>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textAlignment w:val="auto"/>
              <w:rPr>
                <w:rFonts w:hint="default"/>
                <w:sz w:val="24"/>
                <w:szCs w:val="24"/>
                <w:lang w:val="en-US" w:eastAsia="zh-CN"/>
              </w:rPr>
            </w:pPr>
            <w:r>
              <w:rPr>
                <w:rFonts w:hint="eastAsia"/>
                <w:sz w:val="24"/>
                <w:szCs w:val="24"/>
                <w:lang w:val="en-US" w:eastAsia="zh-CN"/>
              </w:rPr>
              <w:t>纯水设备每半年进行一次化学清洗，每次清洗产生10</w:t>
            </w:r>
            <w:r>
              <w:rPr>
                <w:rFonts w:hint="default"/>
                <w:sz w:val="24"/>
                <w:szCs w:val="24"/>
              </w:rPr>
              <w:t>m</w:t>
            </w:r>
            <w:r>
              <w:rPr>
                <w:rFonts w:hint="default"/>
                <w:sz w:val="24"/>
                <w:szCs w:val="24"/>
                <w:vertAlign w:val="superscript"/>
              </w:rPr>
              <w:t>3</w:t>
            </w:r>
            <w:r>
              <w:rPr>
                <w:rFonts w:hint="eastAsia"/>
                <w:sz w:val="24"/>
                <w:szCs w:val="24"/>
                <w:lang w:val="en-US" w:eastAsia="zh-CN"/>
              </w:rPr>
              <w:t>酸碱废水。酸碱废水排入中和池进行酸碱中和处理，然后通过厂区现有废水排口排入洪江高新区污水处理厂。酸碱废水产生量为20</w:t>
            </w:r>
            <w:r>
              <w:rPr>
                <w:rFonts w:hint="default"/>
                <w:sz w:val="24"/>
                <w:szCs w:val="24"/>
              </w:rPr>
              <w:t>m</w:t>
            </w:r>
            <w:r>
              <w:rPr>
                <w:rFonts w:hint="default"/>
                <w:sz w:val="24"/>
                <w:szCs w:val="24"/>
                <w:vertAlign w:val="superscript"/>
              </w:rPr>
              <w:t>3</w:t>
            </w:r>
            <w:r>
              <w:rPr>
                <w:rFonts w:hint="eastAsia"/>
                <w:sz w:val="24"/>
                <w:szCs w:val="24"/>
                <w:lang w:val="en-US" w:eastAsia="zh-CN"/>
              </w:rPr>
              <w:t>/a。</w:t>
            </w:r>
          </w:p>
          <w:p>
            <w:pPr>
              <w:pStyle w:val="3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根据类比同类供水系统项目，</w:t>
            </w:r>
            <w:r>
              <w:rPr>
                <w:rFonts w:ascii="宋体" w:hAnsi="宋体" w:eastAsia="宋体" w:cs="宋体"/>
                <w:sz w:val="24"/>
                <w:szCs w:val="24"/>
              </w:rPr>
              <w:t>纯水制备产生的去离子浓水主要污染物为</w:t>
            </w:r>
            <w:r>
              <w:rPr>
                <w:rFonts w:hint="default" w:ascii="Times New Roman" w:hAnsi="Times New Roman" w:eastAsia="宋体" w:cs="Times New Roman"/>
                <w:sz w:val="24"/>
                <w:szCs w:val="24"/>
              </w:rPr>
              <w:t>Ca、Mg、Na、C</w:t>
            </w:r>
            <w:r>
              <w:rPr>
                <w:rFonts w:hint="eastAsia" w:ascii="Times New Roman" w:hAnsi="Times New Roman" w:eastAsia="宋体" w:cs="Times New Roman"/>
                <w:sz w:val="24"/>
                <w:szCs w:val="24"/>
                <w:lang w:val="en-US" w:eastAsia="zh-CN"/>
              </w:rPr>
              <w:t>l</w:t>
            </w:r>
            <w:r>
              <w:rPr>
                <w:rFonts w:ascii="宋体" w:hAnsi="宋体" w:eastAsia="宋体" w:cs="宋体"/>
                <w:sz w:val="24"/>
                <w:szCs w:val="24"/>
              </w:rPr>
              <w:t>等离子</w:t>
            </w:r>
            <w:r>
              <w:rPr>
                <w:rFonts w:hint="eastAsia"/>
                <w:lang w:val="en-US" w:eastAsia="zh-CN"/>
              </w:rPr>
              <w:t>。</w:t>
            </w:r>
            <w:r>
              <w:rPr>
                <w:rFonts w:hint="default" w:ascii="Times New Roman" w:hAnsi="Times New Roman" w:eastAsia="宋体" w:cs="Times New Roman"/>
                <w:color w:val="auto"/>
                <w:highlight w:val="none"/>
                <w:u w:val="none"/>
                <w:lang w:eastAsia="zh-CN"/>
              </w:rPr>
              <w:t>产生的</w:t>
            </w:r>
            <w:r>
              <w:rPr>
                <w:rFonts w:hint="eastAsia" w:cs="Times New Roman"/>
                <w:color w:val="auto"/>
                <w:highlight w:val="none"/>
                <w:u w:val="none"/>
                <w:lang w:val="en-US" w:eastAsia="zh-CN"/>
              </w:rPr>
              <w:t>浓水</w:t>
            </w:r>
            <w:r>
              <w:rPr>
                <w:rFonts w:hint="default" w:ascii="Times New Roman" w:hAnsi="Times New Roman" w:eastAsia="宋体" w:cs="Times New Roman"/>
                <w:color w:val="auto"/>
                <w:highlight w:val="none"/>
                <w:u w:val="none"/>
                <w:lang w:eastAsia="zh-CN"/>
              </w:rPr>
              <w:t>中</w:t>
            </w:r>
            <w:r>
              <w:rPr>
                <w:rFonts w:hint="eastAsia" w:cs="Times New Roman"/>
                <w:color w:val="auto"/>
                <w:highlight w:val="none"/>
                <w:u w:val="none"/>
                <w:lang w:val="en-US" w:eastAsia="zh-CN"/>
              </w:rPr>
              <w:t>全盐量</w:t>
            </w:r>
            <w:r>
              <w:rPr>
                <w:rFonts w:hint="default" w:ascii="Times New Roman" w:hAnsi="Times New Roman" w:eastAsia="宋体" w:cs="Times New Roman"/>
                <w:color w:val="auto"/>
                <w:highlight w:val="none"/>
                <w:u w:val="none"/>
                <w:lang w:eastAsia="zh-CN"/>
              </w:rPr>
              <w:t>浓度约为30mg/L</w:t>
            </w:r>
            <w:r>
              <w:rPr>
                <w:rFonts w:hint="eastAsia" w:cs="Times New Roman"/>
                <w:color w:val="auto"/>
                <w:highlight w:val="none"/>
                <w:u w:val="none"/>
                <w:lang w:eastAsia="zh-CN"/>
              </w:rPr>
              <w:t>。</w:t>
            </w:r>
            <w:r>
              <w:rPr>
                <w:rFonts w:hint="eastAsia"/>
                <w:lang w:val="en-US" w:eastAsia="zh-CN"/>
              </w:rPr>
              <w:t>软水再生废水、纯水再生废水和纯水酸碱废水</w:t>
            </w:r>
            <w:r>
              <w:rPr>
                <w:rFonts w:ascii="宋体" w:hAnsi="宋体" w:eastAsia="宋体" w:cs="宋体"/>
                <w:sz w:val="24"/>
                <w:szCs w:val="24"/>
              </w:rPr>
              <w:t>主要污染物为</w:t>
            </w:r>
            <w:r>
              <w:rPr>
                <w:rFonts w:hint="default" w:ascii="Times New Roman" w:hAnsi="Times New Roman" w:eastAsia="宋体" w:cs="Times New Roman"/>
                <w:sz w:val="24"/>
                <w:szCs w:val="24"/>
              </w:rPr>
              <w:t>C</w:t>
            </w:r>
            <w:r>
              <w:rPr>
                <w:rFonts w:hint="eastAsia" w:ascii="Times New Roman" w:hAnsi="Times New Roman" w:eastAsia="宋体" w:cs="Times New Roman"/>
                <w:sz w:val="24"/>
                <w:szCs w:val="24"/>
                <w:lang w:val="en-US" w:eastAsia="zh-CN"/>
              </w:rPr>
              <w:t>l</w:t>
            </w:r>
            <w:r>
              <w:rPr>
                <w:rFonts w:ascii="宋体" w:hAnsi="宋体" w:eastAsia="宋体" w:cs="宋体"/>
                <w:sz w:val="24"/>
                <w:szCs w:val="24"/>
              </w:rPr>
              <w:t>离子</w:t>
            </w:r>
            <w:r>
              <w:rPr>
                <w:rFonts w:hint="eastAsia" w:ascii="宋体" w:hAnsi="宋体" w:cs="宋体"/>
                <w:sz w:val="24"/>
                <w:szCs w:val="24"/>
                <w:lang w:eastAsia="zh-CN"/>
              </w:rPr>
              <w:t>，</w:t>
            </w:r>
            <w:r>
              <w:rPr>
                <w:rFonts w:hint="default" w:ascii="Times New Roman" w:hAnsi="Times New Roman" w:eastAsia="宋体" w:cs="Times New Roman"/>
                <w:color w:val="auto"/>
                <w:highlight w:val="none"/>
                <w:u w:val="none"/>
                <w:lang w:eastAsia="zh-CN"/>
              </w:rPr>
              <w:t>Cl</w:t>
            </w:r>
            <w:r>
              <w:rPr>
                <w:rFonts w:hint="default" w:ascii="Times New Roman" w:hAnsi="Times New Roman" w:eastAsia="宋体" w:cs="Times New Roman"/>
                <w:color w:val="auto"/>
                <w:highlight w:val="none"/>
                <w:u w:val="none"/>
                <w:vertAlign w:val="superscript"/>
                <w:lang w:eastAsia="zh-CN"/>
              </w:rPr>
              <w:t>-</w:t>
            </w:r>
            <w:r>
              <w:rPr>
                <w:rFonts w:hint="default" w:ascii="Times New Roman" w:hAnsi="Times New Roman" w:eastAsia="宋体" w:cs="Times New Roman"/>
                <w:color w:val="auto"/>
                <w:highlight w:val="none"/>
                <w:u w:val="none"/>
                <w:lang w:eastAsia="zh-CN"/>
              </w:rPr>
              <w:t>浓度约为</w:t>
            </w:r>
            <w:r>
              <w:rPr>
                <w:rFonts w:hint="eastAsia" w:cs="Times New Roman"/>
                <w:color w:val="auto"/>
                <w:highlight w:val="none"/>
                <w:u w:val="none"/>
                <w:lang w:val="en-US" w:eastAsia="zh-CN"/>
              </w:rPr>
              <w:t>4</w:t>
            </w:r>
            <w:r>
              <w:rPr>
                <w:rFonts w:hint="default" w:ascii="Times New Roman" w:hAnsi="Times New Roman" w:eastAsia="宋体" w:cs="Times New Roman"/>
                <w:color w:val="auto"/>
                <w:highlight w:val="none"/>
                <w:u w:val="none"/>
                <w:lang w:eastAsia="zh-CN"/>
              </w:rPr>
              <w:t>0mg/L</w:t>
            </w:r>
            <w:r>
              <w:rPr>
                <w:rFonts w:hint="eastAsia"/>
                <w:lang w:val="en-US" w:eastAsia="zh-CN"/>
              </w:rPr>
              <w:t>。项目生产废水产排情况见下表：</w:t>
            </w:r>
          </w:p>
          <w:p>
            <w:pPr>
              <w:pStyle w:val="32"/>
              <w:bidi w:val="0"/>
              <w:rPr>
                <w:rFonts w:hint="default"/>
              </w:rPr>
            </w:pPr>
            <w:r>
              <w:rPr>
                <w:rFonts w:hint="default"/>
              </w:rPr>
              <w:t>表</w:t>
            </w:r>
            <w:r>
              <w:rPr>
                <w:rFonts w:hint="eastAsia"/>
                <w:lang w:val="en-US" w:eastAsia="zh-CN"/>
              </w:rPr>
              <w:t>4-1</w:t>
            </w:r>
            <w:r>
              <w:rPr>
                <w:rFonts w:hint="default"/>
              </w:rPr>
              <w:t xml:space="preserve"> 本项目废水产生及排放情况一览表</w:t>
            </w:r>
          </w:p>
          <w:tbl>
            <w:tblPr>
              <w:tblStyle w:val="22"/>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85"/>
              <w:gridCol w:w="873"/>
              <w:gridCol w:w="1618"/>
              <w:gridCol w:w="1328"/>
              <w:gridCol w:w="25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685" w:type="dxa"/>
                  <w:noWrap w:val="0"/>
                  <w:vAlign w:val="center"/>
                </w:tcPr>
                <w:p>
                  <w:pPr>
                    <w:pStyle w:val="37"/>
                    <w:rPr>
                      <w:rFonts w:hint="default"/>
                    </w:rPr>
                  </w:pPr>
                  <w:r>
                    <w:rPr>
                      <w:rFonts w:hint="default"/>
                    </w:rPr>
                    <w:t>排放源</w:t>
                  </w:r>
                </w:p>
              </w:tc>
              <w:tc>
                <w:tcPr>
                  <w:tcW w:w="873" w:type="dxa"/>
                  <w:noWrap w:val="0"/>
                  <w:vAlign w:val="center"/>
                </w:tcPr>
                <w:p>
                  <w:pPr>
                    <w:pStyle w:val="37"/>
                    <w:rPr>
                      <w:rFonts w:hint="default"/>
                    </w:rPr>
                  </w:pPr>
                  <w:r>
                    <w:rPr>
                      <w:rFonts w:hint="default"/>
                    </w:rPr>
                    <w:t>因子</w:t>
                  </w:r>
                </w:p>
              </w:tc>
              <w:tc>
                <w:tcPr>
                  <w:tcW w:w="1618" w:type="dxa"/>
                  <w:noWrap w:val="0"/>
                  <w:vAlign w:val="center"/>
                </w:tcPr>
                <w:p>
                  <w:pPr>
                    <w:pStyle w:val="37"/>
                    <w:rPr>
                      <w:rFonts w:hint="default"/>
                    </w:rPr>
                  </w:pPr>
                  <w:r>
                    <w:rPr>
                      <w:rFonts w:hint="default"/>
                    </w:rPr>
                    <w:t>产生浓度（mg/L）</w:t>
                  </w:r>
                </w:p>
              </w:tc>
              <w:tc>
                <w:tcPr>
                  <w:tcW w:w="1328" w:type="dxa"/>
                  <w:noWrap w:val="0"/>
                  <w:vAlign w:val="center"/>
                </w:tcPr>
                <w:p>
                  <w:pPr>
                    <w:pStyle w:val="37"/>
                    <w:rPr>
                      <w:rFonts w:hint="default"/>
                    </w:rPr>
                  </w:pPr>
                  <w:r>
                    <w:rPr>
                      <w:rFonts w:hint="default"/>
                    </w:rPr>
                    <w:t>产生量（t/a）</w:t>
                  </w:r>
                </w:p>
              </w:tc>
              <w:tc>
                <w:tcPr>
                  <w:tcW w:w="2583" w:type="dxa"/>
                  <w:noWrap w:val="0"/>
                  <w:vAlign w:val="center"/>
                </w:tcPr>
                <w:p>
                  <w:pPr>
                    <w:pStyle w:val="37"/>
                    <w:rPr>
                      <w:rFonts w:hint="default"/>
                    </w:rPr>
                  </w:pPr>
                  <w:r>
                    <w:rPr>
                      <w:rFonts w:hint="default"/>
                    </w:rPr>
                    <w:t>处理设施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32" w:hRule="atLeast"/>
              </w:trPr>
              <w:tc>
                <w:tcPr>
                  <w:tcW w:w="1685" w:type="dxa"/>
                  <w:noWrap w:val="0"/>
                  <w:vAlign w:val="center"/>
                </w:tcPr>
                <w:p>
                  <w:pPr>
                    <w:pStyle w:val="37"/>
                    <w:bidi w:val="0"/>
                    <w:rPr>
                      <w:rFonts w:hint="default"/>
                    </w:rPr>
                  </w:pPr>
                  <w:r>
                    <w:rPr>
                      <w:rFonts w:hint="eastAsia"/>
                      <w:lang w:val="en-US" w:eastAsia="zh-CN"/>
                    </w:rPr>
                    <w:t>浓水</w:t>
                  </w:r>
                  <w:r>
                    <w:rPr>
                      <w:rFonts w:hint="default"/>
                    </w:rPr>
                    <w:t>（</w:t>
                  </w:r>
                  <w:r>
                    <w:rPr>
                      <w:rFonts w:hint="eastAsia"/>
                      <w:lang w:val="en-US" w:eastAsia="zh-CN"/>
                    </w:rPr>
                    <w:t>328500</w:t>
                  </w:r>
                  <w:r>
                    <w:rPr>
                      <w:rFonts w:hint="default"/>
                    </w:rPr>
                    <w:t>m</w:t>
                  </w:r>
                  <w:r>
                    <w:rPr>
                      <w:rFonts w:hint="default"/>
                      <w:vertAlign w:val="superscript"/>
                    </w:rPr>
                    <w:t>3</w:t>
                  </w:r>
                  <w:r>
                    <w:rPr>
                      <w:rFonts w:hint="default"/>
                    </w:rPr>
                    <w:t>/</w:t>
                  </w:r>
                  <w:r>
                    <w:rPr>
                      <w:rFonts w:hint="eastAsia"/>
                      <w:lang w:val="en-US" w:eastAsia="zh-CN"/>
                    </w:rPr>
                    <w:t>a</w:t>
                  </w:r>
                  <w:r>
                    <w:rPr>
                      <w:rFonts w:hint="default"/>
                    </w:rPr>
                    <w:t>）</w:t>
                  </w:r>
                </w:p>
              </w:tc>
              <w:tc>
                <w:tcPr>
                  <w:tcW w:w="873" w:type="dxa"/>
                  <w:noWrap w:val="0"/>
                  <w:vAlign w:val="center"/>
                </w:tcPr>
                <w:p>
                  <w:pPr>
                    <w:pStyle w:val="37"/>
                    <w:bidi w:val="0"/>
                    <w:rPr>
                      <w:rFonts w:hint="default"/>
                      <w:lang w:val="en-US" w:eastAsia="zh-CN"/>
                    </w:rPr>
                  </w:pPr>
                  <w:r>
                    <w:rPr>
                      <w:rFonts w:hint="eastAsia"/>
                      <w:lang w:val="en-US" w:eastAsia="zh-CN"/>
                    </w:rPr>
                    <w:t>全盐量</w:t>
                  </w:r>
                </w:p>
              </w:tc>
              <w:tc>
                <w:tcPr>
                  <w:tcW w:w="1618" w:type="dxa"/>
                  <w:noWrap w:val="0"/>
                  <w:vAlign w:val="center"/>
                </w:tcPr>
                <w:p>
                  <w:pPr>
                    <w:pStyle w:val="37"/>
                    <w:bidi w:val="0"/>
                    <w:rPr>
                      <w:rFonts w:hint="default"/>
                      <w:lang w:val="en-US" w:eastAsia="zh-CN"/>
                    </w:rPr>
                  </w:pPr>
                  <w:r>
                    <w:rPr>
                      <w:rFonts w:hint="eastAsia"/>
                      <w:lang w:val="en-US" w:eastAsia="zh-CN"/>
                    </w:rPr>
                    <w:t>30</w:t>
                  </w:r>
                </w:p>
              </w:tc>
              <w:tc>
                <w:tcPr>
                  <w:tcW w:w="1328" w:type="dxa"/>
                  <w:noWrap w:val="0"/>
                  <w:vAlign w:val="center"/>
                </w:tcPr>
                <w:p>
                  <w:pPr>
                    <w:pStyle w:val="37"/>
                    <w:bidi w:val="0"/>
                    <w:rPr>
                      <w:rFonts w:hint="default"/>
                      <w:lang w:val="en-US" w:eastAsia="zh-CN"/>
                    </w:rPr>
                  </w:pPr>
                  <w:r>
                    <w:rPr>
                      <w:rFonts w:hint="eastAsia"/>
                      <w:lang w:val="en-US" w:eastAsia="zh-CN"/>
                    </w:rPr>
                    <w:t>9.855</w:t>
                  </w:r>
                </w:p>
              </w:tc>
              <w:tc>
                <w:tcPr>
                  <w:tcW w:w="2583" w:type="dxa"/>
                  <w:noWrap w:val="0"/>
                  <w:vAlign w:val="center"/>
                </w:tcPr>
                <w:p>
                  <w:pPr>
                    <w:pStyle w:val="37"/>
                    <w:bidi w:val="0"/>
                    <w:rPr>
                      <w:rFonts w:hint="default"/>
                    </w:rPr>
                  </w:pPr>
                  <w:r>
                    <w:rPr>
                      <w:rFonts w:hint="eastAsia"/>
                      <w:lang w:val="en-US" w:eastAsia="zh-CN"/>
                    </w:rPr>
                    <w:t>175200m</w:t>
                  </w:r>
                  <w:r>
                    <w:rPr>
                      <w:rFonts w:hint="eastAsia"/>
                      <w:vertAlign w:val="superscript"/>
                      <w:lang w:val="en-US" w:eastAsia="zh-CN"/>
                    </w:rPr>
                    <w:t>3</w:t>
                  </w:r>
                  <w:r>
                    <w:rPr>
                      <w:rFonts w:hint="eastAsia"/>
                      <w:lang w:val="en-US" w:eastAsia="zh-CN"/>
                    </w:rPr>
                    <w:t>/a用于</w:t>
                  </w:r>
                  <w:r>
                    <w:rPr>
                      <w:rFonts w:hint="eastAsia"/>
                      <w:vertAlign w:val="baseline"/>
                      <w:lang w:val="en-US" w:eastAsia="zh-CN"/>
                    </w:rPr>
                    <w:t>补充硫酸车间生产补充水、干排冷却滚筒冷却用水以及企业厂区绿化施水；153300</w:t>
                  </w:r>
                  <w:r>
                    <w:rPr>
                      <w:rFonts w:hint="eastAsia"/>
                      <w:lang w:val="en-US" w:eastAsia="zh-CN"/>
                    </w:rPr>
                    <w:t>m</w:t>
                  </w:r>
                  <w:r>
                    <w:rPr>
                      <w:rFonts w:hint="eastAsia"/>
                      <w:vertAlign w:val="superscript"/>
                      <w:lang w:val="en-US" w:eastAsia="zh-CN"/>
                    </w:rPr>
                    <w:t>3</w:t>
                  </w:r>
                  <w:r>
                    <w:rPr>
                      <w:rFonts w:hint="eastAsia"/>
                      <w:lang w:val="en-US" w:eastAsia="zh-CN"/>
                    </w:rPr>
                    <w:t>/a</w:t>
                  </w:r>
                  <w:r>
                    <w:rPr>
                      <w:rFonts w:hint="default"/>
                    </w:rPr>
                    <w:t>通</w:t>
                  </w:r>
                  <w:r>
                    <w:rPr>
                      <w:rFonts w:hint="default"/>
                      <w:lang w:eastAsia="zh-CN"/>
                    </w:rPr>
                    <w:t>过园区污水管网</w:t>
                  </w:r>
                  <w:r>
                    <w:rPr>
                      <w:rFonts w:hint="default"/>
                    </w:rPr>
                    <w:t>进入</w:t>
                  </w:r>
                  <w:r>
                    <w:rPr>
                      <w:rFonts w:hint="eastAsia"/>
                      <w:lang w:val="en-US" w:eastAsia="zh-CN"/>
                    </w:rPr>
                    <w:t>洪江高新区</w:t>
                  </w:r>
                  <w:r>
                    <w:rPr>
                      <w:rFonts w:hint="default"/>
                    </w:rPr>
                    <w:t>污水处理厂处理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32" w:hRule="atLeast"/>
              </w:trPr>
              <w:tc>
                <w:tcPr>
                  <w:tcW w:w="1685" w:type="dxa"/>
                  <w:noWrap w:val="0"/>
                  <w:vAlign w:val="center"/>
                </w:tcPr>
                <w:p>
                  <w:pPr>
                    <w:pStyle w:val="37"/>
                    <w:bidi w:val="0"/>
                    <w:rPr>
                      <w:rFonts w:hint="eastAsia"/>
                      <w:lang w:val="en-US" w:eastAsia="zh-CN"/>
                    </w:rPr>
                  </w:pPr>
                  <w:r>
                    <w:rPr>
                      <w:rFonts w:hint="eastAsia"/>
                      <w:lang w:val="en-US" w:eastAsia="zh-CN"/>
                    </w:rPr>
                    <w:t>反冲洗水</w:t>
                  </w:r>
                  <w:r>
                    <w:rPr>
                      <w:rFonts w:hint="default"/>
                    </w:rPr>
                    <w:t>（</w:t>
                  </w:r>
                  <w:r>
                    <w:rPr>
                      <w:rFonts w:hint="eastAsia"/>
                      <w:lang w:val="en-US" w:eastAsia="zh-CN"/>
                    </w:rPr>
                    <w:t>10400</w:t>
                  </w:r>
                  <w:r>
                    <w:rPr>
                      <w:rFonts w:hint="default"/>
                    </w:rPr>
                    <w:t>m</w:t>
                  </w:r>
                  <w:r>
                    <w:rPr>
                      <w:rFonts w:hint="default"/>
                      <w:vertAlign w:val="superscript"/>
                    </w:rPr>
                    <w:t>3</w:t>
                  </w:r>
                  <w:r>
                    <w:rPr>
                      <w:rFonts w:hint="default"/>
                    </w:rPr>
                    <w:t>/</w:t>
                  </w:r>
                  <w:r>
                    <w:rPr>
                      <w:rFonts w:hint="eastAsia"/>
                      <w:lang w:val="en-US" w:eastAsia="zh-CN"/>
                    </w:rPr>
                    <w:t>a</w:t>
                  </w:r>
                  <w:r>
                    <w:rPr>
                      <w:rFonts w:hint="default"/>
                    </w:rPr>
                    <w:t>）</w:t>
                  </w:r>
                </w:p>
              </w:tc>
              <w:tc>
                <w:tcPr>
                  <w:tcW w:w="873" w:type="dxa"/>
                  <w:noWrap w:val="0"/>
                  <w:vAlign w:val="center"/>
                </w:tcPr>
                <w:p>
                  <w:pPr>
                    <w:pStyle w:val="37"/>
                    <w:bidi w:val="0"/>
                    <w:rPr>
                      <w:rFonts w:hint="eastAsia"/>
                      <w:lang w:val="en-US" w:eastAsia="zh-CN"/>
                    </w:rPr>
                  </w:pPr>
                  <w:r>
                    <w:rPr>
                      <w:rFonts w:hint="eastAsia"/>
                      <w:lang w:val="en-US" w:eastAsia="zh-CN"/>
                    </w:rPr>
                    <w:t>全盐量</w:t>
                  </w:r>
                </w:p>
              </w:tc>
              <w:tc>
                <w:tcPr>
                  <w:tcW w:w="1618" w:type="dxa"/>
                  <w:noWrap w:val="0"/>
                  <w:vAlign w:val="center"/>
                </w:tcPr>
                <w:p>
                  <w:pPr>
                    <w:pStyle w:val="37"/>
                    <w:bidi w:val="0"/>
                    <w:rPr>
                      <w:rFonts w:hint="eastAsia"/>
                      <w:lang w:val="en-US" w:eastAsia="zh-CN"/>
                    </w:rPr>
                  </w:pPr>
                  <w:r>
                    <w:rPr>
                      <w:rFonts w:hint="eastAsia"/>
                      <w:lang w:val="en-US" w:eastAsia="zh-CN"/>
                    </w:rPr>
                    <w:t>30</w:t>
                  </w:r>
                </w:p>
              </w:tc>
              <w:tc>
                <w:tcPr>
                  <w:tcW w:w="1328" w:type="dxa"/>
                  <w:noWrap w:val="0"/>
                  <w:vAlign w:val="center"/>
                </w:tcPr>
                <w:p>
                  <w:pPr>
                    <w:pStyle w:val="37"/>
                    <w:bidi w:val="0"/>
                    <w:rPr>
                      <w:rFonts w:hint="default"/>
                      <w:lang w:val="en-US" w:eastAsia="zh-CN"/>
                    </w:rPr>
                  </w:pPr>
                  <w:r>
                    <w:rPr>
                      <w:rFonts w:hint="eastAsia"/>
                      <w:lang w:val="en-US" w:eastAsia="zh-CN"/>
                    </w:rPr>
                    <w:t>0.312</w:t>
                  </w:r>
                </w:p>
              </w:tc>
              <w:tc>
                <w:tcPr>
                  <w:tcW w:w="2583" w:type="dxa"/>
                  <w:noWrap w:val="0"/>
                  <w:vAlign w:val="center"/>
                </w:tcPr>
                <w:p>
                  <w:pPr>
                    <w:pStyle w:val="37"/>
                    <w:bidi w:val="0"/>
                    <w:rPr>
                      <w:rFonts w:hint="default"/>
                    </w:rPr>
                  </w:pPr>
                  <w:r>
                    <w:rPr>
                      <w:rFonts w:hint="default"/>
                    </w:rPr>
                    <w:t>通</w:t>
                  </w:r>
                  <w:r>
                    <w:rPr>
                      <w:rFonts w:hint="default"/>
                      <w:lang w:eastAsia="zh-CN"/>
                    </w:rPr>
                    <w:t>过园区污水管网</w:t>
                  </w:r>
                  <w:r>
                    <w:rPr>
                      <w:rFonts w:hint="default"/>
                    </w:rPr>
                    <w:t>进入</w:t>
                  </w:r>
                  <w:r>
                    <w:rPr>
                      <w:rFonts w:hint="eastAsia"/>
                      <w:lang w:val="en-US" w:eastAsia="zh-CN"/>
                    </w:rPr>
                    <w:t>洪江高新区</w:t>
                  </w:r>
                  <w:r>
                    <w:rPr>
                      <w:rFonts w:hint="default"/>
                    </w:rPr>
                    <w:t>污水处理厂处理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685" w:type="dxa"/>
                  <w:vMerge w:val="restart"/>
                  <w:noWrap w:val="0"/>
                  <w:vAlign w:val="center"/>
                </w:tcPr>
                <w:p>
                  <w:pPr>
                    <w:pStyle w:val="37"/>
                    <w:bidi w:val="0"/>
                    <w:rPr>
                      <w:rFonts w:hint="default" w:eastAsia="宋体"/>
                      <w:lang w:val="en-US" w:eastAsia="zh-CN"/>
                    </w:rPr>
                  </w:pPr>
                  <w:r>
                    <w:rPr>
                      <w:rFonts w:hint="eastAsia"/>
                      <w:lang w:val="en-US" w:eastAsia="zh-CN"/>
                    </w:rPr>
                    <w:t>软水再生废水（2190m</w:t>
                  </w:r>
                  <w:r>
                    <w:rPr>
                      <w:rFonts w:hint="eastAsia"/>
                      <w:vertAlign w:val="superscript"/>
                      <w:lang w:val="en-US" w:eastAsia="zh-CN"/>
                    </w:rPr>
                    <w:t>3</w:t>
                  </w:r>
                  <w:r>
                    <w:rPr>
                      <w:rFonts w:hint="eastAsia"/>
                      <w:lang w:val="en-US" w:eastAsia="zh-CN"/>
                    </w:rPr>
                    <w:t>/a）</w:t>
                  </w:r>
                </w:p>
              </w:tc>
              <w:tc>
                <w:tcPr>
                  <w:tcW w:w="873" w:type="dxa"/>
                  <w:noWrap w:val="0"/>
                  <w:vAlign w:val="center"/>
                </w:tcPr>
                <w:p>
                  <w:pPr>
                    <w:pStyle w:val="37"/>
                    <w:bidi w:val="0"/>
                    <w:rPr>
                      <w:rFonts w:hint="default"/>
                      <w:lang w:val="en-US" w:eastAsia="zh-CN"/>
                    </w:rPr>
                  </w:pPr>
                  <w:r>
                    <w:rPr>
                      <w:rFonts w:hint="default"/>
                      <w:lang w:val="en-US" w:eastAsia="zh-CN"/>
                    </w:rPr>
                    <w:t>PH</w:t>
                  </w:r>
                </w:p>
              </w:tc>
              <w:tc>
                <w:tcPr>
                  <w:tcW w:w="1618" w:type="dxa"/>
                  <w:noWrap w:val="0"/>
                  <w:vAlign w:val="center"/>
                </w:tcPr>
                <w:p>
                  <w:pPr>
                    <w:pStyle w:val="37"/>
                    <w:bidi w:val="0"/>
                    <w:rPr>
                      <w:rFonts w:hint="eastAsia"/>
                      <w:lang w:val="en-US" w:eastAsia="zh-CN"/>
                    </w:rPr>
                  </w:pPr>
                  <w:r>
                    <w:rPr>
                      <w:rFonts w:hint="eastAsia"/>
                      <w:lang w:val="en-US" w:eastAsia="zh-CN"/>
                    </w:rPr>
                    <w:t>6</w:t>
                  </w:r>
                  <w:r>
                    <w:rPr>
                      <w:rFonts w:hint="default"/>
                      <w:lang w:val="en-US" w:eastAsia="zh-CN"/>
                    </w:rPr>
                    <w:t>~</w:t>
                  </w:r>
                  <w:r>
                    <w:rPr>
                      <w:rFonts w:hint="eastAsia"/>
                      <w:lang w:val="en-US" w:eastAsia="zh-CN"/>
                    </w:rPr>
                    <w:t>9</w:t>
                  </w:r>
                  <w:r>
                    <w:rPr>
                      <w:rFonts w:hint="default"/>
                      <w:lang w:val="en-US" w:eastAsia="zh-CN"/>
                    </w:rPr>
                    <w:t>（无量纲）</w:t>
                  </w:r>
                </w:p>
              </w:tc>
              <w:tc>
                <w:tcPr>
                  <w:tcW w:w="1328" w:type="dxa"/>
                  <w:noWrap w:val="0"/>
                  <w:vAlign w:val="center"/>
                </w:tcPr>
                <w:p>
                  <w:pPr>
                    <w:pStyle w:val="37"/>
                    <w:bidi w:val="0"/>
                    <w:rPr>
                      <w:rFonts w:hint="eastAsia"/>
                      <w:lang w:val="en-US" w:eastAsia="zh-CN"/>
                    </w:rPr>
                  </w:pPr>
                  <w:r>
                    <w:rPr>
                      <w:rFonts w:hint="default"/>
                      <w:lang w:val="en-US" w:eastAsia="zh-CN"/>
                    </w:rPr>
                    <w:t>/</w:t>
                  </w:r>
                </w:p>
              </w:tc>
              <w:tc>
                <w:tcPr>
                  <w:tcW w:w="2583" w:type="dxa"/>
                  <w:vMerge w:val="restart"/>
                  <w:noWrap w:val="0"/>
                  <w:vAlign w:val="center"/>
                </w:tcPr>
                <w:p>
                  <w:pPr>
                    <w:pStyle w:val="37"/>
                    <w:bidi w:val="0"/>
                    <w:rPr>
                      <w:rFonts w:hint="eastAsia"/>
                      <w:lang w:eastAsia="zh-CN"/>
                    </w:rPr>
                  </w:pPr>
                  <w:r>
                    <w:rPr>
                      <w:rFonts w:hint="eastAsia"/>
                      <w:lang w:val="en-US" w:eastAsia="zh-CN"/>
                    </w:rPr>
                    <w:t>纯水再生废水、化学清洗废水先通过中和池酸碱中和后</w:t>
                  </w:r>
                  <w:r>
                    <w:rPr>
                      <w:rFonts w:hint="default"/>
                    </w:rPr>
                    <w:t>通</w:t>
                  </w:r>
                  <w:r>
                    <w:rPr>
                      <w:rFonts w:hint="default"/>
                      <w:lang w:eastAsia="zh-CN"/>
                    </w:rPr>
                    <w:t>过园区污水管网</w:t>
                  </w:r>
                  <w:r>
                    <w:rPr>
                      <w:rFonts w:hint="default"/>
                    </w:rPr>
                    <w:t>进入</w:t>
                  </w:r>
                  <w:r>
                    <w:rPr>
                      <w:rFonts w:hint="eastAsia"/>
                      <w:lang w:val="en-US" w:eastAsia="zh-CN"/>
                    </w:rPr>
                    <w:t>洪江高新区</w:t>
                  </w:r>
                  <w:r>
                    <w:rPr>
                      <w:rFonts w:hint="default"/>
                    </w:rPr>
                    <w:t>污水处理厂处理</w:t>
                  </w:r>
                  <w:r>
                    <w:rPr>
                      <w:rFonts w:hint="eastAsia"/>
                      <w:lang w:eastAsia="zh-CN"/>
                    </w:rPr>
                    <w:t>；</w:t>
                  </w:r>
                </w:p>
                <w:p>
                  <w:pPr>
                    <w:pStyle w:val="37"/>
                    <w:bidi w:val="0"/>
                    <w:rPr>
                      <w:rFonts w:hint="default"/>
                    </w:rPr>
                  </w:pPr>
                  <w:r>
                    <w:rPr>
                      <w:rFonts w:hint="eastAsia"/>
                      <w:lang w:val="en-US" w:eastAsia="zh-CN"/>
                    </w:rPr>
                    <w:t>软水再生废水流入污水收集池</w:t>
                  </w:r>
                  <w:r>
                    <w:rPr>
                      <w:rFonts w:hint="default"/>
                    </w:rPr>
                    <w:t>后通</w:t>
                  </w:r>
                  <w:r>
                    <w:rPr>
                      <w:rFonts w:hint="default"/>
                      <w:lang w:eastAsia="zh-CN"/>
                    </w:rPr>
                    <w:t>过园区污水管网</w:t>
                  </w:r>
                  <w:r>
                    <w:rPr>
                      <w:rFonts w:hint="default"/>
                    </w:rPr>
                    <w:t>进入</w:t>
                  </w:r>
                  <w:r>
                    <w:rPr>
                      <w:rFonts w:hint="eastAsia"/>
                      <w:lang w:val="en-US" w:eastAsia="zh-CN"/>
                    </w:rPr>
                    <w:t>洪江高新区</w:t>
                  </w:r>
                  <w:r>
                    <w:rPr>
                      <w:rFonts w:hint="default"/>
                    </w:rPr>
                    <w:t>污水处理厂处理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685" w:type="dxa"/>
                  <w:vMerge w:val="continue"/>
                  <w:noWrap w:val="0"/>
                  <w:vAlign w:val="center"/>
                </w:tcPr>
                <w:p>
                  <w:pPr>
                    <w:pStyle w:val="37"/>
                    <w:bidi w:val="0"/>
                    <w:rPr>
                      <w:rFonts w:hint="default"/>
                    </w:rPr>
                  </w:pPr>
                </w:p>
              </w:tc>
              <w:tc>
                <w:tcPr>
                  <w:tcW w:w="873" w:type="dxa"/>
                  <w:noWrap w:val="0"/>
                  <w:vAlign w:val="center"/>
                </w:tcPr>
                <w:p>
                  <w:pPr>
                    <w:pStyle w:val="37"/>
                    <w:bidi w:val="0"/>
                    <w:rPr>
                      <w:rFonts w:hint="default"/>
                      <w:lang w:val="en-US" w:eastAsia="zh-CN"/>
                    </w:rPr>
                  </w:pPr>
                  <w:r>
                    <w:rPr>
                      <w:rFonts w:hint="eastAsia"/>
                      <w:lang w:val="en-US" w:eastAsia="zh-CN"/>
                    </w:rPr>
                    <w:t>氯化物</w:t>
                  </w:r>
                </w:p>
              </w:tc>
              <w:tc>
                <w:tcPr>
                  <w:tcW w:w="1618" w:type="dxa"/>
                  <w:noWrap w:val="0"/>
                  <w:vAlign w:val="center"/>
                </w:tcPr>
                <w:p>
                  <w:pPr>
                    <w:pStyle w:val="37"/>
                    <w:bidi w:val="0"/>
                    <w:rPr>
                      <w:rFonts w:hint="default"/>
                      <w:lang w:val="en-US" w:eastAsia="zh-CN"/>
                    </w:rPr>
                  </w:pPr>
                  <w:r>
                    <w:rPr>
                      <w:rFonts w:hint="eastAsia"/>
                      <w:lang w:val="en-US" w:eastAsia="zh-CN"/>
                    </w:rPr>
                    <w:t>40</w:t>
                  </w:r>
                </w:p>
              </w:tc>
              <w:tc>
                <w:tcPr>
                  <w:tcW w:w="1328" w:type="dxa"/>
                  <w:noWrap w:val="0"/>
                  <w:vAlign w:val="center"/>
                </w:tcPr>
                <w:p>
                  <w:pPr>
                    <w:pStyle w:val="37"/>
                    <w:bidi w:val="0"/>
                    <w:rPr>
                      <w:rFonts w:hint="default"/>
                      <w:lang w:val="en-US" w:eastAsia="zh-CN"/>
                    </w:rPr>
                  </w:pPr>
                  <w:r>
                    <w:rPr>
                      <w:rFonts w:hint="eastAsia"/>
                      <w:lang w:val="en-US" w:eastAsia="zh-CN"/>
                    </w:rPr>
                    <w:t>0.0876</w:t>
                  </w:r>
                </w:p>
              </w:tc>
              <w:tc>
                <w:tcPr>
                  <w:tcW w:w="2583" w:type="dxa"/>
                  <w:vMerge w:val="continue"/>
                  <w:noWrap w:val="0"/>
                  <w:vAlign w:val="center"/>
                </w:tcPr>
                <w:p>
                  <w:pPr>
                    <w:pStyle w:val="37"/>
                    <w:bidi w:val="0"/>
                    <w:rPr>
                      <w:rFonts w:hint="default"/>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685" w:type="dxa"/>
                  <w:vMerge w:val="restart"/>
                  <w:noWrap w:val="0"/>
                  <w:vAlign w:val="center"/>
                </w:tcPr>
                <w:p>
                  <w:pPr>
                    <w:pStyle w:val="37"/>
                    <w:bidi w:val="0"/>
                    <w:rPr>
                      <w:rFonts w:hint="default"/>
                    </w:rPr>
                  </w:pPr>
                  <w:r>
                    <w:rPr>
                      <w:rFonts w:hint="eastAsia"/>
                      <w:lang w:val="en-US" w:eastAsia="zh-CN"/>
                    </w:rPr>
                    <w:t>纯水再生废水（4745m</w:t>
                  </w:r>
                  <w:r>
                    <w:rPr>
                      <w:rFonts w:hint="eastAsia"/>
                      <w:vertAlign w:val="superscript"/>
                      <w:lang w:val="en-US" w:eastAsia="zh-CN"/>
                    </w:rPr>
                    <w:t>3</w:t>
                  </w:r>
                  <w:r>
                    <w:rPr>
                      <w:rFonts w:hint="eastAsia"/>
                      <w:lang w:val="en-US" w:eastAsia="zh-CN"/>
                    </w:rPr>
                    <w:t>/a）</w:t>
                  </w:r>
                </w:p>
              </w:tc>
              <w:tc>
                <w:tcPr>
                  <w:tcW w:w="873" w:type="dxa"/>
                  <w:noWrap w:val="0"/>
                  <w:vAlign w:val="center"/>
                </w:tcPr>
                <w:p>
                  <w:pPr>
                    <w:pStyle w:val="37"/>
                    <w:bidi w:val="0"/>
                    <w:rPr>
                      <w:rFonts w:hint="eastAsia"/>
                      <w:lang w:val="en-US" w:eastAsia="zh-CN"/>
                    </w:rPr>
                  </w:pPr>
                  <w:r>
                    <w:rPr>
                      <w:rFonts w:hint="default"/>
                      <w:lang w:val="en-US" w:eastAsia="zh-CN"/>
                    </w:rPr>
                    <w:t>PH</w:t>
                  </w:r>
                </w:p>
              </w:tc>
              <w:tc>
                <w:tcPr>
                  <w:tcW w:w="1618" w:type="dxa"/>
                  <w:noWrap w:val="0"/>
                  <w:vAlign w:val="center"/>
                </w:tcPr>
                <w:p>
                  <w:pPr>
                    <w:pStyle w:val="37"/>
                    <w:bidi w:val="0"/>
                    <w:rPr>
                      <w:rFonts w:hint="eastAsia"/>
                      <w:lang w:val="en-US" w:eastAsia="zh-CN"/>
                    </w:rPr>
                  </w:pPr>
                  <w:r>
                    <w:rPr>
                      <w:rFonts w:hint="eastAsia"/>
                      <w:lang w:val="en-US" w:eastAsia="zh-CN"/>
                    </w:rPr>
                    <w:t>6</w:t>
                  </w:r>
                  <w:r>
                    <w:rPr>
                      <w:rFonts w:hint="default"/>
                      <w:lang w:val="en-US" w:eastAsia="zh-CN"/>
                    </w:rPr>
                    <w:t>~</w:t>
                  </w:r>
                  <w:r>
                    <w:rPr>
                      <w:rFonts w:hint="eastAsia"/>
                      <w:lang w:val="en-US" w:eastAsia="zh-CN"/>
                    </w:rPr>
                    <w:t>9</w:t>
                  </w:r>
                  <w:r>
                    <w:rPr>
                      <w:rFonts w:hint="default"/>
                      <w:lang w:val="en-US" w:eastAsia="zh-CN"/>
                    </w:rPr>
                    <w:t>（无量纲）</w:t>
                  </w:r>
                </w:p>
              </w:tc>
              <w:tc>
                <w:tcPr>
                  <w:tcW w:w="1328" w:type="dxa"/>
                  <w:noWrap w:val="0"/>
                  <w:vAlign w:val="center"/>
                </w:tcPr>
                <w:p>
                  <w:pPr>
                    <w:pStyle w:val="37"/>
                    <w:bidi w:val="0"/>
                    <w:rPr>
                      <w:rFonts w:hint="eastAsia"/>
                      <w:lang w:val="en-US" w:eastAsia="zh-CN"/>
                    </w:rPr>
                  </w:pPr>
                  <w:r>
                    <w:rPr>
                      <w:rFonts w:hint="default"/>
                      <w:lang w:val="en-US" w:eastAsia="zh-CN"/>
                    </w:rPr>
                    <w:t>/</w:t>
                  </w:r>
                </w:p>
              </w:tc>
              <w:tc>
                <w:tcPr>
                  <w:tcW w:w="2583" w:type="dxa"/>
                  <w:vMerge w:val="continue"/>
                  <w:noWrap w:val="0"/>
                  <w:vAlign w:val="center"/>
                </w:tcPr>
                <w:p>
                  <w:pPr>
                    <w:pStyle w:val="37"/>
                    <w:bidi w:val="0"/>
                    <w:rPr>
                      <w:rFonts w:hint="default"/>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685" w:type="dxa"/>
                  <w:vMerge w:val="continue"/>
                  <w:noWrap w:val="0"/>
                  <w:vAlign w:val="center"/>
                </w:tcPr>
                <w:p>
                  <w:pPr>
                    <w:pStyle w:val="37"/>
                    <w:bidi w:val="0"/>
                    <w:rPr>
                      <w:rFonts w:hint="default"/>
                    </w:rPr>
                  </w:pPr>
                </w:p>
              </w:tc>
              <w:tc>
                <w:tcPr>
                  <w:tcW w:w="873" w:type="dxa"/>
                  <w:noWrap w:val="0"/>
                  <w:vAlign w:val="center"/>
                </w:tcPr>
                <w:p>
                  <w:pPr>
                    <w:pStyle w:val="37"/>
                    <w:bidi w:val="0"/>
                    <w:rPr>
                      <w:rFonts w:hint="eastAsia"/>
                      <w:lang w:val="en-US" w:eastAsia="zh-CN"/>
                    </w:rPr>
                  </w:pPr>
                  <w:r>
                    <w:rPr>
                      <w:rFonts w:hint="eastAsia"/>
                      <w:lang w:val="en-US" w:eastAsia="zh-CN"/>
                    </w:rPr>
                    <w:t>氯化物</w:t>
                  </w:r>
                </w:p>
              </w:tc>
              <w:tc>
                <w:tcPr>
                  <w:tcW w:w="1618" w:type="dxa"/>
                  <w:noWrap w:val="0"/>
                  <w:vAlign w:val="center"/>
                </w:tcPr>
                <w:p>
                  <w:pPr>
                    <w:pStyle w:val="37"/>
                    <w:bidi w:val="0"/>
                    <w:rPr>
                      <w:rFonts w:hint="eastAsia"/>
                      <w:lang w:val="en-US" w:eastAsia="zh-CN"/>
                    </w:rPr>
                  </w:pPr>
                  <w:r>
                    <w:rPr>
                      <w:rFonts w:hint="eastAsia"/>
                      <w:lang w:val="en-US" w:eastAsia="zh-CN"/>
                    </w:rPr>
                    <w:t>40</w:t>
                  </w:r>
                </w:p>
              </w:tc>
              <w:tc>
                <w:tcPr>
                  <w:tcW w:w="1328" w:type="dxa"/>
                  <w:noWrap w:val="0"/>
                  <w:vAlign w:val="center"/>
                </w:tcPr>
                <w:p>
                  <w:pPr>
                    <w:pStyle w:val="37"/>
                    <w:bidi w:val="0"/>
                    <w:rPr>
                      <w:rFonts w:hint="default"/>
                      <w:lang w:val="en-US" w:eastAsia="zh-CN"/>
                    </w:rPr>
                  </w:pPr>
                  <w:r>
                    <w:rPr>
                      <w:rFonts w:hint="eastAsia"/>
                      <w:lang w:val="en-US" w:eastAsia="zh-CN"/>
                    </w:rPr>
                    <w:t>0.1898</w:t>
                  </w:r>
                </w:p>
              </w:tc>
              <w:tc>
                <w:tcPr>
                  <w:tcW w:w="2583" w:type="dxa"/>
                  <w:vMerge w:val="continue"/>
                  <w:noWrap w:val="0"/>
                  <w:vAlign w:val="center"/>
                </w:tcPr>
                <w:p>
                  <w:pPr>
                    <w:pStyle w:val="37"/>
                    <w:bidi w:val="0"/>
                    <w:rPr>
                      <w:rFonts w:hint="default"/>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685" w:type="dxa"/>
                  <w:vMerge w:val="restart"/>
                  <w:noWrap w:val="0"/>
                  <w:vAlign w:val="center"/>
                </w:tcPr>
                <w:p>
                  <w:pPr>
                    <w:pStyle w:val="37"/>
                    <w:bidi w:val="0"/>
                    <w:rPr>
                      <w:rFonts w:hint="eastAsia"/>
                      <w:lang w:val="en-US" w:eastAsia="zh-CN"/>
                    </w:rPr>
                  </w:pPr>
                  <w:r>
                    <w:rPr>
                      <w:rFonts w:hint="eastAsia"/>
                      <w:lang w:val="en-US" w:eastAsia="zh-CN"/>
                    </w:rPr>
                    <w:t>化学清洗废水（20m</w:t>
                  </w:r>
                  <w:r>
                    <w:rPr>
                      <w:rFonts w:hint="eastAsia"/>
                      <w:vertAlign w:val="superscript"/>
                      <w:lang w:val="en-US" w:eastAsia="zh-CN"/>
                    </w:rPr>
                    <w:t>3</w:t>
                  </w:r>
                  <w:r>
                    <w:rPr>
                      <w:rFonts w:hint="eastAsia"/>
                      <w:lang w:val="en-US" w:eastAsia="zh-CN"/>
                    </w:rPr>
                    <w:t>/a）</w:t>
                  </w:r>
                </w:p>
              </w:tc>
              <w:tc>
                <w:tcPr>
                  <w:tcW w:w="873" w:type="dxa"/>
                  <w:noWrap w:val="0"/>
                  <w:vAlign w:val="center"/>
                </w:tcPr>
                <w:p>
                  <w:pPr>
                    <w:pStyle w:val="37"/>
                    <w:bidi w:val="0"/>
                    <w:rPr>
                      <w:rFonts w:hint="eastAsia"/>
                      <w:lang w:val="en-US" w:eastAsia="zh-CN"/>
                    </w:rPr>
                  </w:pPr>
                  <w:r>
                    <w:rPr>
                      <w:rFonts w:hint="default"/>
                      <w:lang w:val="en-US" w:eastAsia="zh-CN"/>
                    </w:rPr>
                    <w:t>PH</w:t>
                  </w:r>
                </w:p>
              </w:tc>
              <w:tc>
                <w:tcPr>
                  <w:tcW w:w="1618" w:type="dxa"/>
                  <w:noWrap w:val="0"/>
                  <w:vAlign w:val="center"/>
                </w:tcPr>
                <w:p>
                  <w:pPr>
                    <w:pStyle w:val="37"/>
                    <w:bidi w:val="0"/>
                    <w:rPr>
                      <w:rFonts w:hint="eastAsia"/>
                      <w:lang w:val="en-US" w:eastAsia="zh-CN"/>
                    </w:rPr>
                  </w:pPr>
                  <w:r>
                    <w:rPr>
                      <w:rFonts w:hint="eastAsia"/>
                      <w:lang w:val="en-US" w:eastAsia="zh-CN"/>
                    </w:rPr>
                    <w:t>6</w:t>
                  </w:r>
                  <w:r>
                    <w:rPr>
                      <w:rFonts w:hint="default"/>
                      <w:lang w:val="en-US" w:eastAsia="zh-CN"/>
                    </w:rPr>
                    <w:t>~</w:t>
                  </w:r>
                  <w:r>
                    <w:rPr>
                      <w:rFonts w:hint="eastAsia"/>
                      <w:lang w:val="en-US" w:eastAsia="zh-CN"/>
                    </w:rPr>
                    <w:t>9</w:t>
                  </w:r>
                  <w:r>
                    <w:rPr>
                      <w:rFonts w:hint="default"/>
                      <w:lang w:val="en-US" w:eastAsia="zh-CN"/>
                    </w:rPr>
                    <w:t>（无量纲）</w:t>
                  </w:r>
                </w:p>
              </w:tc>
              <w:tc>
                <w:tcPr>
                  <w:tcW w:w="1328" w:type="dxa"/>
                  <w:noWrap w:val="0"/>
                  <w:vAlign w:val="center"/>
                </w:tcPr>
                <w:p>
                  <w:pPr>
                    <w:pStyle w:val="37"/>
                    <w:bidi w:val="0"/>
                    <w:rPr>
                      <w:rFonts w:hint="eastAsia"/>
                      <w:lang w:val="en-US" w:eastAsia="zh-CN"/>
                    </w:rPr>
                  </w:pPr>
                  <w:r>
                    <w:rPr>
                      <w:rFonts w:hint="default"/>
                      <w:lang w:val="en-US" w:eastAsia="zh-CN"/>
                    </w:rPr>
                    <w:t>/</w:t>
                  </w:r>
                </w:p>
              </w:tc>
              <w:tc>
                <w:tcPr>
                  <w:tcW w:w="2583" w:type="dxa"/>
                  <w:vMerge w:val="continue"/>
                  <w:noWrap w:val="0"/>
                  <w:vAlign w:val="center"/>
                </w:tcPr>
                <w:p>
                  <w:pPr>
                    <w:pStyle w:val="37"/>
                    <w:bidi w:val="0"/>
                    <w:rPr>
                      <w:rFonts w:hint="default"/>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685" w:type="dxa"/>
                  <w:vMerge w:val="continue"/>
                  <w:noWrap w:val="0"/>
                  <w:vAlign w:val="center"/>
                </w:tcPr>
                <w:p>
                  <w:pPr>
                    <w:pStyle w:val="37"/>
                    <w:bidi w:val="0"/>
                    <w:rPr>
                      <w:rFonts w:hint="eastAsia"/>
                      <w:lang w:val="en-US" w:eastAsia="zh-CN"/>
                    </w:rPr>
                  </w:pPr>
                </w:p>
              </w:tc>
              <w:tc>
                <w:tcPr>
                  <w:tcW w:w="873" w:type="dxa"/>
                  <w:noWrap w:val="0"/>
                  <w:vAlign w:val="center"/>
                </w:tcPr>
                <w:p>
                  <w:pPr>
                    <w:pStyle w:val="37"/>
                    <w:bidi w:val="0"/>
                    <w:rPr>
                      <w:rFonts w:hint="eastAsia"/>
                      <w:lang w:val="en-US" w:eastAsia="zh-CN"/>
                    </w:rPr>
                  </w:pPr>
                  <w:r>
                    <w:rPr>
                      <w:rFonts w:hint="eastAsia"/>
                      <w:lang w:val="en-US" w:eastAsia="zh-CN"/>
                    </w:rPr>
                    <w:t>氯化物</w:t>
                  </w:r>
                </w:p>
              </w:tc>
              <w:tc>
                <w:tcPr>
                  <w:tcW w:w="1618" w:type="dxa"/>
                  <w:noWrap w:val="0"/>
                  <w:vAlign w:val="center"/>
                </w:tcPr>
                <w:p>
                  <w:pPr>
                    <w:pStyle w:val="37"/>
                    <w:bidi w:val="0"/>
                    <w:rPr>
                      <w:rFonts w:hint="eastAsia"/>
                      <w:lang w:val="en-US" w:eastAsia="zh-CN"/>
                    </w:rPr>
                  </w:pPr>
                  <w:r>
                    <w:rPr>
                      <w:rFonts w:hint="eastAsia"/>
                      <w:lang w:val="en-US" w:eastAsia="zh-CN"/>
                    </w:rPr>
                    <w:t>40</w:t>
                  </w:r>
                </w:p>
              </w:tc>
              <w:tc>
                <w:tcPr>
                  <w:tcW w:w="1328" w:type="dxa"/>
                  <w:noWrap w:val="0"/>
                  <w:vAlign w:val="center"/>
                </w:tcPr>
                <w:p>
                  <w:pPr>
                    <w:pStyle w:val="37"/>
                    <w:bidi w:val="0"/>
                    <w:rPr>
                      <w:rFonts w:hint="default"/>
                      <w:lang w:val="en-US" w:eastAsia="zh-CN"/>
                    </w:rPr>
                  </w:pPr>
                  <w:r>
                    <w:rPr>
                      <w:rFonts w:hint="eastAsia"/>
                      <w:lang w:val="en-US" w:eastAsia="zh-CN"/>
                    </w:rPr>
                    <w:t>0.0008</w:t>
                  </w:r>
                </w:p>
              </w:tc>
              <w:tc>
                <w:tcPr>
                  <w:tcW w:w="2583" w:type="dxa"/>
                  <w:vMerge w:val="continue"/>
                  <w:noWrap w:val="0"/>
                  <w:vAlign w:val="center"/>
                </w:tcPr>
                <w:p>
                  <w:pPr>
                    <w:pStyle w:val="37"/>
                    <w:bidi w:val="0"/>
                    <w:rPr>
                      <w:rFonts w:hint="default"/>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t>2、污染物排放情况</w:t>
            </w:r>
          </w:p>
          <w:p>
            <w:pPr>
              <w:pStyle w:val="33"/>
            </w:pPr>
            <w:r>
              <w:t>表4-</w:t>
            </w:r>
            <w:r>
              <w:rPr>
                <w:rFonts w:hint="eastAsia"/>
                <w:lang w:val="en-US" w:eastAsia="zh-CN"/>
              </w:rPr>
              <w:t>2</w:t>
            </w:r>
            <w:r>
              <w:t xml:space="preserve"> 本项目废水类别、污染物及污染治理措施信息表</w:t>
            </w:r>
          </w:p>
          <w:tbl>
            <w:tblPr>
              <w:tblStyle w:val="2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79"/>
              <w:gridCol w:w="663"/>
              <w:gridCol w:w="975"/>
              <w:gridCol w:w="684"/>
              <w:gridCol w:w="644"/>
              <w:gridCol w:w="692"/>
              <w:gridCol w:w="799"/>
              <w:gridCol w:w="706"/>
              <w:gridCol w:w="546"/>
              <w:gridCol w:w="799"/>
              <w:gridCol w:w="11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34" w:type="pct"/>
                  <w:vMerge w:val="restart"/>
                  <w:noWrap w:val="0"/>
                  <w:vAlign w:val="center"/>
                </w:tcPr>
                <w:p>
                  <w:pPr>
                    <w:pStyle w:val="37"/>
                    <w:rPr>
                      <w:rFonts w:hint="default"/>
                    </w:rPr>
                  </w:pPr>
                  <w:r>
                    <w:rPr>
                      <w:rFonts w:hint="default"/>
                    </w:rPr>
                    <w:t>序号</w:t>
                  </w:r>
                </w:p>
              </w:tc>
              <w:tc>
                <w:tcPr>
                  <w:tcW w:w="410" w:type="pct"/>
                  <w:vMerge w:val="restart"/>
                  <w:noWrap w:val="0"/>
                  <w:vAlign w:val="center"/>
                </w:tcPr>
                <w:p>
                  <w:pPr>
                    <w:pStyle w:val="37"/>
                    <w:rPr>
                      <w:rFonts w:hint="default"/>
                    </w:rPr>
                  </w:pPr>
                  <w:r>
                    <w:rPr>
                      <w:rFonts w:hint="default"/>
                    </w:rPr>
                    <w:t>废水类别</w:t>
                  </w:r>
                </w:p>
              </w:tc>
              <w:tc>
                <w:tcPr>
                  <w:tcW w:w="602" w:type="pct"/>
                  <w:vMerge w:val="restart"/>
                  <w:noWrap w:val="0"/>
                  <w:vAlign w:val="center"/>
                </w:tcPr>
                <w:p>
                  <w:pPr>
                    <w:pStyle w:val="37"/>
                    <w:rPr>
                      <w:rFonts w:hint="default"/>
                    </w:rPr>
                  </w:pPr>
                  <w:r>
                    <w:rPr>
                      <w:rFonts w:hint="default"/>
                    </w:rPr>
                    <w:t>污染物种类</w:t>
                  </w:r>
                </w:p>
              </w:tc>
              <w:tc>
                <w:tcPr>
                  <w:tcW w:w="423" w:type="pct"/>
                  <w:vMerge w:val="restart"/>
                  <w:noWrap w:val="0"/>
                  <w:vAlign w:val="center"/>
                </w:tcPr>
                <w:p>
                  <w:pPr>
                    <w:pStyle w:val="37"/>
                    <w:rPr>
                      <w:rFonts w:hint="default"/>
                    </w:rPr>
                  </w:pPr>
                  <w:r>
                    <w:rPr>
                      <w:rFonts w:hint="default"/>
                    </w:rPr>
                    <w:t>排放去向</w:t>
                  </w:r>
                </w:p>
              </w:tc>
              <w:tc>
                <w:tcPr>
                  <w:tcW w:w="398" w:type="pct"/>
                  <w:vMerge w:val="restart"/>
                  <w:noWrap w:val="0"/>
                  <w:vAlign w:val="center"/>
                </w:tcPr>
                <w:p>
                  <w:pPr>
                    <w:pStyle w:val="37"/>
                    <w:rPr>
                      <w:rFonts w:hint="default"/>
                    </w:rPr>
                  </w:pPr>
                  <w:r>
                    <w:rPr>
                      <w:rFonts w:hint="default"/>
                    </w:rPr>
                    <w:t>排放规律</w:t>
                  </w:r>
                </w:p>
              </w:tc>
              <w:tc>
                <w:tcPr>
                  <w:tcW w:w="1358" w:type="pct"/>
                  <w:gridSpan w:val="3"/>
                  <w:noWrap w:val="0"/>
                  <w:vAlign w:val="center"/>
                </w:tcPr>
                <w:p>
                  <w:pPr>
                    <w:pStyle w:val="37"/>
                    <w:rPr>
                      <w:rFonts w:hint="default"/>
                    </w:rPr>
                  </w:pPr>
                  <w:r>
                    <w:rPr>
                      <w:rFonts w:hint="default"/>
                    </w:rPr>
                    <w:t>污染治理设施</w:t>
                  </w:r>
                </w:p>
              </w:tc>
              <w:tc>
                <w:tcPr>
                  <w:tcW w:w="337" w:type="pct"/>
                  <w:vMerge w:val="restart"/>
                  <w:noWrap w:val="0"/>
                  <w:vAlign w:val="center"/>
                </w:tcPr>
                <w:p>
                  <w:pPr>
                    <w:pStyle w:val="37"/>
                    <w:rPr>
                      <w:rFonts w:hint="default"/>
                    </w:rPr>
                  </w:pPr>
                  <w:r>
                    <w:rPr>
                      <w:rFonts w:hint="default"/>
                    </w:rPr>
                    <w:t>排放口编号</w:t>
                  </w:r>
                </w:p>
              </w:tc>
              <w:tc>
                <w:tcPr>
                  <w:tcW w:w="494" w:type="pct"/>
                  <w:vMerge w:val="restart"/>
                  <w:noWrap w:val="0"/>
                  <w:vAlign w:val="center"/>
                </w:tcPr>
                <w:p>
                  <w:pPr>
                    <w:pStyle w:val="37"/>
                    <w:rPr>
                      <w:rFonts w:hint="default"/>
                    </w:rPr>
                  </w:pPr>
                  <w:r>
                    <w:rPr>
                      <w:rFonts w:hint="default"/>
                    </w:rPr>
                    <w:t>排放口设置是否符合要求</w:t>
                  </w:r>
                </w:p>
              </w:tc>
              <w:tc>
                <w:tcPr>
                  <w:tcW w:w="740" w:type="pct"/>
                  <w:vMerge w:val="restart"/>
                  <w:noWrap w:val="0"/>
                  <w:vAlign w:val="center"/>
                </w:tcPr>
                <w:p>
                  <w:pPr>
                    <w:pStyle w:val="37"/>
                    <w:rPr>
                      <w:rFonts w:hint="default"/>
                    </w:rPr>
                  </w:pPr>
                  <w:r>
                    <w:rPr>
                      <w:rFonts w:hint="default"/>
                    </w:rPr>
                    <w:t>排放口类型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34" w:type="pct"/>
                  <w:vMerge w:val="continue"/>
                  <w:noWrap w:val="0"/>
                  <w:vAlign w:val="center"/>
                </w:tcPr>
                <w:p>
                  <w:pPr>
                    <w:pStyle w:val="37"/>
                    <w:rPr>
                      <w:rFonts w:hint="default"/>
                    </w:rPr>
                  </w:pPr>
                </w:p>
              </w:tc>
              <w:tc>
                <w:tcPr>
                  <w:tcW w:w="410" w:type="pct"/>
                  <w:vMerge w:val="continue"/>
                  <w:noWrap w:val="0"/>
                  <w:vAlign w:val="center"/>
                </w:tcPr>
                <w:p>
                  <w:pPr>
                    <w:pStyle w:val="37"/>
                    <w:rPr>
                      <w:rFonts w:hint="default"/>
                    </w:rPr>
                  </w:pPr>
                </w:p>
              </w:tc>
              <w:tc>
                <w:tcPr>
                  <w:tcW w:w="602" w:type="pct"/>
                  <w:vMerge w:val="continue"/>
                  <w:noWrap w:val="0"/>
                  <w:vAlign w:val="center"/>
                </w:tcPr>
                <w:p>
                  <w:pPr>
                    <w:pStyle w:val="37"/>
                    <w:rPr>
                      <w:rFonts w:hint="default"/>
                    </w:rPr>
                  </w:pPr>
                </w:p>
              </w:tc>
              <w:tc>
                <w:tcPr>
                  <w:tcW w:w="423" w:type="pct"/>
                  <w:vMerge w:val="continue"/>
                  <w:noWrap w:val="0"/>
                  <w:vAlign w:val="center"/>
                </w:tcPr>
                <w:p>
                  <w:pPr>
                    <w:pStyle w:val="37"/>
                    <w:rPr>
                      <w:rFonts w:hint="default"/>
                    </w:rPr>
                  </w:pPr>
                </w:p>
              </w:tc>
              <w:tc>
                <w:tcPr>
                  <w:tcW w:w="398" w:type="pct"/>
                  <w:vMerge w:val="continue"/>
                  <w:noWrap w:val="0"/>
                  <w:vAlign w:val="center"/>
                </w:tcPr>
                <w:p>
                  <w:pPr>
                    <w:pStyle w:val="37"/>
                    <w:rPr>
                      <w:rFonts w:hint="default"/>
                    </w:rPr>
                  </w:pPr>
                </w:p>
              </w:tc>
              <w:tc>
                <w:tcPr>
                  <w:tcW w:w="427" w:type="pct"/>
                  <w:noWrap w:val="0"/>
                  <w:vAlign w:val="center"/>
                </w:tcPr>
                <w:p>
                  <w:pPr>
                    <w:pStyle w:val="37"/>
                    <w:rPr>
                      <w:rFonts w:hint="default"/>
                    </w:rPr>
                  </w:pPr>
                  <w:r>
                    <w:rPr>
                      <w:rFonts w:hint="default"/>
                    </w:rPr>
                    <w:t>污染治理设施编号</w:t>
                  </w:r>
                </w:p>
              </w:tc>
              <w:tc>
                <w:tcPr>
                  <w:tcW w:w="494" w:type="pct"/>
                  <w:noWrap w:val="0"/>
                  <w:vAlign w:val="center"/>
                </w:tcPr>
                <w:p>
                  <w:pPr>
                    <w:pStyle w:val="37"/>
                    <w:rPr>
                      <w:rFonts w:hint="default"/>
                    </w:rPr>
                  </w:pPr>
                  <w:r>
                    <w:rPr>
                      <w:rFonts w:hint="default"/>
                    </w:rPr>
                    <w:t>污染治理设施名称</w:t>
                  </w:r>
                </w:p>
              </w:tc>
              <w:tc>
                <w:tcPr>
                  <w:tcW w:w="436" w:type="pct"/>
                  <w:noWrap w:val="0"/>
                  <w:vAlign w:val="center"/>
                </w:tcPr>
                <w:p>
                  <w:pPr>
                    <w:pStyle w:val="37"/>
                    <w:rPr>
                      <w:rFonts w:hint="default"/>
                    </w:rPr>
                  </w:pPr>
                  <w:r>
                    <w:rPr>
                      <w:rFonts w:hint="default"/>
                    </w:rPr>
                    <w:t>污染治理设施工艺</w:t>
                  </w:r>
                </w:p>
              </w:tc>
              <w:tc>
                <w:tcPr>
                  <w:tcW w:w="337" w:type="pct"/>
                  <w:vMerge w:val="continue"/>
                  <w:noWrap w:val="0"/>
                  <w:vAlign w:val="center"/>
                </w:tcPr>
                <w:p>
                  <w:pPr>
                    <w:pStyle w:val="37"/>
                    <w:rPr>
                      <w:rFonts w:hint="default"/>
                    </w:rPr>
                  </w:pPr>
                </w:p>
              </w:tc>
              <w:tc>
                <w:tcPr>
                  <w:tcW w:w="494" w:type="pct"/>
                  <w:vMerge w:val="continue"/>
                  <w:noWrap w:val="0"/>
                  <w:vAlign w:val="center"/>
                </w:tcPr>
                <w:p>
                  <w:pPr>
                    <w:pStyle w:val="37"/>
                    <w:rPr>
                      <w:rFonts w:hint="default"/>
                    </w:rPr>
                  </w:pPr>
                </w:p>
              </w:tc>
              <w:tc>
                <w:tcPr>
                  <w:tcW w:w="740" w:type="pct"/>
                  <w:vMerge w:val="continue"/>
                  <w:noWrap w:val="0"/>
                  <w:vAlign w:val="center"/>
                </w:tcPr>
                <w:p>
                  <w:pPr>
                    <w:pStyle w:val="37"/>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34" w:type="pct"/>
                  <w:noWrap w:val="0"/>
                  <w:vAlign w:val="center"/>
                </w:tcPr>
                <w:p>
                  <w:pPr>
                    <w:pStyle w:val="37"/>
                    <w:rPr>
                      <w:rFonts w:hint="eastAsia"/>
                      <w:lang w:val="en-US" w:eastAsia="zh-CN"/>
                    </w:rPr>
                  </w:pPr>
                  <w:r>
                    <w:rPr>
                      <w:rFonts w:hint="eastAsia"/>
                      <w:lang w:val="en-US" w:eastAsia="zh-CN"/>
                    </w:rPr>
                    <w:t>2</w:t>
                  </w:r>
                </w:p>
              </w:tc>
              <w:tc>
                <w:tcPr>
                  <w:tcW w:w="410" w:type="pct"/>
                  <w:noWrap w:val="0"/>
                  <w:vAlign w:val="center"/>
                </w:tcPr>
                <w:p>
                  <w:pPr>
                    <w:pStyle w:val="37"/>
                    <w:rPr>
                      <w:rFonts w:hint="default"/>
                      <w:lang w:val="en-US" w:eastAsia="zh-CN"/>
                    </w:rPr>
                  </w:pPr>
                  <w:r>
                    <w:rPr>
                      <w:rFonts w:hint="eastAsia"/>
                      <w:lang w:val="en-US" w:eastAsia="zh-CN"/>
                    </w:rPr>
                    <w:t>生产废水</w:t>
                  </w:r>
                </w:p>
              </w:tc>
              <w:tc>
                <w:tcPr>
                  <w:tcW w:w="602" w:type="pct"/>
                  <w:noWrap w:val="0"/>
                  <w:vAlign w:val="center"/>
                </w:tcPr>
                <w:p>
                  <w:pPr>
                    <w:pStyle w:val="37"/>
                    <w:rPr>
                      <w:rFonts w:hint="default"/>
                      <w:lang w:val="en-US" w:eastAsia="zh-CN"/>
                    </w:rPr>
                  </w:pPr>
                  <w:r>
                    <w:rPr>
                      <w:rFonts w:hint="eastAsia"/>
                      <w:lang w:val="en-US" w:eastAsia="zh-CN"/>
                    </w:rPr>
                    <w:t>pH、全盐量、氯化物</w:t>
                  </w:r>
                </w:p>
              </w:tc>
              <w:tc>
                <w:tcPr>
                  <w:tcW w:w="423" w:type="pct"/>
                  <w:noWrap w:val="0"/>
                  <w:vAlign w:val="center"/>
                </w:tcPr>
                <w:p>
                  <w:pPr>
                    <w:pStyle w:val="37"/>
                    <w:rPr>
                      <w:rFonts w:hint="eastAsia"/>
                    </w:rPr>
                  </w:pPr>
                  <w:r>
                    <w:rPr>
                      <w:rFonts w:hint="eastAsia"/>
                      <w:lang w:val="en-US" w:eastAsia="zh-CN"/>
                    </w:rPr>
                    <w:t>洪江高新区</w:t>
                  </w:r>
                  <w:r>
                    <w:rPr>
                      <w:rFonts w:hint="eastAsia"/>
                    </w:rPr>
                    <w:t>污水处理厂</w:t>
                  </w:r>
                </w:p>
              </w:tc>
              <w:tc>
                <w:tcPr>
                  <w:tcW w:w="398" w:type="pct"/>
                  <w:noWrap w:val="0"/>
                  <w:vAlign w:val="center"/>
                </w:tcPr>
                <w:p>
                  <w:pPr>
                    <w:pStyle w:val="37"/>
                    <w:rPr>
                      <w:rFonts w:hint="default"/>
                      <w:lang w:val="en-US"/>
                    </w:rPr>
                  </w:pPr>
                  <w:r>
                    <w:rPr>
                      <w:rFonts w:hint="eastAsia"/>
                      <w:lang w:val="en-US" w:eastAsia="zh-CN"/>
                    </w:rPr>
                    <w:t>连续排放，流量不稳定</w:t>
                  </w:r>
                </w:p>
              </w:tc>
              <w:tc>
                <w:tcPr>
                  <w:tcW w:w="427" w:type="pct"/>
                  <w:noWrap w:val="0"/>
                  <w:vAlign w:val="center"/>
                </w:tcPr>
                <w:p>
                  <w:pPr>
                    <w:pStyle w:val="37"/>
                    <w:rPr>
                      <w:rFonts w:hint="default"/>
                      <w:lang w:val="en-US" w:eastAsia="zh-CN"/>
                    </w:rPr>
                  </w:pPr>
                  <w:r>
                    <w:rPr>
                      <w:rFonts w:hint="eastAsia"/>
                      <w:lang w:val="en-US" w:eastAsia="zh-CN"/>
                    </w:rPr>
                    <w:t>/</w:t>
                  </w:r>
                </w:p>
              </w:tc>
              <w:tc>
                <w:tcPr>
                  <w:tcW w:w="494" w:type="pct"/>
                  <w:noWrap w:val="0"/>
                  <w:vAlign w:val="center"/>
                </w:tcPr>
                <w:p>
                  <w:pPr>
                    <w:pStyle w:val="37"/>
                    <w:rPr>
                      <w:rFonts w:hint="default"/>
                      <w:lang w:val="en-US" w:eastAsia="zh-CN"/>
                    </w:rPr>
                  </w:pPr>
                  <w:r>
                    <w:rPr>
                      <w:rFonts w:hint="eastAsia"/>
                      <w:lang w:val="en-US" w:eastAsia="zh-CN"/>
                    </w:rPr>
                    <w:t>/</w:t>
                  </w:r>
                </w:p>
              </w:tc>
              <w:tc>
                <w:tcPr>
                  <w:tcW w:w="436" w:type="pct"/>
                  <w:noWrap w:val="0"/>
                  <w:vAlign w:val="center"/>
                </w:tcPr>
                <w:p>
                  <w:pPr>
                    <w:pStyle w:val="37"/>
                    <w:rPr>
                      <w:rFonts w:hint="eastAsia"/>
                      <w:lang w:val="en-US" w:eastAsia="zh-CN"/>
                    </w:rPr>
                  </w:pPr>
                  <w:r>
                    <w:rPr>
                      <w:rFonts w:hint="eastAsia"/>
                      <w:lang w:val="en-US" w:eastAsia="zh-CN"/>
                    </w:rPr>
                    <w:t>/</w:t>
                  </w:r>
                </w:p>
              </w:tc>
              <w:tc>
                <w:tcPr>
                  <w:tcW w:w="337" w:type="pct"/>
                  <w:noWrap w:val="0"/>
                  <w:vAlign w:val="center"/>
                </w:tcPr>
                <w:p>
                  <w:pPr>
                    <w:pStyle w:val="37"/>
                    <w:rPr>
                      <w:rFonts w:hint="default"/>
                      <w:lang w:val="en-US" w:eastAsia="zh-CN"/>
                    </w:rPr>
                  </w:pPr>
                  <w:r>
                    <w:rPr>
                      <w:rFonts w:hint="eastAsia"/>
                      <w:lang w:val="en-US" w:eastAsia="zh-CN"/>
                    </w:rPr>
                    <w:t>W1</w:t>
                  </w:r>
                </w:p>
              </w:tc>
              <w:tc>
                <w:tcPr>
                  <w:tcW w:w="494" w:type="pct"/>
                  <w:noWrap w:val="0"/>
                  <w:vAlign w:val="center"/>
                </w:tcPr>
                <w:p>
                  <w:pPr>
                    <w:pStyle w:val="37"/>
                    <w:rPr>
                      <w:rFonts w:hint="eastAsia"/>
                      <w:lang w:val="en-US" w:eastAsia="zh-CN"/>
                    </w:rPr>
                  </w:pPr>
                  <w:r>
                    <w:rPr>
                      <w:rFonts w:hint="eastAsia"/>
                      <w:lang w:val="en-US" w:eastAsia="zh-CN"/>
                    </w:rPr>
                    <w:t>是</w:t>
                  </w:r>
                </w:p>
              </w:tc>
              <w:tc>
                <w:tcPr>
                  <w:tcW w:w="740" w:type="pct"/>
                  <w:noWrap w:val="0"/>
                  <w:vAlign w:val="center"/>
                </w:tcPr>
                <w:p>
                  <w:pPr>
                    <w:pStyle w:val="37"/>
                    <w:rPr>
                      <w:rFonts w:hint="default"/>
                    </w:rPr>
                  </w:pPr>
                  <w:r>
                    <w:rPr>
                      <w:rFonts w:hint="default"/>
                    </w:rPr>
                    <w:t>企业总排</w:t>
                  </w:r>
                </w:p>
              </w:tc>
            </w:tr>
          </w:tbl>
          <w:p>
            <w:pPr>
              <w:ind w:firstLine="480"/>
            </w:pPr>
            <w:r>
              <w:rPr>
                <w:color w:val="FF0000"/>
                <w:u w:val="single"/>
              </w:rPr>
              <w:t>本项目废水排放口</w:t>
            </w:r>
            <w:r>
              <w:rPr>
                <w:rFonts w:hint="eastAsia"/>
                <w:color w:val="FF0000"/>
                <w:u w:val="single"/>
                <w:lang w:val="en-US" w:eastAsia="zh-CN"/>
              </w:rPr>
              <w:t>依托企业厂区现有废水排放口，该排放口位于软水处理区的西南侧，</w:t>
            </w:r>
            <w:r>
              <w:rPr>
                <w:color w:val="FF0000"/>
                <w:u w:val="single"/>
              </w:rPr>
              <w:t>基本情况见表4-</w:t>
            </w:r>
            <w:r>
              <w:rPr>
                <w:rFonts w:hint="eastAsia"/>
                <w:color w:val="FF0000"/>
                <w:u w:val="single"/>
                <w:lang w:val="en-US" w:eastAsia="zh-CN"/>
              </w:rPr>
              <w:t>3</w:t>
            </w:r>
            <w:r>
              <w:rPr>
                <w:color w:val="FF0000"/>
                <w:u w:val="single"/>
              </w:rPr>
              <w:t>。</w:t>
            </w:r>
          </w:p>
          <w:p>
            <w:pPr>
              <w:pStyle w:val="33"/>
              <w:rPr>
                <w:u w:val="single"/>
              </w:rPr>
            </w:pPr>
            <w:r>
              <w:rPr>
                <w:u w:val="single"/>
              </w:rPr>
              <w:t>表4</w:t>
            </w:r>
            <w:r>
              <w:rPr>
                <w:rFonts w:hint="eastAsia"/>
                <w:u w:val="single"/>
                <w:lang w:val="en-US" w:eastAsia="zh-CN"/>
              </w:rPr>
              <w:t>-3</w:t>
            </w:r>
            <w:r>
              <w:rPr>
                <w:u w:val="single"/>
              </w:rPr>
              <w:t xml:space="preserve"> 项目废水间接排放口基本情况表</w:t>
            </w:r>
          </w:p>
          <w:tbl>
            <w:tblPr>
              <w:tblStyle w:val="22"/>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95"/>
              <w:gridCol w:w="675"/>
              <w:gridCol w:w="825"/>
              <w:gridCol w:w="712"/>
              <w:gridCol w:w="824"/>
              <w:gridCol w:w="686"/>
              <w:gridCol w:w="763"/>
              <w:gridCol w:w="466"/>
              <w:gridCol w:w="686"/>
              <w:gridCol w:w="629"/>
              <w:gridCol w:w="10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491" w:type="pct"/>
                  <w:vMerge w:val="restart"/>
                  <w:noWrap w:val="0"/>
                  <w:vAlign w:val="center"/>
                </w:tcPr>
                <w:p>
                  <w:pPr>
                    <w:pStyle w:val="37"/>
                    <w:rPr>
                      <w:rFonts w:hint="default"/>
                      <w:u w:val="single"/>
                    </w:rPr>
                  </w:pPr>
                  <w:r>
                    <w:rPr>
                      <w:rFonts w:hint="default"/>
                      <w:u w:val="single"/>
                    </w:rPr>
                    <w:t>名称</w:t>
                  </w:r>
                </w:p>
              </w:tc>
              <w:tc>
                <w:tcPr>
                  <w:tcW w:w="417" w:type="pct"/>
                  <w:vMerge w:val="restart"/>
                  <w:noWrap w:val="0"/>
                  <w:vAlign w:val="center"/>
                </w:tcPr>
                <w:p>
                  <w:pPr>
                    <w:pStyle w:val="37"/>
                    <w:rPr>
                      <w:rFonts w:hint="default"/>
                      <w:u w:val="single"/>
                    </w:rPr>
                  </w:pPr>
                  <w:r>
                    <w:rPr>
                      <w:rFonts w:hint="default"/>
                      <w:u w:val="single"/>
                    </w:rPr>
                    <w:t>排放口编号</w:t>
                  </w:r>
                </w:p>
              </w:tc>
              <w:tc>
                <w:tcPr>
                  <w:tcW w:w="950" w:type="pct"/>
                  <w:gridSpan w:val="2"/>
                  <w:noWrap w:val="0"/>
                  <w:vAlign w:val="center"/>
                </w:tcPr>
                <w:p>
                  <w:pPr>
                    <w:pStyle w:val="37"/>
                    <w:rPr>
                      <w:rFonts w:hint="default"/>
                      <w:u w:val="single"/>
                    </w:rPr>
                  </w:pPr>
                  <w:r>
                    <w:rPr>
                      <w:rFonts w:hint="default"/>
                      <w:u w:val="single"/>
                    </w:rPr>
                    <w:t>排放口地理坐标</w:t>
                  </w:r>
                </w:p>
              </w:tc>
              <w:tc>
                <w:tcPr>
                  <w:tcW w:w="509" w:type="pct"/>
                  <w:vMerge w:val="restart"/>
                  <w:noWrap w:val="0"/>
                  <w:vAlign w:val="center"/>
                </w:tcPr>
                <w:p>
                  <w:pPr>
                    <w:pStyle w:val="37"/>
                    <w:rPr>
                      <w:rFonts w:hint="default"/>
                      <w:u w:val="single"/>
                    </w:rPr>
                  </w:pPr>
                  <w:r>
                    <w:rPr>
                      <w:rFonts w:hint="default"/>
                      <w:u w:val="single"/>
                    </w:rPr>
                    <w:t>废水排放量/（万t/a）</w:t>
                  </w:r>
                </w:p>
              </w:tc>
              <w:tc>
                <w:tcPr>
                  <w:tcW w:w="424" w:type="pct"/>
                  <w:vMerge w:val="restart"/>
                  <w:noWrap w:val="0"/>
                  <w:vAlign w:val="center"/>
                </w:tcPr>
                <w:p>
                  <w:pPr>
                    <w:pStyle w:val="37"/>
                    <w:rPr>
                      <w:rFonts w:hint="default"/>
                      <w:u w:val="single"/>
                    </w:rPr>
                  </w:pPr>
                  <w:r>
                    <w:rPr>
                      <w:rFonts w:hint="default"/>
                      <w:u w:val="single"/>
                    </w:rPr>
                    <w:t>排放去向</w:t>
                  </w:r>
                </w:p>
              </w:tc>
              <w:tc>
                <w:tcPr>
                  <w:tcW w:w="471" w:type="pct"/>
                  <w:vMerge w:val="restart"/>
                  <w:noWrap w:val="0"/>
                  <w:vAlign w:val="center"/>
                </w:tcPr>
                <w:p>
                  <w:pPr>
                    <w:pStyle w:val="37"/>
                    <w:rPr>
                      <w:rFonts w:hint="default"/>
                      <w:u w:val="single"/>
                    </w:rPr>
                  </w:pPr>
                  <w:r>
                    <w:rPr>
                      <w:rFonts w:hint="default"/>
                      <w:u w:val="single"/>
                    </w:rPr>
                    <w:t>排放规律</w:t>
                  </w:r>
                </w:p>
              </w:tc>
              <w:tc>
                <w:tcPr>
                  <w:tcW w:w="288" w:type="pct"/>
                  <w:vMerge w:val="restart"/>
                  <w:noWrap w:val="0"/>
                  <w:vAlign w:val="center"/>
                </w:tcPr>
                <w:p>
                  <w:pPr>
                    <w:pStyle w:val="37"/>
                    <w:rPr>
                      <w:rFonts w:hint="default"/>
                      <w:u w:val="single"/>
                    </w:rPr>
                  </w:pPr>
                  <w:r>
                    <w:rPr>
                      <w:rFonts w:hint="default"/>
                      <w:u w:val="single"/>
                    </w:rPr>
                    <w:t>间歇排放时段</w:t>
                  </w:r>
                </w:p>
              </w:tc>
              <w:tc>
                <w:tcPr>
                  <w:tcW w:w="1446" w:type="pct"/>
                  <w:gridSpan w:val="3"/>
                  <w:vMerge w:val="restart"/>
                  <w:noWrap w:val="0"/>
                  <w:vAlign w:val="center"/>
                </w:tcPr>
                <w:p>
                  <w:pPr>
                    <w:pStyle w:val="37"/>
                    <w:rPr>
                      <w:rFonts w:hint="default"/>
                      <w:u w:val="single"/>
                    </w:rPr>
                  </w:pPr>
                  <w:r>
                    <w:rPr>
                      <w:rFonts w:hint="default"/>
                      <w:u w:val="single"/>
                    </w:rPr>
                    <w:t>受纳污水处理厂信息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1" w:type="pct"/>
                  <w:vMerge w:val="continue"/>
                  <w:noWrap w:val="0"/>
                  <w:vAlign w:val="center"/>
                </w:tcPr>
                <w:p>
                  <w:pPr>
                    <w:pStyle w:val="37"/>
                    <w:rPr>
                      <w:rFonts w:hint="default"/>
                      <w:u w:val="single"/>
                    </w:rPr>
                  </w:pPr>
                </w:p>
              </w:tc>
              <w:tc>
                <w:tcPr>
                  <w:tcW w:w="417" w:type="pct"/>
                  <w:vMerge w:val="continue"/>
                  <w:noWrap w:val="0"/>
                  <w:vAlign w:val="center"/>
                </w:tcPr>
                <w:p>
                  <w:pPr>
                    <w:pStyle w:val="37"/>
                    <w:rPr>
                      <w:rFonts w:hint="default"/>
                      <w:u w:val="single"/>
                    </w:rPr>
                  </w:pPr>
                </w:p>
              </w:tc>
              <w:tc>
                <w:tcPr>
                  <w:tcW w:w="510" w:type="pct"/>
                  <w:vMerge w:val="restart"/>
                  <w:noWrap w:val="0"/>
                  <w:vAlign w:val="center"/>
                </w:tcPr>
                <w:p>
                  <w:pPr>
                    <w:pStyle w:val="37"/>
                    <w:rPr>
                      <w:rFonts w:hint="default"/>
                      <w:u w:val="single"/>
                    </w:rPr>
                  </w:pPr>
                  <w:r>
                    <w:rPr>
                      <w:rFonts w:hint="default"/>
                      <w:u w:val="single"/>
                    </w:rPr>
                    <w:t>经度</w:t>
                  </w:r>
                </w:p>
              </w:tc>
              <w:tc>
                <w:tcPr>
                  <w:tcW w:w="440" w:type="pct"/>
                  <w:vMerge w:val="restart"/>
                  <w:noWrap w:val="0"/>
                  <w:vAlign w:val="center"/>
                </w:tcPr>
                <w:p>
                  <w:pPr>
                    <w:pStyle w:val="37"/>
                    <w:rPr>
                      <w:rFonts w:hint="default"/>
                      <w:u w:val="single"/>
                    </w:rPr>
                  </w:pPr>
                  <w:r>
                    <w:rPr>
                      <w:rFonts w:hint="default"/>
                      <w:u w:val="single"/>
                    </w:rPr>
                    <w:t>纬度</w:t>
                  </w:r>
                </w:p>
              </w:tc>
              <w:tc>
                <w:tcPr>
                  <w:tcW w:w="509" w:type="pct"/>
                  <w:vMerge w:val="continue"/>
                  <w:noWrap w:val="0"/>
                  <w:vAlign w:val="center"/>
                </w:tcPr>
                <w:p>
                  <w:pPr>
                    <w:pStyle w:val="37"/>
                    <w:rPr>
                      <w:rFonts w:hint="default"/>
                      <w:u w:val="single"/>
                    </w:rPr>
                  </w:pPr>
                </w:p>
              </w:tc>
              <w:tc>
                <w:tcPr>
                  <w:tcW w:w="424" w:type="pct"/>
                  <w:vMerge w:val="continue"/>
                  <w:noWrap w:val="0"/>
                  <w:vAlign w:val="center"/>
                </w:tcPr>
                <w:p>
                  <w:pPr>
                    <w:pStyle w:val="37"/>
                    <w:rPr>
                      <w:rFonts w:hint="default"/>
                      <w:u w:val="single"/>
                    </w:rPr>
                  </w:pPr>
                </w:p>
              </w:tc>
              <w:tc>
                <w:tcPr>
                  <w:tcW w:w="471" w:type="pct"/>
                  <w:vMerge w:val="continue"/>
                  <w:noWrap w:val="0"/>
                  <w:vAlign w:val="center"/>
                </w:tcPr>
                <w:p>
                  <w:pPr>
                    <w:pStyle w:val="37"/>
                    <w:rPr>
                      <w:rFonts w:hint="default"/>
                      <w:u w:val="single"/>
                    </w:rPr>
                  </w:pPr>
                </w:p>
              </w:tc>
              <w:tc>
                <w:tcPr>
                  <w:tcW w:w="288" w:type="pct"/>
                  <w:vMerge w:val="continue"/>
                  <w:noWrap w:val="0"/>
                  <w:vAlign w:val="center"/>
                </w:tcPr>
                <w:p>
                  <w:pPr>
                    <w:pStyle w:val="37"/>
                    <w:rPr>
                      <w:rFonts w:hint="default"/>
                      <w:u w:val="single"/>
                    </w:rPr>
                  </w:pPr>
                </w:p>
              </w:tc>
              <w:tc>
                <w:tcPr>
                  <w:tcW w:w="1446" w:type="pct"/>
                  <w:gridSpan w:val="3"/>
                  <w:vMerge w:val="continue"/>
                  <w:noWrap w:val="0"/>
                  <w:vAlign w:val="center"/>
                </w:tcPr>
                <w:p>
                  <w:pPr>
                    <w:pStyle w:val="37"/>
                    <w:rPr>
                      <w:rFonts w:hint="default"/>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491" w:type="pct"/>
                  <w:vMerge w:val="continue"/>
                  <w:noWrap w:val="0"/>
                  <w:vAlign w:val="center"/>
                </w:tcPr>
                <w:p>
                  <w:pPr>
                    <w:pStyle w:val="37"/>
                    <w:rPr>
                      <w:rFonts w:hint="default"/>
                      <w:u w:val="single"/>
                    </w:rPr>
                  </w:pPr>
                </w:p>
              </w:tc>
              <w:tc>
                <w:tcPr>
                  <w:tcW w:w="417" w:type="pct"/>
                  <w:vMerge w:val="continue"/>
                  <w:noWrap w:val="0"/>
                  <w:vAlign w:val="center"/>
                </w:tcPr>
                <w:p>
                  <w:pPr>
                    <w:pStyle w:val="37"/>
                    <w:rPr>
                      <w:rFonts w:hint="default"/>
                      <w:u w:val="single"/>
                    </w:rPr>
                  </w:pPr>
                </w:p>
              </w:tc>
              <w:tc>
                <w:tcPr>
                  <w:tcW w:w="510" w:type="pct"/>
                  <w:vMerge w:val="continue"/>
                  <w:noWrap w:val="0"/>
                  <w:vAlign w:val="center"/>
                </w:tcPr>
                <w:p>
                  <w:pPr>
                    <w:pStyle w:val="37"/>
                    <w:rPr>
                      <w:rFonts w:hint="default"/>
                      <w:u w:val="single"/>
                    </w:rPr>
                  </w:pPr>
                </w:p>
              </w:tc>
              <w:tc>
                <w:tcPr>
                  <w:tcW w:w="440" w:type="pct"/>
                  <w:vMerge w:val="continue"/>
                  <w:noWrap w:val="0"/>
                  <w:vAlign w:val="center"/>
                </w:tcPr>
                <w:p>
                  <w:pPr>
                    <w:pStyle w:val="37"/>
                    <w:rPr>
                      <w:rFonts w:hint="default"/>
                      <w:u w:val="single"/>
                    </w:rPr>
                  </w:pPr>
                </w:p>
              </w:tc>
              <w:tc>
                <w:tcPr>
                  <w:tcW w:w="509" w:type="pct"/>
                  <w:vMerge w:val="continue"/>
                  <w:noWrap w:val="0"/>
                  <w:vAlign w:val="center"/>
                </w:tcPr>
                <w:p>
                  <w:pPr>
                    <w:pStyle w:val="37"/>
                    <w:rPr>
                      <w:rFonts w:hint="default"/>
                      <w:u w:val="single"/>
                    </w:rPr>
                  </w:pPr>
                </w:p>
              </w:tc>
              <w:tc>
                <w:tcPr>
                  <w:tcW w:w="424" w:type="pct"/>
                  <w:vMerge w:val="continue"/>
                  <w:noWrap w:val="0"/>
                  <w:vAlign w:val="center"/>
                </w:tcPr>
                <w:p>
                  <w:pPr>
                    <w:pStyle w:val="37"/>
                    <w:rPr>
                      <w:rFonts w:hint="default"/>
                      <w:u w:val="single"/>
                    </w:rPr>
                  </w:pPr>
                </w:p>
              </w:tc>
              <w:tc>
                <w:tcPr>
                  <w:tcW w:w="471" w:type="pct"/>
                  <w:vMerge w:val="continue"/>
                  <w:noWrap w:val="0"/>
                  <w:vAlign w:val="center"/>
                </w:tcPr>
                <w:p>
                  <w:pPr>
                    <w:pStyle w:val="37"/>
                    <w:rPr>
                      <w:rFonts w:hint="default"/>
                      <w:u w:val="single"/>
                    </w:rPr>
                  </w:pPr>
                </w:p>
              </w:tc>
              <w:tc>
                <w:tcPr>
                  <w:tcW w:w="288" w:type="pct"/>
                  <w:vMerge w:val="continue"/>
                  <w:noWrap w:val="0"/>
                  <w:vAlign w:val="center"/>
                </w:tcPr>
                <w:p>
                  <w:pPr>
                    <w:pStyle w:val="37"/>
                    <w:rPr>
                      <w:rFonts w:hint="default"/>
                      <w:u w:val="single"/>
                    </w:rPr>
                  </w:pPr>
                </w:p>
              </w:tc>
              <w:tc>
                <w:tcPr>
                  <w:tcW w:w="424" w:type="pct"/>
                  <w:noWrap w:val="0"/>
                  <w:vAlign w:val="center"/>
                </w:tcPr>
                <w:p>
                  <w:pPr>
                    <w:pStyle w:val="37"/>
                    <w:rPr>
                      <w:rFonts w:hint="default"/>
                      <w:u w:val="single"/>
                    </w:rPr>
                  </w:pPr>
                  <w:r>
                    <w:rPr>
                      <w:rFonts w:hint="default"/>
                      <w:u w:val="single"/>
                    </w:rPr>
                    <w:t>名称</w:t>
                  </w:r>
                </w:p>
              </w:tc>
              <w:tc>
                <w:tcPr>
                  <w:tcW w:w="389" w:type="pct"/>
                  <w:noWrap w:val="0"/>
                  <w:vAlign w:val="center"/>
                </w:tcPr>
                <w:p>
                  <w:pPr>
                    <w:pStyle w:val="37"/>
                    <w:rPr>
                      <w:rFonts w:hint="default"/>
                      <w:u w:val="single"/>
                    </w:rPr>
                  </w:pPr>
                  <w:r>
                    <w:rPr>
                      <w:rFonts w:hint="default"/>
                      <w:u w:val="single"/>
                    </w:rPr>
                    <w:t>污染物种类</w:t>
                  </w:r>
                </w:p>
              </w:tc>
              <w:tc>
                <w:tcPr>
                  <w:tcW w:w="632" w:type="pct"/>
                  <w:noWrap w:val="0"/>
                  <w:vAlign w:val="center"/>
                </w:tcPr>
                <w:p>
                  <w:pPr>
                    <w:pStyle w:val="37"/>
                    <w:rPr>
                      <w:rFonts w:hint="default"/>
                      <w:u w:val="single"/>
                    </w:rPr>
                  </w:pPr>
                  <w:r>
                    <w:rPr>
                      <w:rFonts w:hint="default"/>
                      <w:u w:val="single"/>
                    </w:rPr>
                    <w:t>国家或地方污染物排放标准浓度限值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44" w:hRule="atLeast"/>
                <w:jc w:val="center"/>
              </w:trPr>
              <w:tc>
                <w:tcPr>
                  <w:tcW w:w="491" w:type="pct"/>
                  <w:vMerge w:val="restart"/>
                  <w:noWrap w:val="0"/>
                  <w:vAlign w:val="center"/>
                </w:tcPr>
                <w:p>
                  <w:pPr>
                    <w:pStyle w:val="37"/>
                    <w:rPr>
                      <w:rFonts w:hint="default"/>
                      <w:u w:val="single"/>
                      <w:lang w:val="en-US" w:eastAsia="zh-CN"/>
                    </w:rPr>
                  </w:pPr>
                  <w:r>
                    <w:rPr>
                      <w:rFonts w:hint="eastAsia"/>
                      <w:u w:val="single"/>
                      <w:lang w:val="en-US" w:eastAsia="zh-CN"/>
                    </w:rPr>
                    <w:t>生产废水</w:t>
                  </w:r>
                </w:p>
              </w:tc>
              <w:tc>
                <w:tcPr>
                  <w:tcW w:w="417" w:type="pct"/>
                  <w:vMerge w:val="restart"/>
                  <w:noWrap w:val="0"/>
                  <w:vAlign w:val="center"/>
                </w:tcPr>
                <w:p>
                  <w:pPr>
                    <w:pStyle w:val="37"/>
                    <w:rPr>
                      <w:rFonts w:hint="default"/>
                      <w:u w:val="single"/>
                      <w:lang w:val="en-US" w:eastAsia="zh-CN"/>
                    </w:rPr>
                  </w:pPr>
                  <w:r>
                    <w:rPr>
                      <w:rFonts w:hint="default"/>
                      <w:u w:val="single"/>
                    </w:rPr>
                    <w:t>W1</w:t>
                  </w:r>
                </w:p>
              </w:tc>
              <w:tc>
                <w:tcPr>
                  <w:tcW w:w="510" w:type="pct"/>
                  <w:vMerge w:val="restart"/>
                  <w:noWrap w:val="0"/>
                  <w:vAlign w:val="center"/>
                </w:tcPr>
                <w:p>
                  <w:pPr>
                    <w:pStyle w:val="37"/>
                    <w:rPr>
                      <w:rFonts w:hint="default"/>
                      <w:u w:val="single"/>
                      <w:lang w:val="en-US" w:eastAsia="zh-CN"/>
                    </w:rPr>
                  </w:pPr>
                  <w:r>
                    <w:rPr>
                      <w:rFonts w:hint="default"/>
                      <w:u w:val="single"/>
                    </w:rPr>
                    <w:t>11</w:t>
                  </w:r>
                  <w:r>
                    <w:rPr>
                      <w:rFonts w:hint="eastAsia"/>
                      <w:u w:val="single"/>
                      <w:lang w:val="en-US" w:eastAsia="zh-CN"/>
                    </w:rPr>
                    <w:t>0</w:t>
                  </w:r>
                  <w:r>
                    <w:rPr>
                      <w:rFonts w:hint="default"/>
                      <w:u w:val="single"/>
                    </w:rPr>
                    <w:t>.</w:t>
                  </w:r>
                  <w:r>
                    <w:rPr>
                      <w:rFonts w:hint="eastAsia"/>
                      <w:u w:val="single"/>
                      <w:lang w:val="en-US" w:eastAsia="zh-CN"/>
                    </w:rPr>
                    <w:t>0116655</w:t>
                  </w:r>
                </w:p>
              </w:tc>
              <w:tc>
                <w:tcPr>
                  <w:tcW w:w="440" w:type="pct"/>
                  <w:vMerge w:val="restart"/>
                  <w:noWrap w:val="0"/>
                  <w:vAlign w:val="center"/>
                </w:tcPr>
                <w:p>
                  <w:pPr>
                    <w:pStyle w:val="37"/>
                    <w:rPr>
                      <w:rFonts w:hint="default"/>
                      <w:u w:val="single"/>
                      <w:lang w:val="en-US" w:eastAsia="zh-CN"/>
                    </w:rPr>
                  </w:pPr>
                  <w:r>
                    <w:rPr>
                      <w:rFonts w:hint="default"/>
                      <w:u w:val="single"/>
                    </w:rPr>
                    <w:t>2</w:t>
                  </w:r>
                  <w:r>
                    <w:rPr>
                      <w:rFonts w:hint="eastAsia"/>
                      <w:u w:val="single"/>
                      <w:lang w:val="en-US" w:eastAsia="zh-CN"/>
                    </w:rPr>
                    <w:t>7.1532332</w:t>
                  </w:r>
                </w:p>
              </w:tc>
              <w:tc>
                <w:tcPr>
                  <w:tcW w:w="509" w:type="pct"/>
                  <w:vMerge w:val="restart"/>
                  <w:noWrap w:val="0"/>
                  <w:vAlign w:val="center"/>
                </w:tcPr>
                <w:p>
                  <w:pPr>
                    <w:pStyle w:val="37"/>
                    <w:rPr>
                      <w:rFonts w:hint="default"/>
                      <w:u w:val="single"/>
                      <w:lang w:val="en-US" w:eastAsia="zh-CN"/>
                    </w:rPr>
                  </w:pPr>
                  <w:r>
                    <w:rPr>
                      <w:rFonts w:hint="eastAsia"/>
                      <w:u w:val="single"/>
                      <w:lang w:val="en-US" w:eastAsia="zh-CN"/>
                    </w:rPr>
                    <w:t>17.0655</w:t>
                  </w:r>
                </w:p>
              </w:tc>
              <w:tc>
                <w:tcPr>
                  <w:tcW w:w="424" w:type="pct"/>
                  <w:vMerge w:val="restart"/>
                  <w:noWrap w:val="0"/>
                  <w:vAlign w:val="center"/>
                </w:tcPr>
                <w:p>
                  <w:pPr>
                    <w:pStyle w:val="37"/>
                    <w:rPr>
                      <w:rFonts w:hint="default"/>
                      <w:u w:val="single"/>
                    </w:rPr>
                  </w:pPr>
                  <w:r>
                    <w:rPr>
                      <w:rFonts w:hint="eastAsia"/>
                      <w:u w:val="single"/>
                      <w:lang w:val="en-US" w:eastAsia="zh-CN"/>
                    </w:rPr>
                    <w:t>洪江高新区</w:t>
                  </w:r>
                  <w:r>
                    <w:rPr>
                      <w:rFonts w:hint="eastAsia"/>
                      <w:u w:val="single"/>
                    </w:rPr>
                    <w:t>污水处理厂</w:t>
                  </w:r>
                </w:p>
              </w:tc>
              <w:tc>
                <w:tcPr>
                  <w:tcW w:w="471" w:type="pct"/>
                  <w:vMerge w:val="restart"/>
                  <w:noWrap w:val="0"/>
                  <w:vAlign w:val="center"/>
                </w:tcPr>
                <w:p>
                  <w:pPr>
                    <w:pStyle w:val="37"/>
                    <w:rPr>
                      <w:rFonts w:hint="default"/>
                      <w:u w:val="single"/>
                    </w:rPr>
                  </w:pPr>
                  <w:r>
                    <w:rPr>
                      <w:rFonts w:hint="eastAsia"/>
                      <w:u w:val="single"/>
                      <w:lang w:val="en-US" w:eastAsia="zh-CN"/>
                    </w:rPr>
                    <w:t>连续</w:t>
                  </w:r>
                  <w:r>
                    <w:rPr>
                      <w:rFonts w:hint="default"/>
                      <w:u w:val="single"/>
                    </w:rPr>
                    <w:t>排放，流量</w:t>
                  </w:r>
                  <w:r>
                    <w:rPr>
                      <w:rFonts w:hint="eastAsia"/>
                      <w:u w:val="single"/>
                      <w:lang w:val="en-US" w:eastAsia="zh-CN"/>
                    </w:rPr>
                    <w:t>不</w:t>
                  </w:r>
                  <w:r>
                    <w:rPr>
                      <w:rFonts w:hint="default"/>
                      <w:u w:val="single"/>
                    </w:rPr>
                    <w:t>稳定</w:t>
                  </w:r>
                </w:p>
              </w:tc>
              <w:tc>
                <w:tcPr>
                  <w:tcW w:w="288" w:type="pct"/>
                  <w:vMerge w:val="restart"/>
                  <w:noWrap w:val="0"/>
                  <w:vAlign w:val="center"/>
                </w:tcPr>
                <w:p>
                  <w:pPr>
                    <w:pStyle w:val="37"/>
                    <w:rPr>
                      <w:rFonts w:hint="default"/>
                      <w:u w:val="single"/>
                    </w:rPr>
                  </w:pPr>
                  <w:r>
                    <w:rPr>
                      <w:rFonts w:hint="default"/>
                      <w:u w:val="single"/>
                    </w:rPr>
                    <w:t>/</w:t>
                  </w:r>
                </w:p>
              </w:tc>
              <w:tc>
                <w:tcPr>
                  <w:tcW w:w="424" w:type="pct"/>
                  <w:vMerge w:val="restart"/>
                  <w:noWrap w:val="0"/>
                  <w:vAlign w:val="center"/>
                </w:tcPr>
                <w:p>
                  <w:pPr>
                    <w:pStyle w:val="37"/>
                    <w:rPr>
                      <w:rFonts w:hint="default"/>
                      <w:u w:val="single"/>
                    </w:rPr>
                  </w:pPr>
                  <w:r>
                    <w:rPr>
                      <w:rFonts w:hint="eastAsia"/>
                      <w:u w:val="single"/>
                      <w:lang w:val="en-US" w:eastAsia="zh-CN"/>
                    </w:rPr>
                    <w:t>洪江高新区</w:t>
                  </w:r>
                  <w:r>
                    <w:rPr>
                      <w:rFonts w:hint="eastAsia"/>
                      <w:u w:val="single"/>
                    </w:rPr>
                    <w:t>污水处理厂</w:t>
                  </w:r>
                </w:p>
              </w:tc>
              <w:tc>
                <w:tcPr>
                  <w:tcW w:w="389" w:type="pct"/>
                  <w:noWrap w:val="0"/>
                  <w:vAlign w:val="center"/>
                </w:tcPr>
                <w:p>
                  <w:pPr>
                    <w:pStyle w:val="37"/>
                    <w:spacing w:beforeLines="0" w:afterLines="0"/>
                    <w:rPr>
                      <w:rFonts w:hint="default" w:eastAsia="宋体"/>
                      <w:u w:val="single"/>
                      <w:lang w:val="en-US" w:eastAsia="zh-CN"/>
                    </w:rPr>
                  </w:pPr>
                  <w:r>
                    <w:rPr>
                      <w:rFonts w:hint="eastAsia"/>
                      <w:u w:val="single"/>
                      <w:lang w:val="en-US" w:eastAsia="zh-CN"/>
                    </w:rPr>
                    <w:t>pH</w:t>
                  </w:r>
                </w:p>
              </w:tc>
              <w:tc>
                <w:tcPr>
                  <w:tcW w:w="632" w:type="pct"/>
                  <w:noWrap w:val="0"/>
                  <w:vAlign w:val="center"/>
                </w:tcPr>
                <w:p>
                  <w:pPr>
                    <w:pStyle w:val="37"/>
                    <w:spacing w:beforeLines="0" w:afterLines="0"/>
                    <w:rPr>
                      <w:rFonts w:hint="default"/>
                      <w:u w:val="single"/>
                      <w:lang w:val="en-US"/>
                    </w:rPr>
                  </w:pPr>
                  <w:r>
                    <w:rPr>
                      <w:rFonts w:hint="eastAsia"/>
                      <w:u w:val="single"/>
                      <w:lang w:val="en-US" w:eastAsia="zh-CN"/>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44" w:hRule="atLeast"/>
                <w:jc w:val="center"/>
              </w:trPr>
              <w:tc>
                <w:tcPr>
                  <w:tcW w:w="491" w:type="pct"/>
                  <w:vMerge w:val="continue"/>
                  <w:noWrap w:val="0"/>
                  <w:vAlign w:val="center"/>
                </w:tcPr>
                <w:p>
                  <w:pPr>
                    <w:pStyle w:val="37"/>
                    <w:spacing w:beforeLines="0" w:afterLines="0"/>
                    <w:rPr>
                      <w:u w:val="single"/>
                    </w:rPr>
                  </w:pPr>
                </w:p>
              </w:tc>
              <w:tc>
                <w:tcPr>
                  <w:tcW w:w="417" w:type="pct"/>
                  <w:vMerge w:val="continue"/>
                  <w:noWrap w:val="0"/>
                  <w:vAlign w:val="center"/>
                </w:tcPr>
                <w:p>
                  <w:pPr>
                    <w:pStyle w:val="37"/>
                    <w:spacing w:beforeLines="0" w:afterLines="0"/>
                    <w:rPr>
                      <w:u w:val="single"/>
                    </w:rPr>
                  </w:pPr>
                </w:p>
              </w:tc>
              <w:tc>
                <w:tcPr>
                  <w:tcW w:w="510" w:type="pct"/>
                  <w:vMerge w:val="continue"/>
                  <w:noWrap w:val="0"/>
                  <w:vAlign w:val="center"/>
                </w:tcPr>
                <w:p>
                  <w:pPr>
                    <w:pStyle w:val="37"/>
                    <w:spacing w:beforeLines="0" w:afterLines="0"/>
                    <w:rPr>
                      <w:u w:val="single"/>
                    </w:rPr>
                  </w:pPr>
                </w:p>
              </w:tc>
              <w:tc>
                <w:tcPr>
                  <w:tcW w:w="440" w:type="pct"/>
                  <w:vMerge w:val="continue"/>
                  <w:noWrap w:val="0"/>
                  <w:vAlign w:val="center"/>
                </w:tcPr>
                <w:p>
                  <w:pPr>
                    <w:pStyle w:val="37"/>
                    <w:spacing w:beforeLines="0" w:afterLines="0"/>
                    <w:rPr>
                      <w:u w:val="single"/>
                    </w:rPr>
                  </w:pPr>
                </w:p>
              </w:tc>
              <w:tc>
                <w:tcPr>
                  <w:tcW w:w="509" w:type="pct"/>
                  <w:vMerge w:val="continue"/>
                  <w:noWrap w:val="0"/>
                  <w:vAlign w:val="center"/>
                </w:tcPr>
                <w:p>
                  <w:pPr>
                    <w:pStyle w:val="37"/>
                    <w:spacing w:beforeLines="0" w:afterLines="0"/>
                    <w:rPr>
                      <w:u w:val="single"/>
                    </w:rPr>
                  </w:pPr>
                </w:p>
              </w:tc>
              <w:tc>
                <w:tcPr>
                  <w:tcW w:w="424" w:type="pct"/>
                  <w:vMerge w:val="continue"/>
                  <w:noWrap w:val="0"/>
                  <w:vAlign w:val="center"/>
                </w:tcPr>
                <w:p>
                  <w:pPr>
                    <w:pStyle w:val="37"/>
                    <w:spacing w:beforeLines="0" w:afterLines="0"/>
                    <w:rPr>
                      <w:u w:val="single"/>
                    </w:rPr>
                  </w:pPr>
                </w:p>
              </w:tc>
              <w:tc>
                <w:tcPr>
                  <w:tcW w:w="471" w:type="pct"/>
                  <w:vMerge w:val="continue"/>
                  <w:noWrap w:val="0"/>
                  <w:vAlign w:val="center"/>
                </w:tcPr>
                <w:p>
                  <w:pPr>
                    <w:pStyle w:val="37"/>
                    <w:spacing w:beforeLines="0" w:afterLines="0"/>
                    <w:rPr>
                      <w:u w:val="single"/>
                    </w:rPr>
                  </w:pPr>
                </w:p>
              </w:tc>
              <w:tc>
                <w:tcPr>
                  <w:tcW w:w="288" w:type="pct"/>
                  <w:vMerge w:val="continue"/>
                  <w:noWrap w:val="0"/>
                  <w:vAlign w:val="center"/>
                </w:tcPr>
                <w:p>
                  <w:pPr>
                    <w:pStyle w:val="37"/>
                    <w:spacing w:beforeLines="0" w:afterLines="0"/>
                    <w:rPr>
                      <w:u w:val="single"/>
                    </w:rPr>
                  </w:pPr>
                </w:p>
              </w:tc>
              <w:tc>
                <w:tcPr>
                  <w:tcW w:w="424" w:type="pct"/>
                  <w:vMerge w:val="continue"/>
                  <w:noWrap w:val="0"/>
                  <w:vAlign w:val="center"/>
                </w:tcPr>
                <w:p>
                  <w:pPr>
                    <w:pStyle w:val="37"/>
                    <w:spacing w:beforeLines="0" w:afterLines="0"/>
                    <w:rPr>
                      <w:u w:val="single"/>
                    </w:rPr>
                  </w:pPr>
                </w:p>
              </w:tc>
              <w:tc>
                <w:tcPr>
                  <w:tcW w:w="389" w:type="pct"/>
                  <w:noWrap w:val="0"/>
                  <w:vAlign w:val="center"/>
                </w:tcPr>
                <w:p>
                  <w:pPr>
                    <w:pStyle w:val="37"/>
                    <w:spacing w:beforeLines="0" w:afterLines="0"/>
                    <w:rPr>
                      <w:rFonts w:hint="default"/>
                      <w:u w:val="single"/>
                      <w:lang w:val="en-US" w:eastAsia="zh-CN"/>
                    </w:rPr>
                  </w:pPr>
                  <w:r>
                    <w:rPr>
                      <w:rFonts w:hint="eastAsia"/>
                      <w:u w:val="single"/>
                      <w:lang w:val="en-US" w:eastAsia="zh-CN"/>
                    </w:rPr>
                    <w:t>氯化物</w:t>
                  </w:r>
                </w:p>
              </w:tc>
              <w:tc>
                <w:tcPr>
                  <w:tcW w:w="632" w:type="pct"/>
                  <w:noWrap w:val="0"/>
                  <w:vAlign w:val="center"/>
                </w:tcPr>
                <w:p>
                  <w:pPr>
                    <w:pStyle w:val="37"/>
                    <w:spacing w:beforeLines="0" w:afterLines="0"/>
                    <w:rPr>
                      <w:rFonts w:hint="default"/>
                      <w:u w:val="single"/>
                      <w:lang w:val="en-US" w:eastAsia="zh-CN"/>
                    </w:rPr>
                  </w:pPr>
                  <w:r>
                    <w:rPr>
                      <w:rFonts w:hint="eastAsia"/>
                      <w:u w:val="single"/>
                      <w:lang w:val="en-US" w:eastAsia="zh-CN"/>
                    </w:rPr>
                    <w:t>800</w:t>
                  </w:r>
                </w:p>
              </w:tc>
            </w:tr>
          </w:tbl>
          <w:p>
            <w:pPr>
              <w:pStyle w:val="33"/>
            </w:pPr>
            <w:r>
              <w:t>表4-</w:t>
            </w:r>
            <w:r>
              <w:rPr>
                <w:rFonts w:hint="eastAsia"/>
                <w:lang w:val="en-US" w:eastAsia="zh-CN"/>
              </w:rPr>
              <w:t>4</w:t>
            </w:r>
            <w:r>
              <w:t xml:space="preserve"> 废水污染物排放信息表</w:t>
            </w:r>
          </w:p>
          <w:tbl>
            <w:tblPr>
              <w:tblStyle w:val="22"/>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740"/>
              <w:gridCol w:w="1424"/>
              <w:gridCol w:w="2241"/>
              <w:gridCol w:w="19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440" w:type="pct"/>
                  <w:noWrap w:val="0"/>
                  <w:vAlign w:val="center"/>
                </w:tcPr>
                <w:p>
                  <w:pPr>
                    <w:pStyle w:val="37"/>
                    <w:jc w:val="center"/>
                    <w:rPr>
                      <w:rFonts w:hint="default"/>
                    </w:rPr>
                  </w:pPr>
                  <w:r>
                    <w:rPr>
                      <w:rFonts w:hint="default"/>
                    </w:rPr>
                    <w:t>序号</w:t>
                  </w:r>
                </w:p>
              </w:tc>
              <w:tc>
                <w:tcPr>
                  <w:tcW w:w="1076" w:type="pct"/>
                  <w:noWrap w:val="0"/>
                  <w:vAlign w:val="center"/>
                </w:tcPr>
                <w:p>
                  <w:pPr>
                    <w:pStyle w:val="37"/>
                    <w:jc w:val="center"/>
                    <w:rPr>
                      <w:rFonts w:hint="default"/>
                    </w:rPr>
                  </w:pPr>
                  <w:r>
                    <w:rPr>
                      <w:rFonts w:hint="default"/>
                    </w:rPr>
                    <w:t>排放口编号</w:t>
                  </w:r>
                </w:p>
              </w:tc>
              <w:tc>
                <w:tcPr>
                  <w:tcW w:w="881" w:type="pct"/>
                  <w:noWrap w:val="0"/>
                  <w:vAlign w:val="center"/>
                </w:tcPr>
                <w:p>
                  <w:pPr>
                    <w:pStyle w:val="37"/>
                    <w:jc w:val="center"/>
                    <w:rPr>
                      <w:rFonts w:hint="default"/>
                    </w:rPr>
                  </w:pPr>
                  <w:r>
                    <w:rPr>
                      <w:rFonts w:hint="default"/>
                    </w:rPr>
                    <w:t>污染物种类</w:t>
                  </w:r>
                </w:p>
              </w:tc>
              <w:tc>
                <w:tcPr>
                  <w:tcW w:w="1386" w:type="pct"/>
                  <w:noWrap w:val="0"/>
                  <w:vAlign w:val="center"/>
                </w:tcPr>
                <w:p>
                  <w:pPr>
                    <w:pStyle w:val="37"/>
                    <w:jc w:val="center"/>
                    <w:rPr>
                      <w:rFonts w:hint="default"/>
                    </w:rPr>
                  </w:pPr>
                  <w:r>
                    <w:rPr>
                      <w:rFonts w:hint="default"/>
                    </w:rPr>
                    <w:t>排放浓度/（mg/L）</w:t>
                  </w:r>
                </w:p>
              </w:tc>
              <w:tc>
                <w:tcPr>
                  <w:tcW w:w="1214" w:type="pct"/>
                  <w:noWrap w:val="0"/>
                  <w:vAlign w:val="center"/>
                </w:tcPr>
                <w:p>
                  <w:pPr>
                    <w:pStyle w:val="37"/>
                    <w:jc w:val="center"/>
                    <w:rPr>
                      <w:rFonts w:hint="default"/>
                    </w:rPr>
                  </w:pPr>
                  <w:r>
                    <w:rPr>
                      <w:rFonts w:hint="default"/>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restart"/>
                  <w:noWrap w:val="0"/>
                  <w:vAlign w:val="center"/>
                </w:tcPr>
                <w:p>
                  <w:pPr>
                    <w:pStyle w:val="37"/>
                    <w:jc w:val="center"/>
                    <w:rPr>
                      <w:rFonts w:hint="eastAsia"/>
                      <w:lang w:val="en-US" w:eastAsia="zh-CN"/>
                    </w:rPr>
                  </w:pPr>
                  <w:r>
                    <w:rPr>
                      <w:rFonts w:hint="eastAsia"/>
                      <w:lang w:val="en-US" w:eastAsia="zh-CN"/>
                    </w:rPr>
                    <w:t>1</w:t>
                  </w:r>
                </w:p>
              </w:tc>
              <w:tc>
                <w:tcPr>
                  <w:tcW w:w="1076" w:type="pct"/>
                  <w:vMerge w:val="restart"/>
                  <w:noWrap w:val="0"/>
                  <w:vAlign w:val="center"/>
                </w:tcPr>
                <w:p>
                  <w:pPr>
                    <w:pStyle w:val="37"/>
                    <w:jc w:val="center"/>
                    <w:rPr>
                      <w:rFonts w:hint="default"/>
                      <w:lang w:val="en-US" w:eastAsia="zh-CN"/>
                    </w:rPr>
                  </w:pPr>
                  <w:r>
                    <w:rPr>
                      <w:rFonts w:hint="eastAsia"/>
                      <w:lang w:val="en-US" w:eastAsia="zh-CN"/>
                    </w:rPr>
                    <w:t>W1</w:t>
                  </w:r>
                </w:p>
              </w:tc>
              <w:tc>
                <w:tcPr>
                  <w:tcW w:w="881" w:type="pct"/>
                  <w:noWrap w:val="0"/>
                  <w:vAlign w:val="center"/>
                </w:tcPr>
                <w:p>
                  <w:pPr>
                    <w:pStyle w:val="37"/>
                    <w:spacing w:beforeLines="0" w:afterLines="0"/>
                    <w:jc w:val="center"/>
                    <w:rPr>
                      <w:rFonts w:hint="eastAsia" w:eastAsia="宋体"/>
                      <w:lang w:val="en-US" w:eastAsia="zh-CN"/>
                    </w:rPr>
                  </w:pPr>
                  <w:r>
                    <w:rPr>
                      <w:rFonts w:hint="eastAsia"/>
                      <w:lang w:val="en-US" w:eastAsia="zh-CN"/>
                    </w:rPr>
                    <w:t>全盐量</w:t>
                  </w:r>
                </w:p>
              </w:tc>
              <w:tc>
                <w:tcPr>
                  <w:tcW w:w="1386" w:type="pct"/>
                  <w:noWrap w:val="0"/>
                  <w:vAlign w:val="center"/>
                </w:tcPr>
                <w:p>
                  <w:pPr>
                    <w:pStyle w:val="37"/>
                    <w:spacing w:beforeLines="0" w:afterLines="0"/>
                    <w:jc w:val="center"/>
                    <w:rPr>
                      <w:rFonts w:hint="default" w:eastAsia="宋体"/>
                      <w:lang w:val="en-US" w:eastAsia="zh-CN"/>
                    </w:rPr>
                  </w:pPr>
                  <w:r>
                    <w:rPr>
                      <w:rFonts w:hint="eastAsia"/>
                      <w:lang w:val="en-US" w:eastAsia="zh-CN"/>
                    </w:rPr>
                    <w:t>30</w:t>
                  </w:r>
                </w:p>
              </w:tc>
              <w:tc>
                <w:tcPr>
                  <w:tcW w:w="1214" w:type="pct"/>
                  <w:noWrap w:val="0"/>
                  <w:vAlign w:val="center"/>
                </w:tcPr>
                <w:p>
                  <w:pPr>
                    <w:pStyle w:val="37"/>
                    <w:spacing w:beforeLines="0" w:afterLines="0"/>
                    <w:jc w:val="center"/>
                    <w:rPr>
                      <w:rFonts w:hint="default"/>
                      <w:lang w:val="en-US" w:eastAsia="zh-CN"/>
                    </w:rPr>
                  </w:pPr>
                  <w:r>
                    <w:rPr>
                      <w:rFonts w:hint="eastAsia"/>
                      <w:lang w:val="en-US" w:eastAsia="zh-CN"/>
                    </w:rPr>
                    <w:t>4.911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440" w:type="pct"/>
                  <w:vMerge w:val="continue"/>
                  <w:noWrap w:val="0"/>
                  <w:vAlign w:val="center"/>
                </w:tcPr>
                <w:p>
                  <w:pPr>
                    <w:pStyle w:val="37"/>
                    <w:jc w:val="center"/>
                    <w:rPr>
                      <w:rFonts w:hint="default"/>
                    </w:rPr>
                  </w:pPr>
                </w:p>
              </w:tc>
              <w:tc>
                <w:tcPr>
                  <w:tcW w:w="1076" w:type="pct"/>
                  <w:vMerge w:val="continue"/>
                  <w:noWrap w:val="0"/>
                  <w:vAlign w:val="center"/>
                </w:tcPr>
                <w:p>
                  <w:pPr>
                    <w:pStyle w:val="37"/>
                    <w:jc w:val="center"/>
                    <w:rPr>
                      <w:rFonts w:hint="default"/>
                    </w:rPr>
                  </w:pPr>
                </w:p>
              </w:tc>
              <w:tc>
                <w:tcPr>
                  <w:tcW w:w="881" w:type="pct"/>
                  <w:noWrap w:val="0"/>
                  <w:vAlign w:val="center"/>
                </w:tcPr>
                <w:p>
                  <w:pPr>
                    <w:pStyle w:val="37"/>
                    <w:spacing w:beforeLines="0" w:afterLines="0"/>
                    <w:jc w:val="center"/>
                    <w:rPr>
                      <w:rFonts w:hint="eastAsia" w:eastAsia="宋体"/>
                      <w:lang w:val="en-US" w:eastAsia="zh-CN"/>
                    </w:rPr>
                  </w:pPr>
                  <w:r>
                    <w:rPr>
                      <w:rFonts w:hint="eastAsia"/>
                      <w:lang w:val="en-US" w:eastAsia="zh-CN"/>
                    </w:rPr>
                    <w:t>氯化物</w:t>
                  </w:r>
                </w:p>
              </w:tc>
              <w:tc>
                <w:tcPr>
                  <w:tcW w:w="1386" w:type="pct"/>
                  <w:noWrap w:val="0"/>
                  <w:vAlign w:val="center"/>
                </w:tcPr>
                <w:p>
                  <w:pPr>
                    <w:pStyle w:val="37"/>
                    <w:spacing w:beforeLines="0" w:afterLines="0"/>
                    <w:jc w:val="center"/>
                    <w:rPr>
                      <w:rFonts w:hint="default" w:eastAsia="宋体"/>
                      <w:lang w:val="en-US" w:eastAsia="zh-CN"/>
                    </w:rPr>
                  </w:pPr>
                  <w:r>
                    <w:rPr>
                      <w:rFonts w:hint="eastAsia"/>
                      <w:lang w:val="en-US" w:eastAsia="zh-CN"/>
                    </w:rPr>
                    <w:t>40</w:t>
                  </w:r>
                </w:p>
              </w:tc>
              <w:tc>
                <w:tcPr>
                  <w:tcW w:w="1214" w:type="pct"/>
                  <w:noWrap w:val="0"/>
                  <w:vAlign w:val="center"/>
                </w:tcPr>
                <w:p>
                  <w:pPr>
                    <w:pStyle w:val="37"/>
                    <w:spacing w:beforeLines="0" w:afterLines="0"/>
                    <w:jc w:val="center"/>
                    <w:rPr>
                      <w:rFonts w:hint="default"/>
                      <w:lang w:val="en-US" w:eastAsia="zh-CN"/>
                    </w:rPr>
                  </w:pPr>
                  <w:r>
                    <w:rPr>
                      <w:rFonts w:hint="eastAsia"/>
                      <w:lang w:val="en-US" w:eastAsia="zh-CN"/>
                    </w:rPr>
                    <w:t>0.2782</w:t>
                  </w:r>
                </w:p>
              </w:tc>
            </w:tr>
          </w:tbl>
          <w:p>
            <w:pPr>
              <w:pStyle w:val="36"/>
              <w:numPr>
                <w:ilvl w:val="0"/>
                <w:numId w:val="12"/>
              </w:numPr>
              <w:bidi w:val="0"/>
              <w:rPr>
                <w:rFonts w:hint="eastAsia"/>
                <w:lang w:val="en-US" w:eastAsia="zh-CN"/>
              </w:rPr>
            </w:pPr>
            <w:r>
              <w:rPr>
                <w:rFonts w:hint="eastAsia"/>
                <w:lang w:val="en-US" w:eastAsia="zh-CN"/>
              </w:rPr>
              <w:t>可行性分析</w:t>
            </w:r>
          </w:p>
          <w:p>
            <w:pPr>
              <w:keepNext w:val="0"/>
              <w:keepLines w:val="0"/>
              <w:pageBreakBefore w:val="0"/>
              <w:widowControl w:val="0"/>
              <w:kinsoku/>
              <w:wordWrap/>
              <w:overflowPunct/>
              <w:topLinePunct w:val="0"/>
              <w:autoSpaceDE/>
              <w:autoSpaceDN/>
              <w:bidi w:val="0"/>
              <w:adjustRightInd/>
              <w:snapToGrid/>
              <w:spacing w:line="360" w:lineRule="auto"/>
              <w:ind w:firstLine="560" w:firstLineChars="0"/>
              <w:textAlignment w:val="auto"/>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lang w:val="en-US" w:eastAsia="zh-CN"/>
              </w:rPr>
              <w:t>480</w:t>
            </w:r>
            <w:r>
              <w:rPr>
                <w:rFonts w:hint="eastAsia"/>
                <w:lang w:eastAsia="zh-CN"/>
              </w:rPr>
              <w:t>m</w:t>
            </w:r>
            <w:r>
              <w:rPr>
                <w:rFonts w:hint="eastAsia"/>
                <w:vertAlign w:val="superscript"/>
                <w:lang w:eastAsia="zh-CN"/>
              </w:rPr>
              <w:t>3</w:t>
            </w:r>
            <w:r>
              <w:rPr>
                <w:rFonts w:hint="eastAsia"/>
                <w:lang w:eastAsia="zh-CN"/>
              </w:rPr>
              <w:t>/</w:t>
            </w:r>
            <w:r>
              <w:rPr>
                <w:rFonts w:hint="eastAsia"/>
                <w:lang w:val="en-US" w:eastAsia="zh-CN"/>
              </w:rPr>
              <w:t>d浓水</w:t>
            </w:r>
            <w:r>
              <w:rPr>
                <w:rFonts w:hint="eastAsia"/>
                <w:lang w:eastAsia="zh-CN"/>
              </w:rPr>
              <w:t>用于补充</w:t>
            </w:r>
            <w:r>
              <w:rPr>
                <w:rFonts w:hint="eastAsia"/>
                <w:lang w:val="en-US" w:eastAsia="zh-CN"/>
              </w:rPr>
              <w:t>硫酸车间生产补充水、</w:t>
            </w:r>
            <w:r>
              <w:rPr>
                <w:rFonts w:hint="eastAsia"/>
                <w:lang w:eastAsia="zh-CN"/>
              </w:rPr>
              <w:t>干排冷却滚筒冷却用水以及</w:t>
            </w:r>
            <w:r>
              <w:rPr>
                <w:rFonts w:hint="eastAsia"/>
                <w:lang w:val="en-US" w:eastAsia="zh-CN"/>
              </w:rPr>
              <w:t>厂区</w:t>
            </w:r>
            <w:r>
              <w:rPr>
                <w:rFonts w:hint="eastAsia"/>
                <w:lang w:eastAsia="zh-CN"/>
              </w:rPr>
              <w:t>绿化施水”可行性</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eastAsia="宋体"/>
                <w:sz w:val="24"/>
                <w:szCs w:val="24"/>
                <w:vertAlign w:val="baseline"/>
                <w:lang w:val="en-US" w:eastAsia="zh-CN"/>
              </w:rPr>
            </w:pPr>
            <w:r>
              <w:rPr>
                <w:rFonts w:hint="eastAsia"/>
                <w:sz w:val="24"/>
                <w:szCs w:val="24"/>
                <w:lang w:val="en-US" w:eastAsia="zh-CN"/>
              </w:rPr>
              <w:t>目前，企业厂区现有8万吨硫酸生产线，经业主核算，每天需要用到生产补充水约150</w:t>
            </w:r>
            <w:r>
              <w:rPr>
                <w:rFonts w:hint="eastAsia"/>
                <w:sz w:val="24"/>
                <w:szCs w:val="24"/>
                <w:lang w:eastAsia="zh-CN"/>
              </w:rPr>
              <w:t>m</w:t>
            </w:r>
            <w:r>
              <w:rPr>
                <w:rFonts w:hint="eastAsia"/>
                <w:sz w:val="24"/>
                <w:szCs w:val="24"/>
                <w:vertAlign w:val="superscript"/>
                <w:lang w:eastAsia="zh-CN"/>
              </w:rPr>
              <w:t>3</w:t>
            </w:r>
            <w:r>
              <w:rPr>
                <w:rFonts w:hint="eastAsia"/>
                <w:sz w:val="24"/>
                <w:szCs w:val="24"/>
                <w:vertAlign w:val="baseline"/>
                <w:lang w:eastAsia="zh-CN"/>
              </w:rPr>
              <w:t>，</w:t>
            </w:r>
            <w:r>
              <w:rPr>
                <w:rFonts w:hint="eastAsia"/>
                <w:sz w:val="24"/>
                <w:szCs w:val="24"/>
                <w:vertAlign w:val="baseline"/>
                <w:lang w:val="en-US" w:eastAsia="zh-CN"/>
              </w:rPr>
              <w:t>浓水中含盐量比普通水高，但浓水的含盐量对于硫酸线生产补充水没有影响，故可以使用浓水作为生产补充水。硫酸生产的干排冷却滚筒每天需要将每天100吨500度的渣，降低到50度。根据业主核算，每天干排冷却滚筒冷却水需损耗约300</w:t>
            </w:r>
            <w:r>
              <w:rPr>
                <w:rFonts w:hint="eastAsia"/>
                <w:sz w:val="24"/>
                <w:szCs w:val="24"/>
                <w:lang w:eastAsia="zh-CN"/>
              </w:rPr>
              <w:t>m</w:t>
            </w:r>
            <w:r>
              <w:rPr>
                <w:rFonts w:hint="eastAsia"/>
                <w:sz w:val="24"/>
                <w:szCs w:val="24"/>
                <w:vertAlign w:val="superscript"/>
                <w:lang w:eastAsia="zh-CN"/>
              </w:rPr>
              <w:t>3</w:t>
            </w:r>
            <w:r>
              <w:rPr>
                <w:rFonts w:hint="eastAsia"/>
                <w:sz w:val="24"/>
                <w:szCs w:val="24"/>
                <w:vertAlign w:val="baseline"/>
                <w:lang w:eastAsia="zh-CN"/>
              </w:rPr>
              <w:t>，</w:t>
            </w:r>
            <w:r>
              <w:rPr>
                <w:rFonts w:hint="eastAsia"/>
                <w:sz w:val="24"/>
                <w:szCs w:val="24"/>
                <w:vertAlign w:val="baseline"/>
                <w:lang w:val="en-US" w:eastAsia="zh-CN"/>
              </w:rPr>
              <w:t>浓水可作为干排冷却滚筒冷却水，故用300</w:t>
            </w:r>
            <w:r>
              <w:rPr>
                <w:rFonts w:hint="eastAsia"/>
                <w:sz w:val="24"/>
                <w:szCs w:val="24"/>
                <w:lang w:eastAsia="zh-CN"/>
              </w:rPr>
              <w:t>m</w:t>
            </w:r>
            <w:r>
              <w:rPr>
                <w:rFonts w:hint="eastAsia"/>
                <w:sz w:val="24"/>
                <w:szCs w:val="24"/>
                <w:vertAlign w:val="superscript"/>
                <w:lang w:eastAsia="zh-CN"/>
              </w:rPr>
              <w:t>3</w:t>
            </w:r>
            <w:r>
              <w:rPr>
                <w:rFonts w:hint="eastAsia"/>
                <w:sz w:val="24"/>
                <w:szCs w:val="24"/>
                <w:vertAlign w:val="baseline"/>
                <w:lang w:val="en-US" w:eastAsia="zh-CN"/>
              </w:rPr>
              <w:t>/d的浓水补充干排冷却滚筒冷却水可行。企业厂区总面积为</w:t>
            </w:r>
            <w:r>
              <w:rPr>
                <w:rFonts w:hint="default"/>
                <w:b w:val="0"/>
                <w:bCs w:val="0"/>
                <w:sz w:val="24"/>
                <w:szCs w:val="24"/>
              </w:rPr>
              <w:t>136081.3m</w:t>
            </w:r>
            <w:r>
              <w:rPr>
                <w:rFonts w:hint="default"/>
                <w:b w:val="0"/>
                <w:bCs w:val="0"/>
                <w:sz w:val="24"/>
                <w:szCs w:val="24"/>
                <w:vertAlign w:val="superscript"/>
              </w:rPr>
              <w:t>2</w:t>
            </w:r>
            <w:r>
              <w:rPr>
                <w:rFonts w:hint="eastAsia"/>
                <w:b w:val="0"/>
                <w:bCs w:val="0"/>
                <w:sz w:val="24"/>
                <w:szCs w:val="24"/>
                <w:vertAlign w:val="baseline"/>
                <w:lang w:eastAsia="zh-CN"/>
              </w:rPr>
              <w:t>，</w:t>
            </w:r>
            <w:r>
              <w:rPr>
                <w:rFonts w:hint="eastAsia"/>
                <w:b w:val="0"/>
                <w:bCs w:val="0"/>
                <w:sz w:val="24"/>
                <w:szCs w:val="24"/>
                <w:vertAlign w:val="baseline"/>
                <w:lang w:val="en-US" w:eastAsia="zh-CN"/>
              </w:rPr>
              <w:t>绿化面积约</w:t>
            </w:r>
            <w:r>
              <w:rPr>
                <w:rFonts w:hint="eastAsia"/>
                <w:b w:val="0"/>
                <w:bCs w:val="0"/>
                <w:sz w:val="24"/>
                <w:szCs w:val="24"/>
                <w:highlight w:val="none"/>
                <w:vertAlign w:val="baseline"/>
                <w:lang w:val="en-US" w:eastAsia="zh-CN"/>
              </w:rPr>
              <w:t>10000</w:t>
            </w:r>
            <w:r>
              <w:rPr>
                <w:rFonts w:hint="default"/>
                <w:b w:val="0"/>
                <w:bCs w:val="0"/>
                <w:sz w:val="24"/>
                <w:szCs w:val="24"/>
              </w:rPr>
              <w:t>m</w:t>
            </w:r>
            <w:r>
              <w:rPr>
                <w:rFonts w:hint="default"/>
                <w:b w:val="0"/>
                <w:bCs w:val="0"/>
                <w:sz w:val="24"/>
                <w:szCs w:val="24"/>
                <w:vertAlign w:val="superscript"/>
              </w:rPr>
              <w:t>2</w:t>
            </w:r>
            <w:r>
              <w:rPr>
                <w:rFonts w:hint="eastAsia"/>
                <w:b w:val="0"/>
                <w:bCs w:val="0"/>
                <w:sz w:val="24"/>
                <w:szCs w:val="24"/>
                <w:vertAlign w:val="superscript"/>
                <w:lang w:val="en-US" w:eastAsia="zh-CN"/>
              </w:rPr>
              <w:t>,</w:t>
            </w:r>
            <w:r>
              <w:rPr>
                <w:rFonts w:hint="eastAsia"/>
                <w:b w:val="0"/>
                <w:bCs w:val="0"/>
                <w:sz w:val="24"/>
                <w:szCs w:val="24"/>
                <w:vertAlign w:val="baseline"/>
                <w:lang w:val="en-US" w:eastAsia="zh-CN"/>
              </w:rPr>
              <w:t>，根据目前厂区绿化用水实际情况，每天绿化用水量约为30</w:t>
            </w:r>
            <w:r>
              <w:rPr>
                <w:rFonts w:hint="eastAsia"/>
                <w:sz w:val="24"/>
                <w:szCs w:val="24"/>
                <w:lang w:eastAsia="zh-CN"/>
              </w:rPr>
              <w:t>m</w:t>
            </w:r>
            <w:r>
              <w:rPr>
                <w:rFonts w:hint="eastAsia"/>
                <w:sz w:val="24"/>
                <w:szCs w:val="24"/>
                <w:vertAlign w:val="superscript"/>
                <w:lang w:eastAsia="zh-CN"/>
              </w:rPr>
              <w:t>3</w:t>
            </w:r>
            <w:r>
              <w:rPr>
                <w:rFonts w:hint="eastAsia"/>
                <w:sz w:val="24"/>
                <w:szCs w:val="24"/>
                <w:vertAlign w:val="baseline"/>
                <w:lang w:eastAsia="zh-CN"/>
              </w:rPr>
              <w:t>，</w:t>
            </w:r>
            <w:r>
              <w:rPr>
                <w:rFonts w:hint="eastAsia"/>
                <w:sz w:val="24"/>
                <w:szCs w:val="24"/>
                <w:vertAlign w:val="baseline"/>
                <w:lang w:val="en-US" w:eastAsia="zh-CN"/>
              </w:rPr>
              <w:t>浓水可以作为绿化用水，故用30</w:t>
            </w:r>
            <w:r>
              <w:rPr>
                <w:rFonts w:hint="eastAsia"/>
                <w:sz w:val="24"/>
                <w:szCs w:val="24"/>
                <w:lang w:eastAsia="zh-CN"/>
              </w:rPr>
              <w:t>m</w:t>
            </w:r>
            <w:r>
              <w:rPr>
                <w:rFonts w:hint="eastAsia"/>
                <w:sz w:val="24"/>
                <w:szCs w:val="24"/>
                <w:vertAlign w:val="superscript"/>
                <w:lang w:eastAsia="zh-CN"/>
              </w:rPr>
              <w:t>3</w:t>
            </w:r>
            <w:r>
              <w:rPr>
                <w:rFonts w:hint="eastAsia"/>
                <w:sz w:val="24"/>
                <w:szCs w:val="24"/>
                <w:vertAlign w:val="baseline"/>
                <w:lang w:val="en-US" w:eastAsia="zh-CN"/>
              </w:rPr>
              <w:t>/d的浓水作为企业厂区绿化用水可行。综上，480m</w:t>
            </w:r>
            <w:r>
              <w:rPr>
                <w:rFonts w:hint="eastAsia"/>
                <w:sz w:val="24"/>
                <w:szCs w:val="24"/>
                <w:vertAlign w:val="superscript"/>
                <w:lang w:val="en-US" w:eastAsia="zh-CN"/>
              </w:rPr>
              <w:t>3</w:t>
            </w:r>
            <w:r>
              <w:rPr>
                <w:rFonts w:hint="eastAsia"/>
                <w:sz w:val="24"/>
                <w:szCs w:val="24"/>
                <w:vertAlign w:val="baseline"/>
                <w:lang w:val="en-US" w:eastAsia="zh-CN"/>
              </w:rPr>
              <w:t>/d用于补充硫酸车间生产补充水、干排冷却滚筒冷却用水以及厂区绿化施水”可行。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0"/>
              <w:textAlignment w:val="auto"/>
            </w:pPr>
            <w:r>
              <w:t>（</w:t>
            </w:r>
            <w:r>
              <w:rPr>
                <w:rFonts w:hint="eastAsia"/>
                <w:lang w:val="en-US" w:eastAsia="zh-CN"/>
              </w:rPr>
              <w:t>2</w:t>
            </w:r>
            <w:r>
              <w:t>）废水进</w:t>
            </w:r>
            <w:r>
              <w:rPr>
                <w:rFonts w:hint="eastAsia"/>
              </w:rPr>
              <w:t>洪江高新区污水</w:t>
            </w:r>
            <w:r>
              <w:t>处理厂可行性</w:t>
            </w:r>
          </w:p>
          <w:p>
            <w:pPr>
              <w:keepNext w:val="0"/>
              <w:keepLines w:val="0"/>
              <w:pageBreakBefore w:val="0"/>
              <w:widowControl w:val="0"/>
              <w:kinsoku/>
              <w:wordWrap/>
              <w:overflowPunct/>
              <w:topLinePunct w:val="0"/>
              <w:autoSpaceDE/>
              <w:autoSpaceDN/>
              <w:bidi w:val="0"/>
              <w:adjustRightInd/>
              <w:snapToGrid/>
              <w:spacing w:line="360" w:lineRule="auto"/>
              <w:ind w:firstLine="560"/>
              <w:textAlignment w:val="auto"/>
            </w:pPr>
            <w:r>
              <w:rPr>
                <w:rFonts w:hint="eastAsia"/>
              </w:rPr>
              <w:t>洪江高新区（原洪江工业集中区）</w:t>
            </w:r>
            <w:r>
              <w:t>污水处理厂一期设计规模为10000m</w:t>
            </w:r>
            <w:r>
              <w:rPr>
                <w:vertAlign w:val="superscript"/>
              </w:rPr>
              <w:t>3</w:t>
            </w:r>
            <w:r>
              <w:t>/d，污水处理工艺采用CASS工艺，污水处理厂主要构筑物：粗细格栅间、提升泵池、调节池、混凝沉淀池、CASS池、消毒池、回流污泥泵站、加药间、贮泥池、污泥脱水间、变配电间、鼓风机房等。</w:t>
            </w:r>
            <w:r>
              <w:rPr>
                <w:rFonts w:hint="eastAsia"/>
              </w:rPr>
              <w:t>2019年洪江高新区</w:t>
            </w:r>
            <w:r>
              <w:t>污水处理厂一期</w:t>
            </w:r>
            <w:r>
              <w:rPr>
                <w:rFonts w:hint="eastAsia"/>
              </w:rPr>
              <w:t>实施提质改造，将原一期工程CASS池出水引至超滤-反渗透系统处理，处理后的废水达到</w:t>
            </w:r>
            <w:r>
              <w:t>《城镇污水处理厂污染物排放标准》（GB18918-2002）中的一级</w:t>
            </w:r>
            <w:r>
              <w:rPr>
                <w:rFonts w:hint="eastAsia"/>
              </w:rPr>
              <w:t>A</w:t>
            </w:r>
            <w:r>
              <w:t>标准</w:t>
            </w:r>
            <w:r>
              <w:rPr>
                <w:rFonts w:hint="eastAsia"/>
              </w:rPr>
              <w:t>后外排至沅江。</w:t>
            </w:r>
          </w:p>
          <w:p>
            <w:pPr>
              <w:keepNext w:val="0"/>
              <w:keepLines w:val="0"/>
              <w:pageBreakBefore w:val="0"/>
              <w:widowControl w:val="0"/>
              <w:kinsoku/>
              <w:wordWrap/>
              <w:overflowPunct/>
              <w:topLinePunct w:val="0"/>
              <w:autoSpaceDE/>
              <w:autoSpaceDN/>
              <w:bidi w:val="0"/>
              <w:adjustRightInd/>
              <w:snapToGrid/>
              <w:spacing w:line="360" w:lineRule="auto"/>
              <w:ind w:firstLine="560"/>
              <w:jc w:val="both"/>
              <w:textAlignment w:val="auto"/>
            </w:pPr>
            <w:r>
              <w:t>目前，</w:t>
            </w:r>
            <w:r>
              <w:rPr>
                <w:rFonts w:hint="eastAsia"/>
              </w:rPr>
              <w:t>洪江高新区污水处理</w:t>
            </w:r>
            <w:r>
              <w:t>一期</w:t>
            </w:r>
            <w:r>
              <w:rPr>
                <w:rFonts w:hint="eastAsia"/>
              </w:rPr>
              <w:t>提质改造工程已</w:t>
            </w:r>
            <w:r>
              <w:t>投入运行，该污水处理厂出水水质能够达到《城镇污水处理厂污染物排放标准》（GB18918-2002）中的一级</w:t>
            </w:r>
            <w:r>
              <w:rPr>
                <w:rFonts w:hint="eastAsia"/>
              </w:rPr>
              <w:t>A</w:t>
            </w:r>
            <w:r>
              <w:t>标准，出水排入沅江。</w:t>
            </w:r>
          </w:p>
          <w:p>
            <w:pPr>
              <w:keepNext w:val="0"/>
              <w:keepLines w:val="0"/>
              <w:pageBreakBefore w:val="0"/>
              <w:widowControl w:val="0"/>
              <w:kinsoku/>
              <w:wordWrap/>
              <w:overflowPunct/>
              <w:topLinePunct w:val="0"/>
              <w:autoSpaceDE/>
              <w:autoSpaceDN/>
              <w:bidi w:val="0"/>
              <w:adjustRightInd/>
              <w:snapToGrid/>
              <w:spacing w:line="360" w:lineRule="auto"/>
              <w:ind w:firstLine="560"/>
              <w:textAlignment w:val="auto"/>
            </w:pPr>
            <w:r>
              <w:rPr>
                <w:rFonts w:hint="eastAsia"/>
              </w:rPr>
              <w:t>洪江高新区</w:t>
            </w:r>
            <w:r>
              <w:t>污水处理厂进水水质要求为《</w:t>
            </w:r>
            <w:r>
              <w:rPr>
                <w:rFonts w:hint="eastAsia"/>
              </w:rPr>
              <w:t>污水</w:t>
            </w:r>
            <w:r>
              <w:t>综合排放标准》（GB8978-1996）</w:t>
            </w:r>
            <w:r>
              <w:rPr>
                <w:rFonts w:hint="eastAsia"/>
              </w:rPr>
              <w:t>三级标准</w:t>
            </w:r>
            <w:r>
              <w:t>，进水水质详见下表。</w:t>
            </w:r>
          </w:p>
          <w:p>
            <w:pPr>
              <w:pStyle w:val="33"/>
              <w:bidi w:val="0"/>
            </w:pPr>
            <w:r>
              <w:t>表</w:t>
            </w:r>
            <w:r>
              <w:rPr>
                <w:rFonts w:hint="eastAsia"/>
                <w:lang w:val="en-US" w:eastAsia="zh-CN"/>
              </w:rPr>
              <w:t>4</w:t>
            </w:r>
            <w:r>
              <w:t>-</w:t>
            </w:r>
            <w:r>
              <w:rPr>
                <w:rFonts w:hint="eastAsia"/>
              </w:rPr>
              <w:t>5</w:t>
            </w:r>
            <w:r>
              <w:rPr>
                <w:rFonts w:hint="eastAsia"/>
                <w:lang w:val="en-US" w:eastAsia="zh-CN"/>
              </w:rPr>
              <w:t xml:space="preserve"> </w:t>
            </w:r>
            <w:r>
              <w:rPr>
                <w:rFonts w:hint="eastAsia"/>
              </w:rPr>
              <w:t>洪江高新区</w:t>
            </w:r>
            <w:r>
              <w:t>污水处理厂进水水质要求单位：mg/L</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2266"/>
              <w:gridCol w:w="2171"/>
              <w:gridCol w:w="21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pct"/>
                  <w:noWrap w:val="0"/>
                  <w:vAlign w:val="center"/>
                </w:tcPr>
                <w:p>
                  <w:pPr>
                    <w:pStyle w:val="37"/>
                    <w:rPr>
                      <w:rFonts w:hint="eastAsia" w:eastAsia="宋体"/>
                      <w:color w:val="auto"/>
                      <w:u w:val="none"/>
                      <w:lang w:eastAsia="zh-CN"/>
                    </w:rPr>
                  </w:pPr>
                  <w:r>
                    <w:rPr>
                      <w:rFonts w:hint="eastAsia"/>
                      <w:color w:val="auto"/>
                      <w:u w:val="none"/>
                      <w:lang w:val="en-US" w:eastAsia="zh-CN"/>
                    </w:rPr>
                    <w:t>序号</w:t>
                  </w:r>
                </w:p>
              </w:tc>
              <w:tc>
                <w:tcPr>
                  <w:tcW w:w="1400" w:type="pct"/>
                  <w:noWrap w:val="0"/>
                  <w:vAlign w:val="center"/>
                </w:tcPr>
                <w:p>
                  <w:pPr>
                    <w:pStyle w:val="37"/>
                    <w:rPr>
                      <w:rFonts w:hint="eastAsia" w:eastAsia="宋体"/>
                      <w:color w:val="auto"/>
                      <w:u w:val="none"/>
                      <w:lang w:eastAsia="zh-CN"/>
                    </w:rPr>
                  </w:pPr>
                  <w:r>
                    <w:rPr>
                      <w:rFonts w:hint="eastAsia"/>
                      <w:color w:val="auto"/>
                      <w:u w:val="none"/>
                      <w:lang w:val="en-US" w:eastAsia="zh-CN"/>
                    </w:rPr>
                    <w:t>污染物</w:t>
                  </w:r>
                </w:p>
              </w:tc>
              <w:tc>
                <w:tcPr>
                  <w:tcW w:w="1342" w:type="pct"/>
                  <w:noWrap w:val="0"/>
                  <w:vAlign w:val="center"/>
                </w:tcPr>
                <w:p>
                  <w:pPr>
                    <w:pStyle w:val="37"/>
                    <w:rPr>
                      <w:rFonts w:hint="eastAsia" w:ascii="Times New Roman" w:hAnsi="Times New Roman" w:eastAsia="宋体" w:cs="Times New Roman"/>
                      <w:color w:val="auto"/>
                      <w:u w:val="none"/>
                      <w:lang w:val="en-US" w:eastAsia="zh-CN"/>
                    </w:rPr>
                  </w:pPr>
                  <w:r>
                    <w:t>进水水质浓度要求</w:t>
                  </w:r>
                </w:p>
              </w:tc>
              <w:tc>
                <w:tcPr>
                  <w:tcW w:w="1342" w:type="pct"/>
                  <w:noWrap w:val="0"/>
                  <w:vAlign w:val="center"/>
                </w:tcPr>
                <w:p>
                  <w:pPr>
                    <w:pStyle w:val="37"/>
                    <w:rPr>
                      <w:rFonts w:hint="default" w:eastAsia="宋体"/>
                      <w:lang w:val="en-US" w:eastAsia="zh-CN"/>
                    </w:rPr>
                  </w:pPr>
                  <w:r>
                    <w:rPr>
                      <w:rFonts w:hint="eastAsia"/>
                      <w:lang w:val="en-US" w:eastAsia="zh-CN"/>
                    </w:rPr>
                    <w:t>本项目排放浓度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pct"/>
                  <w:noWrap w:val="0"/>
                  <w:vAlign w:val="center"/>
                </w:tcPr>
                <w:p>
                  <w:pPr>
                    <w:pStyle w:val="37"/>
                    <w:rPr>
                      <w:rFonts w:hint="eastAsia" w:eastAsia="宋体"/>
                      <w:color w:val="auto"/>
                      <w:u w:val="none"/>
                      <w:lang w:val="en-US" w:eastAsia="zh-CN"/>
                    </w:rPr>
                  </w:pPr>
                  <w:r>
                    <w:rPr>
                      <w:rFonts w:hint="eastAsia"/>
                      <w:color w:val="auto"/>
                      <w:u w:val="none"/>
                      <w:lang w:val="en-US" w:eastAsia="zh-CN"/>
                    </w:rPr>
                    <w:t>1</w:t>
                  </w:r>
                </w:p>
              </w:tc>
              <w:tc>
                <w:tcPr>
                  <w:tcW w:w="1400" w:type="pct"/>
                  <w:noWrap w:val="0"/>
                  <w:vAlign w:val="center"/>
                </w:tcPr>
                <w:p>
                  <w:pPr>
                    <w:pStyle w:val="37"/>
                    <w:rPr>
                      <w:rFonts w:hint="default" w:eastAsia="宋体"/>
                      <w:color w:val="auto"/>
                      <w:u w:val="none"/>
                      <w:lang w:val="en-US" w:eastAsia="zh-CN"/>
                    </w:rPr>
                  </w:pPr>
                  <w:r>
                    <w:rPr>
                      <w:rFonts w:hint="eastAsia" w:eastAsia="宋体"/>
                      <w:color w:val="auto"/>
                      <w:u w:val="none"/>
                      <w:lang w:val="en-US" w:eastAsia="zh-CN"/>
                    </w:rPr>
                    <w:t>pH</w:t>
                  </w:r>
                </w:p>
              </w:tc>
              <w:tc>
                <w:tcPr>
                  <w:tcW w:w="1342" w:type="pct"/>
                  <w:noWrap w:val="0"/>
                  <w:vAlign w:val="center"/>
                </w:tcPr>
                <w:p>
                  <w:pPr>
                    <w:pStyle w:val="37"/>
                    <w:rPr>
                      <w:rFonts w:hint="eastAsia"/>
                      <w:color w:val="auto"/>
                      <w:u w:val="none"/>
                      <w:lang w:val="en-US" w:eastAsia="zh-CN"/>
                    </w:rPr>
                  </w:pPr>
                  <w:r>
                    <w:rPr>
                      <w:rFonts w:hint="eastAsia"/>
                      <w:color w:val="auto"/>
                      <w:u w:val="none"/>
                      <w:lang w:val="en-US" w:eastAsia="zh-CN"/>
                    </w:rPr>
                    <w:t>6~9</w:t>
                  </w:r>
                </w:p>
              </w:tc>
              <w:tc>
                <w:tcPr>
                  <w:tcW w:w="1342" w:type="pct"/>
                  <w:noWrap w:val="0"/>
                  <w:vAlign w:val="center"/>
                </w:tcPr>
                <w:p>
                  <w:pPr>
                    <w:pStyle w:val="37"/>
                    <w:rPr>
                      <w:rFonts w:hint="default"/>
                      <w:color w:val="auto"/>
                      <w:u w:val="none"/>
                      <w:lang w:val="en-US" w:eastAsia="zh-CN"/>
                    </w:rPr>
                  </w:pPr>
                  <w:r>
                    <w:rPr>
                      <w:rFonts w:hint="eastAsia"/>
                      <w:color w:val="auto"/>
                      <w:u w:val="none"/>
                      <w:lang w:val="en-US" w:eastAsia="zh-CN"/>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pct"/>
                  <w:noWrap w:val="0"/>
                  <w:vAlign w:val="center"/>
                </w:tcPr>
                <w:p>
                  <w:pPr>
                    <w:pStyle w:val="37"/>
                    <w:rPr>
                      <w:rFonts w:hint="eastAsia" w:eastAsia="宋体"/>
                      <w:color w:val="auto"/>
                      <w:u w:val="none"/>
                      <w:lang w:val="en-US" w:eastAsia="zh-CN"/>
                    </w:rPr>
                  </w:pPr>
                  <w:r>
                    <w:rPr>
                      <w:rFonts w:hint="eastAsia"/>
                      <w:color w:val="auto"/>
                      <w:u w:val="none"/>
                      <w:lang w:val="en-US" w:eastAsia="zh-CN"/>
                    </w:rPr>
                    <w:t>2</w:t>
                  </w:r>
                </w:p>
              </w:tc>
              <w:tc>
                <w:tcPr>
                  <w:tcW w:w="1400" w:type="pct"/>
                  <w:noWrap w:val="0"/>
                  <w:vAlign w:val="center"/>
                </w:tcPr>
                <w:p>
                  <w:pPr>
                    <w:pStyle w:val="37"/>
                    <w:rPr>
                      <w:rFonts w:hint="default" w:eastAsia="宋体"/>
                      <w:color w:val="auto"/>
                      <w:u w:val="none"/>
                      <w:lang w:val="en-US" w:eastAsia="zh-CN"/>
                    </w:rPr>
                  </w:pPr>
                  <w:r>
                    <w:rPr>
                      <w:rFonts w:hint="eastAsia"/>
                      <w:color w:val="auto"/>
                      <w:u w:val="none"/>
                      <w:lang w:val="en-US" w:eastAsia="zh-CN"/>
                    </w:rPr>
                    <w:t>氯化物</w:t>
                  </w:r>
                </w:p>
              </w:tc>
              <w:tc>
                <w:tcPr>
                  <w:tcW w:w="1342" w:type="pct"/>
                  <w:noWrap w:val="0"/>
                  <w:vAlign w:val="center"/>
                </w:tcPr>
                <w:p>
                  <w:pPr>
                    <w:pStyle w:val="37"/>
                    <w:rPr>
                      <w:rFonts w:hint="default" w:ascii="Times New Roman" w:hAnsi="Times New Roman" w:cs="Times New Roman"/>
                      <w:color w:val="auto"/>
                      <w:u w:val="none"/>
                      <w:lang w:val="en-US" w:eastAsia="zh-CN"/>
                    </w:rPr>
                  </w:pPr>
                  <w:r>
                    <w:rPr>
                      <w:rFonts w:hint="eastAsia" w:cs="Times New Roman"/>
                      <w:color w:val="auto"/>
                      <w:u w:val="none"/>
                      <w:lang w:val="en-US" w:eastAsia="zh-CN"/>
                    </w:rPr>
                    <w:t>800</w:t>
                  </w:r>
                </w:p>
              </w:tc>
              <w:tc>
                <w:tcPr>
                  <w:tcW w:w="1342" w:type="pct"/>
                  <w:noWrap w:val="0"/>
                  <w:vAlign w:val="center"/>
                </w:tcPr>
                <w:p>
                  <w:pPr>
                    <w:pStyle w:val="37"/>
                    <w:rPr>
                      <w:rFonts w:hint="default" w:cs="Times New Roman"/>
                      <w:color w:val="auto"/>
                      <w:u w:val="none"/>
                      <w:lang w:val="en-US" w:eastAsia="zh-CN"/>
                    </w:rPr>
                  </w:pPr>
                  <w:r>
                    <w:rPr>
                      <w:rFonts w:hint="eastAsia" w:cs="Times New Roman"/>
                      <w:color w:val="auto"/>
                      <w:u w:val="none"/>
                      <w:lang w:val="en-US" w:eastAsia="zh-CN"/>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pct"/>
                  <w:noWrap w:val="0"/>
                  <w:vAlign w:val="center"/>
                </w:tcPr>
                <w:p>
                  <w:pPr>
                    <w:pStyle w:val="37"/>
                    <w:rPr>
                      <w:rFonts w:hint="default"/>
                      <w:color w:val="auto"/>
                      <w:u w:val="none"/>
                      <w:lang w:val="en-US" w:eastAsia="zh-CN"/>
                    </w:rPr>
                  </w:pPr>
                  <w:r>
                    <w:rPr>
                      <w:rFonts w:hint="eastAsia"/>
                      <w:color w:val="auto"/>
                      <w:u w:val="none"/>
                      <w:lang w:val="en-US" w:eastAsia="zh-CN"/>
                    </w:rPr>
                    <w:t>3</w:t>
                  </w:r>
                </w:p>
              </w:tc>
              <w:tc>
                <w:tcPr>
                  <w:tcW w:w="1400" w:type="pct"/>
                  <w:noWrap w:val="0"/>
                  <w:vAlign w:val="center"/>
                </w:tcPr>
                <w:p>
                  <w:pPr>
                    <w:pStyle w:val="37"/>
                    <w:rPr>
                      <w:rFonts w:hint="eastAsia" w:eastAsia="宋体"/>
                      <w:color w:val="auto"/>
                      <w:u w:val="none"/>
                      <w:lang w:val="en-US" w:eastAsia="zh-CN"/>
                    </w:rPr>
                  </w:pPr>
                  <w:r>
                    <w:rPr>
                      <w:rFonts w:hint="eastAsia" w:eastAsia="宋体"/>
                      <w:color w:val="auto"/>
                      <w:u w:val="none"/>
                      <w:lang w:val="en-US" w:eastAsia="zh-CN"/>
                    </w:rPr>
                    <w:t>全盐量</w:t>
                  </w:r>
                </w:p>
              </w:tc>
              <w:tc>
                <w:tcPr>
                  <w:tcW w:w="1342" w:type="pct"/>
                  <w:noWrap w:val="0"/>
                  <w:vAlign w:val="center"/>
                </w:tcPr>
                <w:p>
                  <w:pPr>
                    <w:pStyle w:val="37"/>
                    <w:rPr>
                      <w:rFonts w:hint="default"/>
                      <w:color w:val="auto"/>
                      <w:u w:val="none"/>
                      <w:lang w:val="en-US" w:eastAsia="zh-CN"/>
                    </w:rPr>
                  </w:pPr>
                  <w:r>
                    <w:rPr>
                      <w:rFonts w:hint="eastAsia"/>
                      <w:color w:val="auto"/>
                      <w:u w:val="none"/>
                      <w:lang w:val="en-US" w:eastAsia="zh-CN"/>
                    </w:rPr>
                    <w:t>/</w:t>
                  </w:r>
                </w:p>
              </w:tc>
              <w:tc>
                <w:tcPr>
                  <w:tcW w:w="1342" w:type="pct"/>
                  <w:noWrap w:val="0"/>
                  <w:vAlign w:val="center"/>
                </w:tcPr>
                <w:p>
                  <w:pPr>
                    <w:pStyle w:val="37"/>
                    <w:rPr>
                      <w:rFonts w:hint="default"/>
                      <w:color w:val="auto"/>
                      <w:u w:val="none"/>
                      <w:lang w:val="en-US" w:eastAsia="zh-CN"/>
                    </w:rPr>
                  </w:pPr>
                  <w:r>
                    <w:rPr>
                      <w:rFonts w:hint="eastAsia"/>
                      <w:color w:val="auto"/>
                      <w:u w:val="none"/>
                      <w:lang w:val="en-US" w:eastAsia="zh-CN"/>
                    </w:rPr>
                    <w:t>30</w:t>
                  </w:r>
                </w:p>
              </w:tc>
            </w:tr>
          </w:tbl>
          <w:p>
            <w:pPr>
              <w:keepNext w:val="0"/>
              <w:keepLines w:val="0"/>
              <w:pageBreakBefore w:val="0"/>
              <w:widowControl w:val="0"/>
              <w:kinsoku/>
              <w:wordWrap/>
              <w:overflowPunct/>
              <w:topLinePunct w:val="0"/>
              <w:autoSpaceDE/>
              <w:autoSpaceDN/>
              <w:bidi w:val="0"/>
              <w:adjustRightInd/>
              <w:snapToGrid/>
              <w:spacing w:line="360" w:lineRule="auto"/>
              <w:ind w:firstLine="560" w:firstLineChars="0"/>
              <w:textAlignment w:val="auto"/>
            </w:pPr>
            <w:r>
              <w:t>根据上表可知，</w:t>
            </w:r>
            <w:r>
              <w:rPr>
                <w:rFonts w:hint="eastAsia"/>
              </w:rPr>
              <w:t>本</w:t>
            </w:r>
            <w:r>
              <w:rPr>
                <w:rFonts w:hint="eastAsia"/>
                <w:lang w:val="en-US" w:eastAsia="zh-CN"/>
              </w:rPr>
              <w:t>项目生产</w:t>
            </w:r>
            <w:r>
              <w:rPr>
                <w:rFonts w:hint="eastAsia"/>
              </w:rPr>
              <w:t>废水能够满足洪江高新区污水处理厂设计</w:t>
            </w:r>
            <w:r>
              <w:t>进水水质要求。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0"/>
              <w:textAlignment w:val="auto"/>
            </w:pPr>
            <w:r>
              <w:rPr>
                <w:rFonts w:hint="eastAsia"/>
              </w:rPr>
              <w:t>洪江高新区污水处理厂</w:t>
            </w:r>
            <w:r>
              <w:t>一期设计规模为10000m</w:t>
            </w:r>
            <w:r>
              <w:rPr>
                <w:vertAlign w:val="superscript"/>
              </w:rPr>
              <w:t>3</w:t>
            </w:r>
            <w:r>
              <w:t>/d，</w:t>
            </w:r>
            <w:bookmarkStart w:id="14" w:name="_Hlk35552753"/>
            <w:r>
              <w:rPr>
                <w:rFonts w:hint="eastAsia"/>
              </w:rPr>
              <w:t>目前实际处理量约3</w:t>
            </w:r>
            <w:r>
              <w:t>000m</w:t>
            </w:r>
            <w:r>
              <w:rPr>
                <w:vertAlign w:val="superscript"/>
              </w:rPr>
              <w:t>3</w:t>
            </w:r>
            <w:r>
              <w:t>/d</w:t>
            </w:r>
            <w:r>
              <w:rPr>
                <w:rFonts w:hint="eastAsia"/>
              </w:rPr>
              <w:t>，</w:t>
            </w:r>
            <w:bookmarkEnd w:id="14"/>
            <w:r>
              <w:rPr>
                <w:rFonts w:hint="eastAsia"/>
              </w:rPr>
              <w:t>本项目运营期废水排放量小于园区污水处理厂设计处理能力，</w:t>
            </w:r>
            <w:r>
              <w:rPr>
                <w:rFonts w:hint="eastAsia"/>
                <w:lang w:val="en-US" w:eastAsia="zh-CN"/>
              </w:rPr>
              <w:t>企业生产废水通过园区污水管网可以排入洪江高新区污水处理厂。</w:t>
            </w:r>
            <w:r>
              <w:rPr>
                <w:rFonts w:hint="eastAsia"/>
              </w:rPr>
              <w:t>因此，洪江高新区污水处理厂能够接纳本项目外排的废水量。因此</w:t>
            </w:r>
            <w:r>
              <w:t>，从</w:t>
            </w:r>
            <w:r>
              <w:rPr>
                <w:rFonts w:hint="eastAsia"/>
              </w:rPr>
              <w:t>项目废水</w:t>
            </w:r>
            <w:r>
              <w:t>水质</w:t>
            </w:r>
            <w:r>
              <w:rPr>
                <w:rFonts w:hint="eastAsia"/>
                <w:lang w:eastAsia="zh-CN"/>
              </w:rPr>
              <w:t>、</w:t>
            </w:r>
            <w:r>
              <w:t>水量</w:t>
            </w:r>
            <w:r>
              <w:rPr>
                <w:rFonts w:hint="eastAsia"/>
                <w:lang w:val="en-US" w:eastAsia="zh-CN"/>
              </w:rPr>
              <w:t>和管网是否可达3</w:t>
            </w:r>
            <w:r>
              <w:t>个角度考虑，本项目</w:t>
            </w:r>
            <w:r>
              <w:rPr>
                <w:rFonts w:hint="eastAsia"/>
                <w:lang w:val="en-US" w:eastAsia="zh-CN"/>
              </w:rPr>
              <w:t>生产</w:t>
            </w:r>
            <w:r>
              <w:t>废水能够进入</w:t>
            </w:r>
            <w:r>
              <w:rPr>
                <w:rFonts w:hint="eastAsia"/>
              </w:rPr>
              <w:t>洪江高新区污水</w:t>
            </w:r>
            <w:r>
              <w:t>处理厂。</w:t>
            </w:r>
          </w:p>
          <w:p>
            <w:pPr>
              <w:pStyle w:val="36"/>
              <w:bidi w:val="0"/>
              <w:rPr>
                <w:rFonts w:hint="default"/>
                <w:b/>
                <w:bCs/>
                <w:lang w:val="en-US" w:eastAsia="zh-CN"/>
              </w:rPr>
            </w:pPr>
            <w:r>
              <w:rPr>
                <w:rFonts w:hint="eastAsia"/>
                <w:b/>
                <w:bCs/>
                <w:lang w:val="en-US" w:eastAsia="zh-CN"/>
              </w:rPr>
              <w:t>三、噪声</w:t>
            </w:r>
          </w:p>
          <w:p>
            <w:pPr>
              <w:pStyle w:val="36"/>
              <w:bidi w:val="0"/>
              <w:rPr>
                <w:rFonts w:hint="eastAsia"/>
                <w:b/>
                <w:bCs/>
              </w:rPr>
            </w:pPr>
            <w:r>
              <w:rPr>
                <w:rFonts w:hint="eastAsia"/>
                <w:b/>
                <w:bCs/>
              </w:rPr>
              <w:t>1、污染物产生情况</w:t>
            </w:r>
          </w:p>
          <w:p>
            <w:pPr>
              <w:pStyle w:val="36"/>
              <w:bidi w:val="0"/>
              <w:rPr>
                <w:color w:val="000000"/>
              </w:rPr>
            </w:pPr>
            <w:r>
              <w:t>本项目噪声污染源主要</w:t>
            </w:r>
            <w:r>
              <w:rPr>
                <w:rFonts w:hint="eastAsia"/>
                <w:lang w:val="en-US" w:eastAsia="zh-CN"/>
              </w:rPr>
              <w:t>来自混合器、脱水机、水泵等</w:t>
            </w:r>
            <w:r>
              <w:t>设备运行过程中产生的噪声，噪声功率级为</w:t>
            </w:r>
            <w:r>
              <w:rPr>
                <w:rFonts w:hint="eastAsia"/>
                <w:lang w:val="en-US" w:eastAsia="zh-CN"/>
              </w:rPr>
              <w:t>80~90</w:t>
            </w:r>
            <w:r>
              <w:t>dB（A）。通过选用低噪声设备，基础减震并经距离衰减后可有效减轻噪声对外界的影响，主要设备噪声情况如表4-</w:t>
            </w:r>
            <w:r>
              <w:rPr>
                <w:rFonts w:hint="eastAsia"/>
                <w:lang w:val="en-US" w:eastAsia="zh-CN"/>
              </w:rPr>
              <w:t>6</w:t>
            </w:r>
            <w:r>
              <w:t>所示。</w:t>
            </w:r>
          </w:p>
          <w:p>
            <w:pPr>
              <w:pStyle w:val="33"/>
              <w:rPr>
                <w:color w:val="000000"/>
              </w:rPr>
            </w:pPr>
            <w:r>
              <w:rPr>
                <w:color w:val="000000"/>
              </w:rPr>
              <w:t>表4-</w:t>
            </w:r>
            <w:r>
              <w:rPr>
                <w:rFonts w:hint="eastAsia"/>
                <w:color w:val="000000"/>
                <w:lang w:val="en-US" w:eastAsia="zh-CN"/>
              </w:rPr>
              <w:t>6</w:t>
            </w:r>
            <w:r>
              <w:rPr>
                <w:color w:val="000000"/>
              </w:rPr>
              <w:t xml:space="preserve"> 项目噪声情况一览表</w:t>
            </w:r>
          </w:p>
          <w:tbl>
            <w:tblPr>
              <w:tblStyle w:val="22"/>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438"/>
              <w:gridCol w:w="3284"/>
              <w:gridCol w:w="1656"/>
              <w:gridCol w:w="170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89" w:type="pct"/>
                  <w:noWrap w:val="0"/>
                  <w:vAlign w:val="center"/>
                </w:tcPr>
                <w:p>
                  <w:pPr>
                    <w:pStyle w:val="37"/>
                    <w:adjustRightInd w:val="0"/>
                    <w:snapToGrid w:val="0"/>
                    <w:rPr>
                      <w:rFonts w:hint="default"/>
                      <w:i w:val="0"/>
                      <w:iCs w:val="0"/>
                      <w:color w:val="000000"/>
                      <w:u w:val="none"/>
                    </w:rPr>
                  </w:pPr>
                  <w:r>
                    <w:rPr>
                      <w:rFonts w:hint="default"/>
                      <w:i w:val="0"/>
                      <w:iCs w:val="0"/>
                      <w:color w:val="000000"/>
                      <w:u w:val="none"/>
                    </w:rPr>
                    <w:t>序号</w:t>
                  </w:r>
                </w:p>
              </w:tc>
              <w:tc>
                <w:tcPr>
                  <w:tcW w:w="2030" w:type="pct"/>
                  <w:noWrap w:val="0"/>
                  <w:vAlign w:val="center"/>
                </w:tcPr>
                <w:p>
                  <w:pPr>
                    <w:pStyle w:val="37"/>
                    <w:adjustRightInd w:val="0"/>
                    <w:snapToGrid w:val="0"/>
                    <w:rPr>
                      <w:rFonts w:hint="default"/>
                      <w:i w:val="0"/>
                      <w:iCs w:val="0"/>
                      <w:color w:val="000000"/>
                      <w:u w:val="none"/>
                    </w:rPr>
                  </w:pPr>
                  <w:r>
                    <w:rPr>
                      <w:rFonts w:hint="default"/>
                      <w:i w:val="0"/>
                      <w:iCs w:val="0"/>
                      <w:color w:val="000000"/>
                      <w:u w:val="none"/>
                    </w:rPr>
                    <w:t>名称</w:t>
                  </w:r>
                </w:p>
              </w:tc>
              <w:tc>
                <w:tcPr>
                  <w:tcW w:w="1024" w:type="pct"/>
                  <w:noWrap w:val="0"/>
                  <w:vAlign w:val="center"/>
                </w:tcPr>
                <w:p>
                  <w:pPr>
                    <w:pStyle w:val="37"/>
                    <w:adjustRightInd w:val="0"/>
                    <w:snapToGrid w:val="0"/>
                    <w:rPr>
                      <w:rFonts w:hint="default"/>
                      <w:i w:val="0"/>
                      <w:iCs w:val="0"/>
                      <w:color w:val="000000"/>
                      <w:u w:val="none"/>
                    </w:rPr>
                  </w:pPr>
                  <w:r>
                    <w:rPr>
                      <w:rFonts w:hint="default"/>
                      <w:i w:val="0"/>
                      <w:iCs w:val="0"/>
                      <w:color w:val="000000"/>
                      <w:u w:val="none"/>
                    </w:rPr>
                    <w:t>数量（台）</w:t>
                  </w:r>
                </w:p>
              </w:tc>
              <w:tc>
                <w:tcPr>
                  <w:tcW w:w="1055" w:type="pct"/>
                  <w:noWrap w:val="0"/>
                  <w:vAlign w:val="center"/>
                </w:tcPr>
                <w:p>
                  <w:pPr>
                    <w:pStyle w:val="37"/>
                    <w:adjustRightInd w:val="0"/>
                    <w:snapToGrid w:val="0"/>
                    <w:rPr>
                      <w:rFonts w:hint="default"/>
                      <w:i w:val="0"/>
                      <w:iCs w:val="0"/>
                      <w:color w:val="000000"/>
                      <w:u w:val="none"/>
                    </w:rPr>
                  </w:pPr>
                  <w:r>
                    <w:rPr>
                      <w:rFonts w:hint="default"/>
                      <w:i w:val="0"/>
                      <w:iCs w:val="0"/>
                      <w:color w:val="000000"/>
                      <w:u w:val="none"/>
                    </w:rPr>
                    <w:t>单机dB（A）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89" w:type="pct"/>
                  <w:noWrap w:val="0"/>
                  <w:vAlign w:val="center"/>
                </w:tcPr>
                <w:p>
                  <w:pPr>
                    <w:pStyle w:val="37"/>
                    <w:adjustRightInd w:val="0"/>
                    <w:snapToGrid w:val="0"/>
                    <w:rPr>
                      <w:rFonts w:hint="default"/>
                      <w:i w:val="0"/>
                      <w:iCs w:val="0"/>
                      <w:color w:val="000000"/>
                      <w:u w:val="none"/>
                    </w:rPr>
                  </w:pPr>
                  <w:r>
                    <w:rPr>
                      <w:rFonts w:hint="default"/>
                      <w:i w:val="0"/>
                      <w:iCs w:val="0"/>
                      <w:color w:val="000000"/>
                      <w:u w:val="none"/>
                    </w:rPr>
                    <w:t>1</w:t>
                  </w:r>
                </w:p>
              </w:tc>
              <w:tc>
                <w:tcPr>
                  <w:tcW w:w="2030" w:type="pct"/>
                  <w:noWrap w:val="0"/>
                  <w:vAlign w:val="center"/>
                </w:tcPr>
                <w:p>
                  <w:pPr>
                    <w:pStyle w:val="37"/>
                    <w:adjustRightInd w:val="0"/>
                    <w:snapToGrid w:val="0"/>
                    <w:rPr>
                      <w:rFonts w:hint="default" w:eastAsia="宋体"/>
                      <w:i w:val="0"/>
                      <w:iCs w:val="0"/>
                      <w:color w:val="000000"/>
                      <w:u w:val="none"/>
                      <w:lang w:val="en-US" w:eastAsia="zh-CN"/>
                    </w:rPr>
                  </w:pPr>
                  <w:r>
                    <w:rPr>
                      <w:rFonts w:hint="eastAsia"/>
                      <w:lang w:val="en-US" w:eastAsia="zh-CN"/>
                    </w:rPr>
                    <w:t>混合器</w:t>
                  </w:r>
                </w:p>
              </w:tc>
              <w:tc>
                <w:tcPr>
                  <w:tcW w:w="1024" w:type="pct"/>
                  <w:noWrap w:val="0"/>
                  <w:vAlign w:val="center"/>
                </w:tcPr>
                <w:p>
                  <w:pPr>
                    <w:pStyle w:val="37"/>
                    <w:rPr>
                      <w:rFonts w:hint="default" w:eastAsia="宋体"/>
                      <w:i w:val="0"/>
                      <w:iCs w:val="0"/>
                      <w:color w:val="000000"/>
                      <w:szCs w:val="24"/>
                      <w:u w:val="none"/>
                      <w:lang w:val="en-US" w:eastAsia="zh-CN"/>
                    </w:rPr>
                  </w:pPr>
                  <w:r>
                    <w:rPr>
                      <w:rFonts w:hint="eastAsia"/>
                      <w:i w:val="0"/>
                      <w:iCs w:val="0"/>
                      <w:color w:val="000000"/>
                      <w:szCs w:val="24"/>
                      <w:u w:val="none"/>
                      <w:lang w:val="en-US" w:eastAsia="zh-CN"/>
                    </w:rPr>
                    <w:t>3</w:t>
                  </w:r>
                </w:p>
              </w:tc>
              <w:tc>
                <w:tcPr>
                  <w:tcW w:w="1055" w:type="pct"/>
                  <w:noWrap w:val="0"/>
                  <w:vAlign w:val="center"/>
                </w:tcPr>
                <w:p>
                  <w:pPr>
                    <w:pStyle w:val="37"/>
                    <w:adjustRightInd w:val="0"/>
                    <w:snapToGrid w:val="0"/>
                    <w:rPr>
                      <w:rFonts w:hint="default" w:eastAsia="宋体"/>
                      <w:i w:val="0"/>
                      <w:iCs w:val="0"/>
                      <w:color w:val="000000"/>
                      <w:u w:val="none"/>
                      <w:lang w:val="en-US" w:eastAsia="zh-CN"/>
                    </w:rPr>
                  </w:pPr>
                  <w:r>
                    <w:rPr>
                      <w:rFonts w:hint="eastAsia"/>
                      <w:i w:val="0"/>
                      <w:iCs w:val="0"/>
                      <w:color w:val="000000"/>
                      <w:u w:val="none"/>
                      <w:lang w:val="en-US" w:eastAsia="zh-CN"/>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89" w:type="pct"/>
                  <w:noWrap w:val="0"/>
                  <w:vAlign w:val="center"/>
                </w:tcPr>
                <w:p>
                  <w:pPr>
                    <w:pStyle w:val="37"/>
                    <w:adjustRightInd w:val="0"/>
                    <w:snapToGrid w:val="0"/>
                    <w:rPr>
                      <w:rFonts w:hint="default"/>
                      <w:i w:val="0"/>
                      <w:iCs w:val="0"/>
                      <w:color w:val="000000"/>
                      <w:u w:val="none"/>
                    </w:rPr>
                  </w:pPr>
                  <w:r>
                    <w:rPr>
                      <w:rFonts w:hint="default"/>
                      <w:i w:val="0"/>
                      <w:iCs w:val="0"/>
                      <w:color w:val="000000"/>
                      <w:u w:val="none"/>
                    </w:rPr>
                    <w:t>2</w:t>
                  </w:r>
                </w:p>
              </w:tc>
              <w:tc>
                <w:tcPr>
                  <w:tcW w:w="2030" w:type="pct"/>
                  <w:noWrap w:val="0"/>
                  <w:vAlign w:val="center"/>
                </w:tcPr>
                <w:p>
                  <w:pPr>
                    <w:pStyle w:val="37"/>
                    <w:adjustRightInd w:val="0"/>
                    <w:snapToGrid w:val="0"/>
                    <w:rPr>
                      <w:rFonts w:hint="default" w:eastAsia="宋体"/>
                      <w:i w:val="0"/>
                      <w:iCs w:val="0"/>
                      <w:color w:val="000000"/>
                      <w:u w:val="none"/>
                      <w:lang w:val="en-US" w:eastAsia="zh-CN"/>
                    </w:rPr>
                  </w:pPr>
                  <w:r>
                    <w:rPr>
                      <w:rFonts w:hint="eastAsia" w:ascii="宋体" w:hAnsi="宋体"/>
                      <w:color w:val="auto"/>
                      <w:szCs w:val="21"/>
                    </w:rPr>
                    <w:t>叠螺污泥</w:t>
                  </w:r>
                  <w:r>
                    <w:rPr>
                      <w:rFonts w:hint="eastAsia"/>
                      <w:lang w:val="en-US" w:eastAsia="zh-CN"/>
                    </w:rPr>
                    <w:t>脱水机</w:t>
                  </w:r>
                </w:p>
              </w:tc>
              <w:tc>
                <w:tcPr>
                  <w:tcW w:w="1024" w:type="pct"/>
                  <w:noWrap w:val="0"/>
                  <w:vAlign w:val="center"/>
                </w:tcPr>
                <w:p>
                  <w:pPr>
                    <w:pStyle w:val="37"/>
                    <w:rPr>
                      <w:rFonts w:hint="default" w:eastAsia="宋体"/>
                      <w:i w:val="0"/>
                      <w:iCs w:val="0"/>
                      <w:color w:val="000000"/>
                      <w:szCs w:val="24"/>
                      <w:u w:val="none"/>
                      <w:lang w:val="en-US" w:eastAsia="zh-CN"/>
                    </w:rPr>
                  </w:pPr>
                  <w:r>
                    <w:rPr>
                      <w:rFonts w:hint="eastAsia"/>
                      <w:i w:val="0"/>
                      <w:iCs w:val="0"/>
                      <w:color w:val="000000"/>
                      <w:szCs w:val="24"/>
                      <w:u w:val="none"/>
                      <w:lang w:val="en-US" w:eastAsia="zh-CN"/>
                    </w:rPr>
                    <w:t>1</w:t>
                  </w:r>
                </w:p>
              </w:tc>
              <w:tc>
                <w:tcPr>
                  <w:tcW w:w="1055" w:type="pct"/>
                  <w:noWrap w:val="0"/>
                  <w:vAlign w:val="center"/>
                </w:tcPr>
                <w:p>
                  <w:pPr>
                    <w:pStyle w:val="37"/>
                    <w:adjustRightInd w:val="0"/>
                    <w:snapToGrid w:val="0"/>
                    <w:rPr>
                      <w:rFonts w:hint="default" w:eastAsia="宋体"/>
                      <w:i w:val="0"/>
                      <w:iCs w:val="0"/>
                      <w:color w:val="000000"/>
                      <w:u w:val="none"/>
                      <w:lang w:val="en-US" w:eastAsia="zh-CN"/>
                    </w:rPr>
                  </w:pPr>
                  <w:r>
                    <w:rPr>
                      <w:rFonts w:hint="eastAsia"/>
                      <w:i w:val="0"/>
                      <w:iCs w:val="0"/>
                      <w:color w:val="000000"/>
                      <w:u w:val="none"/>
                      <w:lang w:val="en-US" w:eastAsia="zh-CN"/>
                    </w:rPr>
                    <w:t>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89" w:type="pct"/>
                  <w:noWrap w:val="0"/>
                  <w:vAlign w:val="center"/>
                </w:tcPr>
                <w:p>
                  <w:pPr>
                    <w:pStyle w:val="37"/>
                    <w:adjustRightInd w:val="0"/>
                    <w:snapToGrid w:val="0"/>
                    <w:rPr>
                      <w:rFonts w:hint="eastAsia" w:eastAsia="宋体"/>
                      <w:i w:val="0"/>
                      <w:iCs w:val="0"/>
                      <w:color w:val="000000"/>
                      <w:u w:val="none"/>
                      <w:lang w:val="en-US" w:eastAsia="zh-CN"/>
                    </w:rPr>
                  </w:pPr>
                  <w:r>
                    <w:rPr>
                      <w:rFonts w:hint="eastAsia"/>
                      <w:i w:val="0"/>
                      <w:iCs w:val="0"/>
                      <w:color w:val="000000"/>
                      <w:u w:val="none"/>
                      <w:lang w:val="en-US" w:eastAsia="zh-CN"/>
                    </w:rPr>
                    <w:t>3</w:t>
                  </w:r>
                </w:p>
              </w:tc>
              <w:tc>
                <w:tcPr>
                  <w:tcW w:w="2030" w:type="pct"/>
                  <w:noWrap w:val="0"/>
                  <w:vAlign w:val="center"/>
                </w:tcPr>
                <w:p>
                  <w:pPr>
                    <w:pStyle w:val="37"/>
                    <w:adjustRightInd w:val="0"/>
                    <w:snapToGrid w:val="0"/>
                    <w:rPr>
                      <w:rFonts w:hint="eastAsia"/>
                      <w:i w:val="0"/>
                      <w:iCs w:val="0"/>
                      <w:color w:val="000000"/>
                      <w:u w:val="none"/>
                      <w:lang w:val="en-US" w:eastAsia="zh-CN"/>
                    </w:rPr>
                  </w:pPr>
                  <w:r>
                    <w:rPr>
                      <w:rFonts w:hint="eastAsia"/>
                      <w:color w:val="auto"/>
                    </w:rPr>
                    <w:t>污泥提升泵</w:t>
                  </w:r>
                </w:p>
              </w:tc>
              <w:tc>
                <w:tcPr>
                  <w:tcW w:w="1024" w:type="pct"/>
                  <w:noWrap w:val="0"/>
                  <w:vAlign w:val="center"/>
                </w:tcPr>
                <w:p>
                  <w:pPr>
                    <w:pStyle w:val="37"/>
                    <w:rPr>
                      <w:rFonts w:hint="default"/>
                      <w:i w:val="0"/>
                      <w:iCs w:val="0"/>
                      <w:color w:val="000000"/>
                      <w:szCs w:val="24"/>
                      <w:u w:val="none"/>
                      <w:lang w:val="en-US" w:eastAsia="zh-CN"/>
                    </w:rPr>
                  </w:pPr>
                  <w:r>
                    <w:rPr>
                      <w:rFonts w:hint="eastAsia"/>
                      <w:i w:val="0"/>
                      <w:iCs w:val="0"/>
                      <w:color w:val="000000"/>
                      <w:szCs w:val="24"/>
                      <w:u w:val="none"/>
                      <w:lang w:val="en-US" w:eastAsia="zh-CN"/>
                    </w:rPr>
                    <w:t>2</w:t>
                  </w:r>
                </w:p>
              </w:tc>
              <w:tc>
                <w:tcPr>
                  <w:tcW w:w="1055" w:type="pct"/>
                  <w:noWrap w:val="0"/>
                  <w:vAlign w:val="center"/>
                </w:tcPr>
                <w:p>
                  <w:pPr>
                    <w:pStyle w:val="37"/>
                    <w:adjustRightInd w:val="0"/>
                    <w:snapToGrid w:val="0"/>
                    <w:rPr>
                      <w:rFonts w:hint="default"/>
                      <w:i w:val="0"/>
                      <w:iCs w:val="0"/>
                      <w:color w:val="000000"/>
                      <w:u w:val="none"/>
                      <w:lang w:val="en-US" w:eastAsia="zh-CN"/>
                    </w:rPr>
                  </w:pPr>
                  <w:r>
                    <w:rPr>
                      <w:rFonts w:hint="eastAsia"/>
                      <w:i w:val="0"/>
                      <w:iCs w:val="0"/>
                      <w:color w:val="000000"/>
                      <w:u w:val="none"/>
                      <w:lang w:val="en-US" w:eastAsia="zh-CN"/>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89" w:type="pct"/>
                  <w:noWrap w:val="0"/>
                  <w:vAlign w:val="center"/>
                </w:tcPr>
                <w:p>
                  <w:pPr>
                    <w:pStyle w:val="37"/>
                    <w:adjustRightInd w:val="0"/>
                    <w:snapToGrid w:val="0"/>
                    <w:rPr>
                      <w:rFonts w:hint="eastAsia" w:eastAsia="宋体"/>
                      <w:i w:val="0"/>
                      <w:iCs w:val="0"/>
                      <w:color w:val="000000"/>
                      <w:u w:val="none"/>
                      <w:lang w:val="en-US" w:eastAsia="zh-CN"/>
                    </w:rPr>
                  </w:pPr>
                  <w:r>
                    <w:rPr>
                      <w:rFonts w:hint="eastAsia"/>
                      <w:i w:val="0"/>
                      <w:iCs w:val="0"/>
                      <w:color w:val="000000"/>
                      <w:u w:val="none"/>
                      <w:lang w:val="en-US" w:eastAsia="zh-CN"/>
                    </w:rPr>
                    <w:t>4</w:t>
                  </w:r>
                </w:p>
              </w:tc>
              <w:tc>
                <w:tcPr>
                  <w:tcW w:w="2030" w:type="pct"/>
                  <w:noWrap w:val="0"/>
                  <w:vAlign w:val="center"/>
                </w:tcPr>
                <w:p>
                  <w:pPr>
                    <w:pStyle w:val="37"/>
                    <w:adjustRightInd w:val="0"/>
                    <w:snapToGrid w:val="0"/>
                    <w:rPr>
                      <w:rFonts w:hint="eastAsia"/>
                      <w:i w:val="0"/>
                      <w:iCs w:val="0"/>
                      <w:color w:val="000000"/>
                      <w:u w:val="none"/>
                      <w:lang w:val="en-US" w:eastAsia="zh-CN"/>
                    </w:rPr>
                  </w:pPr>
                  <w:r>
                    <w:rPr>
                      <w:rFonts w:ascii="宋体" w:hAnsi="宋体"/>
                      <w:color w:val="auto"/>
                    </w:rPr>
                    <w:t>反洗水泵</w:t>
                  </w:r>
                </w:p>
              </w:tc>
              <w:tc>
                <w:tcPr>
                  <w:tcW w:w="1024" w:type="pct"/>
                  <w:noWrap w:val="0"/>
                  <w:vAlign w:val="center"/>
                </w:tcPr>
                <w:p>
                  <w:pPr>
                    <w:pStyle w:val="37"/>
                    <w:rPr>
                      <w:rFonts w:hint="default"/>
                      <w:i w:val="0"/>
                      <w:iCs w:val="0"/>
                      <w:color w:val="000000"/>
                      <w:szCs w:val="24"/>
                      <w:u w:val="none"/>
                      <w:lang w:val="en-US" w:eastAsia="zh-CN"/>
                    </w:rPr>
                  </w:pPr>
                  <w:r>
                    <w:rPr>
                      <w:rFonts w:hint="eastAsia"/>
                      <w:i w:val="0"/>
                      <w:iCs w:val="0"/>
                      <w:color w:val="000000"/>
                      <w:szCs w:val="24"/>
                      <w:u w:val="none"/>
                      <w:lang w:val="en-US" w:eastAsia="zh-CN"/>
                    </w:rPr>
                    <w:t>2</w:t>
                  </w:r>
                </w:p>
              </w:tc>
              <w:tc>
                <w:tcPr>
                  <w:tcW w:w="1055" w:type="pct"/>
                  <w:noWrap w:val="0"/>
                  <w:vAlign w:val="center"/>
                </w:tcPr>
                <w:p>
                  <w:pPr>
                    <w:pStyle w:val="37"/>
                    <w:adjustRightInd w:val="0"/>
                    <w:snapToGrid w:val="0"/>
                    <w:rPr>
                      <w:rFonts w:hint="default"/>
                      <w:i w:val="0"/>
                      <w:iCs w:val="0"/>
                      <w:color w:val="000000"/>
                      <w:u w:val="none"/>
                      <w:lang w:val="en-US" w:eastAsia="zh-CN"/>
                    </w:rPr>
                  </w:pPr>
                  <w:r>
                    <w:rPr>
                      <w:rFonts w:hint="eastAsia"/>
                      <w:i w:val="0"/>
                      <w:iCs w:val="0"/>
                      <w:color w:val="000000"/>
                      <w:u w:val="none"/>
                      <w:lang w:val="en-US" w:eastAsia="zh-CN"/>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89" w:type="pct"/>
                  <w:noWrap w:val="0"/>
                  <w:vAlign w:val="center"/>
                </w:tcPr>
                <w:p>
                  <w:pPr>
                    <w:pStyle w:val="37"/>
                    <w:adjustRightInd w:val="0"/>
                    <w:snapToGrid w:val="0"/>
                    <w:rPr>
                      <w:rFonts w:hint="default"/>
                      <w:i w:val="0"/>
                      <w:iCs w:val="0"/>
                      <w:color w:val="000000"/>
                      <w:u w:val="none"/>
                      <w:lang w:val="en-US" w:eastAsia="zh-CN"/>
                    </w:rPr>
                  </w:pPr>
                  <w:r>
                    <w:rPr>
                      <w:rFonts w:hint="eastAsia"/>
                      <w:i w:val="0"/>
                      <w:iCs w:val="0"/>
                      <w:color w:val="000000"/>
                      <w:u w:val="none"/>
                      <w:lang w:val="en-US" w:eastAsia="zh-CN"/>
                    </w:rPr>
                    <w:t>5</w:t>
                  </w:r>
                </w:p>
              </w:tc>
              <w:tc>
                <w:tcPr>
                  <w:tcW w:w="2030" w:type="pct"/>
                  <w:noWrap w:val="0"/>
                  <w:vAlign w:val="center"/>
                </w:tcPr>
                <w:p>
                  <w:pPr>
                    <w:pStyle w:val="37"/>
                    <w:adjustRightInd w:val="0"/>
                    <w:snapToGrid w:val="0"/>
                    <w:rPr>
                      <w:rFonts w:ascii="宋体" w:hAnsi="宋体"/>
                      <w:color w:val="auto"/>
                    </w:rPr>
                  </w:pPr>
                  <w:r>
                    <w:rPr>
                      <w:rFonts w:ascii="宋体" w:hAnsi="宋体"/>
                      <w:color w:val="auto"/>
                    </w:rPr>
                    <w:t>高压泵</w:t>
                  </w:r>
                </w:p>
              </w:tc>
              <w:tc>
                <w:tcPr>
                  <w:tcW w:w="1024" w:type="pct"/>
                  <w:noWrap w:val="0"/>
                  <w:vAlign w:val="center"/>
                </w:tcPr>
                <w:p>
                  <w:pPr>
                    <w:pStyle w:val="37"/>
                    <w:rPr>
                      <w:rFonts w:hint="default"/>
                      <w:i w:val="0"/>
                      <w:iCs w:val="0"/>
                      <w:color w:val="000000"/>
                      <w:szCs w:val="24"/>
                      <w:u w:val="none"/>
                      <w:lang w:val="en-US" w:eastAsia="zh-CN"/>
                    </w:rPr>
                  </w:pPr>
                  <w:r>
                    <w:rPr>
                      <w:rFonts w:hint="eastAsia"/>
                      <w:i w:val="0"/>
                      <w:iCs w:val="0"/>
                      <w:color w:val="000000"/>
                      <w:szCs w:val="24"/>
                      <w:u w:val="none"/>
                      <w:lang w:val="en-US" w:eastAsia="zh-CN"/>
                    </w:rPr>
                    <w:t>3</w:t>
                  </w:r>
                </w:p>
              </w:tc>
              <w:tc>
                <w:tcPr>
                  <w:tcW w:w="1055" w:type="pct"/>
                  <w:noWrap w:val="0"/>
                  <w:vAlign w:val="center"/>
                </w:tcPr>
                <w:p>
                  <w:pPr>
                    <w:pStyle w:val="37"/>
                    <w:adjustRightInd w:val="0"/>
                    <w:snapToGrid w:val="0"/>
                    <w:rPr>
                      <w:rFonts w:hint="default"/>
                      <w:i w:val="0"/>
                      <w:iCs w:val="0"/>
                      <w:color w:val="000000"/>
                      <w:u w:val="none"/>
                      <w:lang w:val="en-US" w:eastAsia="zh-CN"/>
                    </w:rPr>
                  </w:pPr>
                  <w:r>
                    <w:rPr>
                      <w:rFonts w:hint="eastAsia"/>
                      <w:i w:val="0"/>
                      <w:iCs w:val="0"/>
                      <w:color w:val="000000"/>
                      <w:u w:val="none"/>
                      <w:lang w:val="en-US" w:eastAsia="zh-CN"/>
                    </w:rPr>
                    <w:t>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89" w:type="pct"/>
                  <w:noWrap w:val="0"/>
                  <w:vAlign w:val="center"/>
                </w:tcPr>
                <w:p>
                  <w:pPr>
                    <w:pStyle w:val="37"/>
                    <w:adjustRightInd w:val="0"/>
                    <w:snapToGrid w:val="0"/>
                    <w:rPr>
                      <w:rFonts w:hint="default"/>
                      <w:i w:val="0"/>
                      <w:iCs w:val="0"/>
                      <w:color w:val="000000"/>
                      <w:u w:val="none"/>
                      <w:lang w:val="en-US" w:eastAsia="zh-CN"/>
                    </w:rPr>
                  </w:pPr>
                  <w:r>
                    <w:rPr>
                      <w:rFonts w:hint="eastAsia"/>
                      <w:i w:val="0"/>
                      <w:iCs w:val="0"/>
                      <w:color w:val="000000"/>
                      <w:u w:val="none"/>
                      <w:lang w:val="en-US" w:eastAsia="zh-CN"/>
                    </w:rPr>
                    <w:t>6</w:t>
                  </w:r>
                </w:p>
              </w:tc>
              <w:tc>
                <w:tcPr>
                  <w:tcW w:w="2030" w:type="pct"/>
                  <w:noWrap w:val="0"/>
                  <w:vAlign w:val="center"/>
                </w:tcPr>
                <w:p>
                  <w:pPr>
                    <w:pStyle w:val="37"/>
                    <w:adjustRightInd w:val="0"/>
                    <w:snapToGrid w:val="0"/>
                    <w:rPr>
                      <w:rFonts w:ascii="宋体" w:hAnsi="宋体"/>
                      <w:color w:val="auto"/>
                    </w:rPr>
                  </w:pPr>
                  <w:r>
                    <w:rPr>
                      <w:rFonts w:ascii="宋体" w:hAnsi="宋体"/>
                      <w:color w:val="auto"/>
                    </w:rPr>
                    <w:t>中间水泵</w:t>
                  </w:r>
                </w:p>
              </w:tc>
              <w:tc>
                <w:tcPr>
                  <w:tcW w:w="1024" w:type="pct"/>
                  <w:noWrap w:val="0"/>
                  <w:vAlign w:val="center"/>
                </w:tcPr>
                <w:p>
                  <w:pPr>
                    <w:pStyle w:val="37"/>
                    <w:rPr>
                      <w:rFonts w:hint="default"/>
                      <w:i w:val="0"/>
                      <w:iCs w:val="0"/>
                      <w:color w:val="000000"/>
                      <w:szCs w:val="24"/>
                      <w:u w:val="none"/>
                      <w:lang w:val="en-US" w:eastAsia="zh-CN"/>
                    </w:rPr>
                  </w:pPr>
                  <w:r>
                    <w:rPr>
                      <w:rFonts w:hint="eastAsia"/>
                      <w:i w:val="0"/>
                      <w:iCs w:val="0"/>
                      <w:color w:val="000000"/>
                      <w:szCs w:val="24"/>
                      <w:u w:val="none"/>
                      <w:lang w:val="en-US" w:eastAsia="zh-CN"/>
                    </w:rPr>
                    <w:t>3</w:t>
                  </w:r>
                </w:p>
              </w:tc>
              <w:tc>
                <w:tcPr>
                  <w:tcW w:w="1055" w:type="pct"/>
                  <w:noWrap w:val="0"/>
                  <w:vAlign w:val="center"/>
                </w:tcPr>
                <w:p>
                  <w:pPr>
                    <w:pStyle w:val="37"/>
                    <w:adjustRightInd w:val="0"/>
                    <w:snapToGrid w:val="0"/>
                    <w:rPr>
                      <w:rFonts w:hint="default"/>
                      <w:i w:val="0"/>
                      <w:iCs w:val="0"/>
                      <w:color w:val="000000"/>
                      <w:u w:val="none"/>
                      <w:lang w:val="en-US" w:eastAsia="zh-CN"/>
                    </w:rPr>
                  </w:pPr>
                  <w:r>
                    <w:rPr>
                      <w:rFonts w:hint="eastAsia"/>
                      <w:i w:val="0"/>
                      <w:iCs w:val="0"/>
                      <w:color w:val="000000"/>
                      <w:u w:val="none"/>
                      <w:lang w:val="en-US" w:eastAsia="zh-CN"/>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89" w:type="pct"/>
                  <w:noWrap w:val="0"/>
                  <w:vAlign w:val="center"/>
                </w:tcPr>
                <w:p>
                  <w:pPr>
                    <w:pStyle w:val="37"/>
                    <w:adjustRightInd w:val="0"/>
                    <w:snapToGrid w:val="0"/>
                    <w:rPr>
                      <w:rFonts w:hint="default"/>
                      <w:i w:val="0"/>
                      <w:iCs w:val="0"/>
                      <w:color w:val="000000"/>
                      <w:u w:val="none"/>
                      <w:lang w:val="en-US" w:eastAsia="zh-CN"/>
                    </w:rPr>
                  </w:pPr>
                  <w:r>
                    <w:rPr>
                      <w:rFonts w:hint="eastAsia"/>
                      <w:i w:val="0"/>
                      <w:iCs w:val="0"/>
                      <w:color w:val="000000"/>
                      <w:u w:val="none"/>
                      <w:lang w:val="en-US" w:eastAsia="zh-CN"/>
                    </w:rPr>
                    <w:t>7</w:t>
                  </w:r>
                </w:p>
              </w:tc>
              <w:tc>
                <w:tcPr>
                  <w:tcW w:w="2030" w:type="pct"/>
                  <w:noWrap w:val="0"/>
                  <w:vAlign w:val="center"/>
                </w:tcPr>
                <w:p>
                  <w:pPr>
                    <w:pStyle w:val="37"/>
                    <w:adjustRightInd w:val="0"/>
                    <w:snapToGrid w:val="0"/>
                    <w:rPr>
                      <w:rFonts w:ascii="宋体" w:hAnsi="宋体"/>
                      <w:color w:val="auto"/>
                    </w:rPr>
                  </w:pPr>
                  <w:r>
                    <w:rPr>
                      <w:color w:val="auto"/>
                    </w:rPr>
                    <w:t>再生水泵</w:t>
                  </w:r>
                </w:p>
              </w:tc>
              <w:tc>
                <w:tcPr>
                  <w:tcW w:w="1024" w:type="pct"/>
                  <w:noWrap w:val="0"/>
                  <w:vAlign w:val="center"/>
                </w:tcPr>
                <w:p>
                  <w:pPr>
                    <w:pStyle w:val="37"/>
                    <w:rPr>
                      <w:rFonts w:hint="default"/>
                      <w:i w:val="0"/>
                      <w:iCs w:val="0"/>
                      <w:color w:val="000000"/>
                      <w:szCs w:val="24"/>
                      <w:u w:val="none"/>
                      <w:lang w:val="en-US" w:eastAsia="zh-CN"/>
                    </w:rPr>
                  </w:pPr>
                  <w:r>
                    <w:rPr>
                      <w:rFonts w:hint="eastAsia"/>
                      <w:i w:val="0"/>
                      <w:iCs w:val="0"/>
                      <w:color w:val="000000"/>
                      <w:szCs w:val="24"/>
                      <w:u w:val="none"/>
                      <w:lang w:val="en-US" w:eastAsia="zh-CN"/>
                    </w:rPr>
                    <w:t>2</w:t>
                  </w:r>
                </w:p>
              </w:tc>
              <w:tc>
                <w:tcPr>
                  <w:tcW w:w="1055" w:type="pct"/>
                  <w:noWrap w:val="0"/>
                  <w:vAlign w:val="center"/>
                </w:tcPr>
                <w:p>
                  <w:pPr>
                    <w:pStyle w:val="37"/>
                    <w:adjustRightInd w:val="0"/>
                    <w:snapToGrid w:val="0"/>
                    <w:rPr>
                      <w:rFonts w:hint="default"/>
                      <w:i w:val="0"/>
                      <w:iCs w:val="0"/>
                      <w:color w:val="000000"/>
                      <w:u w:val="none"/>
                      <w:lang w:val="en-US" w:eastAsia="zh-CN"/>
                    </w:rPr>
                  </w:pPr>
                  <w:r>
                    <w:rPr>
                      <w:rFonts w:hint="eastAsia"/>
                      <w:i w:val="0"/>
                      <w:iCs w:val="0"/>
                      <w:color w:val="000000"/>
                      <w:u w:val="none"/>
                      <w:lang w:val="en-US" w:eastAsia="zh-CN"/>
                    </w:rPr>
                    <w:t>80</w:t>
                  </w:r>
                </w:p>
              </w:tc>
            </w:tr>
          </w:tbl>
          <w:p>
            <w:pPr>
              <w:pStyle w:val="36"/>
              <w:bidi w:val="0"/>
              <w:rPr>
                <w:b/>
                <w:bCs/>
              </w:rPr>
            </w:pPr>
            <w:r>
              <w:rPr>
                <w:rFonts w:hint="eastAsia"/>
                <w:b/>
                <w:bCs/>
                <w:lang w:val="en-US" w:eastAsia="zh-CN"/>
              </w:rPr>
              <w:t>2、</w:t>
            </w:r>
            <w:r>
              <w:rPr>
                <w:b/>
                <w:bCs/>
              </w:rPr>
              <w:t>防治措施</w:t>
            </w:r>
          </w:p>
          <w:p>
            <w:pPr>
              <w:pStyle w:val="36"/>
              <w:bidi w:val="0"/>
              <w:rPr>
                <w:rFonts w:hint="default"/>
              </w:rPr>
            </w:pPr>
            <w:r>
              <w:rPr>
                <w:rFonts w:hint="default"/>
              </w:rPr>
              <w:t>本环评建议建设单位需要采取以下的隔声、降噪措施：</w:t>
            </w:r>
          </w:p>
          <w:p>
            <w:pPr>
              <w:pStyle w:val="36"/>
              <w:bidi w:val="0"/>
              <w:rPr>
                <w:rFonts w:hint="default"/>
              </w:rPr>
            </w:pPr>
            <w:r>
              <w:rPr>
                <w:rFonts w:hint="default"/>
              </w:rPr>
              <w:t>①总平面布置：从总平面布置的角度出发，将机加工设备设施设置于厂区</w:t>
            </w:r>
            <w:r>
              <w:rPr>
                <w:rFonts w:hint="eastAsia"/>
                <w:lang w:val="en-US" w:eastAsia="zh-CN"/>
              </w:rPr>
              <w:t>靠内</w:t>
            </w:r>
            <w:r>
              <w:rPr>
                <w:rFonts w:hint="default"/>
              </w:rPr>
              <w:t>，在工厂总体布置上利用建筑物、构筑物来阻隔声波的传播。</w:t>
            </w:r>
          </w:p>
          <w:p>
            <w:pPr>
              <w:pStyle w:val="36"/>
              <w:bidi w:val="0"/>
              <w:rPr>
                <w:rFonts w:hint="default"/>
              </w:rPr>
            </w:pPr>
            <w:r>
              <w:rPr>
                <w:rFonts w:hint="default"/>
              </w:rPr>
              <w:t>②加强治理：项目应选用低噪声设备，并设置减震基础，对于输送配套设施设置封闭机房</w:t>
            </w:r>
            <w:r>
              <w:rPr>
                <w:rFonts w:hint="eastAsia"/>
                <w:lang w:val="en-US" w:eastAsia="zh-CN"/>
              </w:rPr>
              <w:t>等</w:t>
            </w:r>
            <w:r>
              <w:rPr>
                <w:rFonts w:hint="default"/>
              </w:rPr>
              <w:t>。</w:t>
            </w:r>
          </w:p>
          <w:p>
            <w:pPr>
              <w:pStyle w:val="36"/>
              <w:bidi w:val="0"/>
              <w:rPr>
                <w:rFonts w:hint="default"/>
              </w:rPr>
            </w:pPr>
            <w:r>
              <w:rPr>
                <w:rFonts w:hint="default"/>
              </w:rPr>
              <w:t>因此，评价建议采取如下噪声防治措施：</w:t>
            </w:r>
          </w:p>
          <w:p>
            <w:pPr>
              <w:pStyle w:val="36"/>
              <w:bidi w:val="0"/>
              <w:rPr>
                <w:rFonts w:hint="default"/>
              </w:rPr>
            </w:pPr>
            <w:r>
              <w:rPr>
                <w:rFonts w:hint="default"/>
              </w:rPr>
              <w:t>1）严禁车辆超速、超载、超高运输，在进出厂区时应低速行驶，并严禁鸣笛；</w:t>
            </w:r>
          </w:p>
          <w:p>
            <w:pPr>
              <w:pStyle w:val="36"/>
              <w:bidi w:val="0"/>
              <w:rPr>
                <w:rFonts w:hint="default"/>
              </w:rPr>
            </w:pPr>
            <w:r>
              <w:rPr>
                <w:rFonts w:hint="default"/>
              </w:rPr>
              <w:t>2）采用加盖运输车辆运输成品；</w:t>
            </w:r>
          </w:p>
          <w:p>
            <w:pPr>
              <w:pStyle w:val="36"/>
              <w:bidi w:val="0"/>
              <w:rPr>
                <w:rFonts w:hint="default"/>
              </w:rPr>
            </w:pPr>
            <w:r>
              <w:rPr>
                <w:rFonts w:hint="default"/>
              </w:rPr>
              <w:t>3）合理安排作业时间，禁止夜间运输；</w:t>
            </w:r>
          </w:p>
          <w:p>
            <w:pPr>
              <w:pStyle w:val="36"/>
              <w:bidi w:val="0"/>
              <w:rPr>
                <w:rFonts w:hint="default"/>
              </w:rPr>
            </w:pPr>
            <w:r>
              <w:rPr>
                <w:rFonts w:hint="default"/>
              </w:rPr>
              <w:t>4）加强对运输车辆的日常维护，避免因故障运行而产生高强度噪声；</w:t>
            </w:r>
          </w:p>
          <w:p>
            <w:pPr>
              <w:pStyle w:val="36"/>
              <w:bidi w:val="0"/>
              <w:rPr>
                <w:rFonts w:hint="default"/>
              </w:rPr>
            </w:pPr>
            <w:r>
              <w:rPr>
                <w:rFonts w:hint="default"/>
              </w:rPr>
              <w:t>在实行以上措施后，可以大大减轻生产噪声对周围环境的影响，预计经上述处理后减噪量约为</w:t>
            </w:r>
            <w:r>
              <w:rPr>
                <w:rFonts w:hint="eastAsia"/>
                <w:lang w:val="en-US" w:eastAsia="zh-CN"/>
              </w:rPr>
              <w:t>15</w:t>
            </w:r>
            <w:r>
              <w:rPr>
                <w:rFonts w:hint="default"/>
              </w:rPr>
              <w:t>dB（A）。</w:t>
            </w:r>
          </w:p>
          <w:p>
            <w:pPr>
              <w:pStyle w:val="36"/>
              <w:bidi w:val="0"/>
              <w:rPr>
                <w:b/>
                <w:bCs/>
              </w:rPr>
            </w:pPr>
            <w:r>
              <w:rPr>
                <w:b/>
                <w:bCs/>
              </w:rPr>
              <w:t>3、厂界达标情况</w:t>
            </w:r>
          </w:p>
          <w:p>
            <w:pPr>
              <w:pStyle w:val="36"/>
              <w:bidi w:val="0"/>
            </w:pPr>
            <w:r>
              <w:t>①声级计算</w:t>
            </w:r>
          </w:p>
          <w:p>
            <w:pPr>
              <w:pStyle w:val="36"/>
              <w:bidi w:val="0"/>
            </w:pPr>
            <w:r>
              <w:t>建设项目声源在预测点产生的等效声级贡献值（Leqg）计算公式：</w:t>
            </w:r>
          </w:p>
          <w:p>
            <w:pPr>
              <w:pStyle w:val="36"/>
              <w:bidi w:val="0"/>
            </w:pPr>
            <w:r>
              <w:drawing>
                <wp:inline distT="0" distB="0" distL="114300" distR="114300">
                  <wp:extent cx="1663700" cy="482600"/>
                  <wp:effectExtent l="0" t="0" r="0" b="0"/>
                  <wp:docPr id="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pic:cNvPicPr>
                            <a:picLocks noChangeAspect="1"/>
                          </pic:cNvPicPr>
                        </pic:nvPicPr>
                        <pic:blipFill>
                          <a:blip r:embed="rId16"/>
                          <a:stretch>
                            <a:fillRect/>
                          </a:stretch>
                        </pic:blipFill>
                        <pic:spPr>
                          <a:xfrm>
                            <a:off x="0" y="0"/>
                            <a:ext cx="1663700" cy="482600"/>
                          </a:xfrm>
                          <a:prstGeom prst="rect">
                            <a:avLst/>
                          </a:prstGeom>
                          <a:noFill/>
                          <a:ln>
                            <a:noFill/>
                          </a:ln>
                        </pic:spPr>
                      </pic:pic>
                    </a:graphicData>
                  </a:graphic>
                </wp:inline>
              </w:drawing>
            </w:r>
          </w:p>
          <w:p>
            <w:pPr>
              <w:pStyle w:val="36"/>
              <w:bidi w:val="0"/>
            </w:pPr>
            <w:r>
              <w:t>式中：</w:t>
            </w:r>
          </w:p>
          <w:p>
            <w:pPr>
              <w:pStyle w:val="36"/>
              <w:bidi w:val="0"/>
            </w:pPr>
            <w:r>
              <w:t>Leqg---建设项目声源在预测点的等效声级贡献值，dB（A）；</w:t>
            </w:r>
          </w:p>
          <w:p>
            <w:pPr>
              <w:pStyle w:val="36"/>
              <w:bidi w:val="0"/>
            </w:pPr>
            <w:r>
              <w:t>LAi ---i声源在预测点产生的A声级，dB（A）；</w:t>
            </w:r>
          </w:p>
          <w:p>
            <w:pPr>
              <w:pStyle w:val="36"/>
              <w:bidi w:val="0"/>
            </w:pPr>
            <w:r>
              <w:t>T  ---预测计算的时间段，s；</w:t>
            </w:r>
          </w:p>
          <w:p>
            <w:pPr>
              <w:pStyle w:val="36"/>
              <w:bidi w:val="0"/>
            </w:pPr>
            <w:r>
              <w:t>ti  ---i声源在T时段内的运行时间，s。</w:t>
            </w:r>
          </w:p>
          <w:p>
            <w:pPr>
              <w:pStyle w:val="36"/>
              <w:bidi w:val="0"/>
            </w:pPr>
            <w:r>
              <w:t>②预测点的预测等效声级(L eq )计算公式</w:t>
            </w:r>
          </w:p>
          <w:p>
            <w:pPr>
              <w:pStyle w:val="36"/>
              <w:bidi w:val="0"/>
            </w:pPr>
            <w:r>
              <w:object>
                <v:shape id="_x0000_i1026" o:spt="75" type="#_x0000_t75" style="height:21pt;width:141pt;" o:ole="t" filled="f" o:preferrelative="t" stroked="f" coordsize="21600,21600">
                  <v:path/>
                  <v:fill on="f" focussize="0,0"/>
                  <v:stroke on="f"/>
                  <v:imagedata r:id="rId18" o:title=""/>
                  <o:lock v:ext="edit" grouping="f" rotation="f" text="f" aspectratio="t"/>
                  <w10:wrap type="none"/>
                  <w10:anchorlock/>
                </v:shape>
                <o:OLEObject Type="Embed" ProgID="Equation.3" ShapeID="_x0000_i1026" DrawAspect="Content" ObjectID="_1468075726" r:id="rId17">
                  <o:LockedField>false</o:LockedField>
                </o:OLEObject>
              </w:object>
            </w:r>
          </w:p>
          <w:p>
            <w:pPr>
              <w:pStyle w:val="36"/>
              <w:bidi w:val="0"/>
            </w:pPr>
            <w:r>
              <w:t>式中：</w:t>
            </w:r>
          </w:p>
          <w:p>
            <w:pPr>
              <w:pStyle w:val="36"/>
              <w:bidi w:val="0"/>
            </w:pPr>
            <w:r>
              <w:t>Leqg —建设项目声源在预测点的等效声级贡献值，dB(A)；</w:t>
            </w:r>
          </w:p>
          <w:p>
            <w:pPr>
              <w:pStyle w:val="36"/>
              <w:bidi w:val="0"/>
            </w:pPr>
            <w:r>
              <w:t>Leqb — 预测点的背景值，dB(A)</w:t>
            </w:r>
          </w:p>
          <w:p>
            <w:pPr>
              <w:pStyle w:val="36"/>
              <w:bidi w:val="0"/>
            </w:pPr>
            <w:r>
              <w:t>③户外声传播衰减计算</w:t>
            </w:r>
          </w:p>
          <w:p>
            <w:pPr>
              <w:pStyle w:val="36"/>
              <w:bidi w:val="0"/>
            </w:pPr>
            <w:r>
              <w:t>户外声传播衰减包括几何发散（Adiv）、大气吸收（Aatm）、地面效应（Agr）屏障屏蔽（Abar）、其他多方面效应（Amisc）引起的衰减。</w:t>
            </w:r>
          </w:p>
          <w:p>
            <w:pPr>
              <w:pStyle w:val="36"/>
              <w:bidi w:val="0"/>
            </w:pPr>
            <w:r>
              <w:t>距声源点r处的A声级按下式计算：</w:t>
            </w:r>
          </w:p>
          <w:p>
            <w:pPr>
              <w:pStyle w:val="36"/>
              <w:bidi w:val="0"/>
            </w:pPr>
            <w:r>
              <w:t>Lp（r）=Lp（r0）-（Adiv + Aatm + Agr + Abar + Amisc）</w:t>
            </w:r>
          </w:p>
          <w:p>
            <w:pPr>
              <w:pStyle w:val="36"/>
              <w:bidi w:val="0"/>
            </w:pPr>
            <w:r>
              <w:t>在预测中考虑大气吸收衰减、室内声源等效室外声源等影响和计算方法。</w:t>
            </w:r>
          </w:p>
          <w:p>
            <w:pPr>
              <w:pStyle w:val="36"/>
              <w:bidi w:val="0"/>
            </w:pPr>
            <w:r>
              <w:t>④噪声预测结果及影响分析</w:t>
            </w:r>
          </w:p>
          <w:p>
            <w:pPr>
              <w:pStyle w:val="36"/>
              <w:bidi w:val="0"/>
            </w:pPr>
            <w:r>
              <w:t>根据噪声预测模式，各厂界的预测结果见表4-</w:t>
            </w:r>
            <w:r>
              <w:rPr>
                <w:rFonts w:hint="eastAsia"/>
                <w:lang w:val="en-US" w:eastAsia="zh-CN"/>
              </w:rPr>
              <w:t>7</w:t>
            </w:r>
            <w:r>
              <w:t>：</w:t>
            </w:r>
          </w:p>
          <w:p>
            <w:pPr>
              <w:pStyle w:val="33"/>
            </w:pPr>
            <w:r>
              <w:t>表4-</w:t>
            </w:r>
            <w:r>
              <w:rPr>
                <w:rFonts w:hint="eastAsia"/>
                <w:lang w:val="en-US" w:eastAsia="zh-CN"/>
              </w:rPr>
              <w:t>7</w:t>
            </w:r>
            <w:r>
              <w:t xml:space="preserve"> 项目厂界噪声预测结果  单位：dB(A)</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1280"/>
              <w:gridCol w:w="742"/>
              <w:gridCol w:w="757"/>
              <w:gridCol w:w="757"/>
              <w:gridCol w:w="757"/>
              <w:gridCol w:w="759"/>
              <w:gridCol w:w="759"/>
              <w:gridCol w:w="759"/>
              <w:gridCol w:w="759"/>
              <w:gridCol w:w="7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1280" w:type="dxa"/>
                  <w:vMerge w:val="restart"/>
                  <w:noWrap w:val="0"/>
                  <w:vAlign w:val="center"/>
                </w:tcPr>
                <w:p>
                  <w:pPr>
                    <w:pStyle w:val="37"/>
                    <w:rPr>
                      <w:rFonts w:hint="default" w:ascii="Times New Roman" w:hAnsi="Times New Roman" w:cs="Times New Roman"/>
                      <w:sz w:val="21"/>
                      <w:szCs w:val="21"/>
                    </w:rPr>
                  </w:pPr>
                  <w:r>
                    <w:rPr>
                      <w:rFonts w:hint="default" w:ascii="Times New Roman" w:hAnsi="Times New Roman" w:cs="Times New Roman"/>
                      <w:sz w:val="21"/>
                      <w:szCs w:val="21"/>
                    </w:rPr>
                    <w:t>噪声源</w:t>
                  </w:r>
                </w:p>
              </w:tc>
              <w:tc>
                <w:tcPr>
                  <w:tcW w:w="742" w:type="dxa"/>
                  <w:vMerge w:val="restart"/>
                  <w:noWrap w:val="0"/>
                  <w:vAlign w:val="center"/>
                </w:tcPr>
                <w:p>
                  <w:pPr>
                    <w:pStyle w:val="37"/>
                    <w:rPr>
                      <w:rFonts w:hint="default" w:ascii="Times New Roman" w:hAnsi="Times New Roman" w:cs="Times New Roman"/>
                      <w:sz w:val="21"/>
                      <w:szCs w:val="21"/>
                    </w:rPr>
                  </w:pPr>
                  <w:r>
                    <w:rPr>
                      <w:rFonts w:hint="default" w:ascii="Times New Roman" w:hAnsi="Times New Roman" w:cs="Times New Roman"/>
                      <w:sz w:val="21"/>
                      <w:szCs w:val="21"/>
                    </w:rPr>
                    <w:t>治理后</w:t>
                  </w:r>
                  <w:r>
                    <w:rPr>
                      <w:rFonts w:hint="default" w:ascii="Times New Roman" w:hAnsi="Times New Roman" w:cs="Times New Roman"/>
                      <w:sz w:val="21"/>
                      <w:szCs w:val="21"/>
                      <w:lang w:val="en-US" w:eastAsia="zh-CN"/>
                    </w:rPr>
                    <w:t>各设备叠加</w:t>
                  </w:r>
                  <w:r>
                    <w:rPr>
                      <w:rFonts w:hint="default" w:ascii="Times New Roman" w:hAnsi="Times New Roman" w:cs="Times New Roman"/>
                      <w:sz w:val="21"/>
                      <w:szCs w:val="21"/>
                    </w:rPr>
                    <w:t xml:space="preserve">声级dB(A) </w:t>
                  </w:r>
                </w:p>
              </w:tc>
              <w:tc>
                <w:tcPr>
                  <w:tcW w:w="1514" w:type="dxa"/>
                  <w:gridSpan w:val="2"/>
                  <w:noWrap w:val="0"/>
                  <w:vAlign w:val="center"/>
                </w:tcPr>
                <w:p>
                  <w:pPr>
                    <w:pStyle w:val="37"/>
                    <w:rPr>
                      <w:rFonts w:hint="default" w:ascii="Times New Roman" w:hAnsi="Times New Roman" w:cs="Times New Roman"/>
                      <w:sz w:val="21"/>
                      <w:szCs w:val="21"/>
                    </w:rPr>
                  </w:pPr>
                  <w:r>
                    <w:rPr>
                      <w:rFonts w:hint="default" w:ascii="Times New Roman" w:hAnsi="Times New Roman" w:cs="Times New Roman"/>
                      <w:sz w:val="21"/>
                      <w:szCs w:val="21"/>
                    </w:rPr>
                    <w:t>厂界东</w:t>
                  </w:r>
                </w:p>
              </w:tc>
              <w:tc>
                <w:tcPr>
                  <w:tcW w:w="1516" w:type="dxa"/>
                  <w:gridSpan w:val="2"/>
                  <w:noWrap w:val="0"/>
                  <w:vAlign w:val="center"/>
                </w:tcPr>
                <w:p>
                  <w:pPr>
                    <w:pStyle w:val="37"/>
                    <w:rPr>
                      <w:rFonts w:hint="default" w:ascii="Times New Roman" w:hAnsi="Times New Roman" w:cs="Times New Roman"/>
                      <w:sz w:val="21"/>
                      <w:szCs w:val="21"/>
                    </w:rPr>
                  </w:pPr>
                  <w:r>
                    <w:rPr>
                      <w:rFonts w:hint="default" w:ascii="Times New Roman" w:hAnsi="Times New Roman" w:cs="Times New Roman"/>
                      <w:sz w:val="21"/>
                      <w:szCs w:val="21"/>
                    </w:rPr>
                    <w:t>厂界南</w:t>
                  </w:r>
                </w:p>
              </w:tc>
              <w:tc>
                <w:tcPr>
                  <w:tcW w:w="1518" w:type="dxa"/>
                  <w:gridSpan w:val="2"/>
                  <w:noWrap w:val="0"/>
                  <w:vAlign w:val="center"/>
                </w:tcPr>
                <w:p>
                  <w:pPr>
                    <w:pStyle w:val="37"/>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厂界西</w:t>
                  </w:r>
                </w:p>
              </w:tc>
              <w:tc>
                <w:tcPr>
                  <w:tcW w:w="1518" w:type="dxa"/>
                  <w:gridSpan w:val="2"/>
                  <w:noWrap w:val="0"/>
                  <w:vAlign w:val="center"/>
                </w:tcPr>
                <w:p>
                  <w:pPr>
                    <w:pStyle w:val="37"/>
                    <w:rPr>
                      <w:rFonts w:hint="default" w:ascii="Times New Roman" w:hAnsi="Times New Roman" w:cs="Times New Roman"/>
                      <w:sz w:val="21"/>
                      <w:szCs w:val="21"/>
                    </w:rPr>
                  </w:pPr>
                  <w:r>
                    <w:rPr>
                      <w:rFonts w:hint="default" w:ascii="Times New Roman" w:hAnsi="Times New Roman" w:cs="Times New Roman"/>
                      <w:sz w:val="21"/>
                      <w:szCs w:val="21"/>
                    </w:rPr>
                    <w:t>厂界北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1280" w:type="dxa"/>
                  <w:vMerge w:val="continue"/>
                  <w:noWrap w:val="0"/>
                  <w:vAlign w:val="center"/>
                </w:tcPr>
                <w:p>
                  <w:pPr>
                    <w:pStyle w:val="37"/>
                    <w:rPr>
                      <w:rFonts w:hint="default" w:ascii="Times New Roman" w:hAnsi="Times New Roman" w:cs="Times New Roman"/>
                      <w:sz w:val="21"/>
                      <w:szCs w:val="21"/>
                    </w:rPr>
                  </w:pPr>
                </w:p>
              </w:tc>
              <w:tc>
                <w:tcPr>
                  <w:tcW w:w="742" w:type="dxa"/>
                  <w:vMerge w:val="continue"/>
                  <w:noWrap w:val="0"/>
                  <w:vAlign w:val="center"/>
                </w:tcPr>
                <w:p>
                  <w:pPr>
                    <w:pStyle w:val="37"/>
                    <w:rPr>
                      <w:rFonts w:hint="default" w:ascii="Times New Roman" w:hAnsi="Times New Roman" w:cs="Times New Roman"/>
                      <w:sz w:val="21"/>
                      <w:szCs w:val="21"/>
                    </w:rPr>
                  </w:pPr>
                </w:p>
              </w:tc>
              <w:tc>
                <w:tcPr>
                  <w:tcW w:w="757" w:type="dxa"/>
                  <w:noWrap w:val="0"/>
                  <w:vAlign w:val="center"/>
                </w:tcPr>
                <w:p>
                  <w:pPr>
                    <w:pStyle w:val="37"/>
                    <w:rPr>
                      <w:rFonts w:hint="default" w:ascii="Times New Roman" w:hAnsi="Times New Roman" w:cs="Times New Roman"/>
                      <w:sz w:val="21"/>
                      <w:szCs w:val="21"/>
                    </w:rPr>
                  </w:pPr>
                  <w:r>
                    <w:rPr>
                      <w:rFonts w:hint="default" w:ascii="Times New Roman" w:hAnsi="Times New Roman" w:cs="Times New Roman"/>
                      <w:sz w:val="21"/>
                      <w:szCs w:val="21"/>
                    </w:rPr>
                    <w:t>距离</w:t>
                  </w:r>
                </w:p>
              </w:tc>
              <w:tc>
                <w:tcPr>
                  <w:tcW w:w="757" w:type="dxa"/>
                  <w:noWrap w:val="0"/>
                  <w:vAlign w:val="center"/>
                </w:tcPr>
                <w:p>
                  <w:pPr>
                    <w:pStyle w:val="37"/>
                    <w:rPr>
                      <w:rFonts w:hint="default" w:ascii="Times New Roman" w:hAnsi="Times New Roman" w:cs="Times New Roman"/>
                      <w:sz w:val="21"/>
                      <w:szCs w:val="21"/>
                    </w:rPr>
                  </w:pPr>
                  <w:r>
                    <w:rPr>
                      <w:rFonts w:hint="default" w:ascii="Times New Roman" w:hAnsi="Times New Roman" w:cs="Times New Roman"/>
                      <w:sz w:val="21"/>
                      <w:szCs w:val="21"/>
                    </w:rPr>
                    <w:t>贡献值</w:t>
                  </w:r>
                </w:p>
              </w:tc>
              <w:tc>
                <w:tcPr>
                  <w:tcW w:w="757" w:type="dxa"/>
                  <w:noWrap w:val="0"/>
                  <w:vAlign w:val="center"/>
                </w:tcPr>
                <w:p>
                  <w:pPr>
                    <w:pStyle w:val="37"/>
                    <w:rPr>
                      <w:rFonts w:hint="default" w:ascii="Times New Roman" w:hAnsi="Times New Roman" w:cs="Times New Roman"/>
                      <w:sz w:val="21"/>
                      <w:szCs w:val="21"/>
                    </w:rPr>
                  </w:pPr>
                  <w:r>
                    <w:rPr>
                      <w:rFonts w:hint="default" w:ascii="Times New Roman" w:hAnsi="Times New Roman" w:cs="Times New Roman"/>
                      <w:sz w:val="21"/>
                      <w:szCs w:val="21"/>
                    </w:rPr>
                    <w:t>距离</w:t>
                  </w:r>
                </w:p>
              </w:tc>
              <w:tc>
                <w:tcPr>
                  <w:tcW w:w="759" w:type="dxa"/>
                  <w:noWrap w:val="0"/>
                  <w:vAlign w:val="center"/>
                </w:tcPr>
                <w:p>
                  <w:pPr>
                    <w:pStyle w:val="37"/>
                    <w:rPr>
                      <w:rFonts w:hint="default" w:ascii="Times New Roman" w:hAnsi="Times New Roman" w:cs="Times New Roman"/>
                      <w:sz w:val="21"/>
                      <w:szCs w:val="21"/>
                    </w:rPr>
                  </w:pPr>
                  <w:r>
                    <w:rPr>
                      <w:rFonts w:hint="default" w:ascii="Times New Roman" w:hAnsi="Times New Roman" w:cs="Times New Roman"/>
                      <w:sz w:val="21"/>
                      <w:szCs w:val="21"/>
                    </w:rPr>
                    <w:t>贡献值</w:t>
                  </w:r>
                </w:p>
              </w:tc>
              <w:tc>
                <w:tcPr>
                  <w:tcW w:w="759" w:type="dxa"/>
                  <w:noWrap w:val="0"/>
                  <w:vAlign w:val="center"/>
                </w:tcPr>
                <w:p>
                  <w:pPr>
                    <w:pStyle w:val="37"/>
                    <w:rPr>
                      <w:rFonts w:hint="default" w:ascii="Times New Roman" w:hAnsi="Times New Roman" w:cs="Times New Roman"/>
                      <w:sz w:val="21"/>
                      <w:szCs w:val="21"/>
                    </w:rPr>
                  </w:pPr>
                  <w:r>
                    <w:rPr>
                      <w:rFonts w:hint="default" w:ascii="Times New Roman" w:hAnsi="Times New Roman" w:cs="Times New Roman"/>
                      <w:sz w:val="21"/>
                      <w:szCs w:val="21"/>
                    </w:rPr>
                    <w:t>距离</w:t>
                  </w:r>
                </w:p>
              </w:tc>
              <w:tc>
                <w:tcPr>
                  <w:tcW w:w="759" w:type="dxa"/>
                  <w:noWrap w:val="0"/>
                  <w:vAlign w:val="center"/>
                </w:tcPr>
                <w:p>
                  <w:pPr>
                    <w:pStyle w:val="37"/>
                    <w:rPr>
                      <w:rFonts w:hint="default" w:ascii="Times New Roman" w:hAnsi="Times New Roman" w:cs="Times New Roman"/>
                      <w:sz w:val="21"/>
                      <w:szCs w:val="21"/>
                    </w:rPr>
                  </w:pPr>
                  <w:r>
                    <w:rPr>
                      <w:rFonts w:hint="default" w:ascii="Times New Roman" w:hAnsi="Times New Roman" w:cs="Times New Roman"/>
                      <w:sz w:val="21"/>
                      <w:szCs w:val="21"/>
                    </w:rPr>
                    <w:t>贡献值</w:t>
                  </w:r>
                </w:p>
              </w:tc>
              <w:tc>
                <w:tcPr>
                  <w:tcW w:w="759" w:type="dxa"/>
                  <w:noWrap w:val="0"/>
                  <w:vAlign w:val="center"/>
                </w:tcPr>
                <w:p>
                  <w:pPr>
                    <w:pStyle w:val="37"/>
                    <w:rPr>
                      <w:rFonts w:hint="default" w:ascii="Times New Roman" w:hAnsi="Times New Roman" w:cs="Times New Roman"/>
                      <w:sz w:val="21"/>
                      <w:szCs w:val="21"/>
                    </w:rPr>
                  </w:pPr>
                  <w:r>
                    <w:rPr>
                      <w:rFonts w:hint="default" w:ascii="Times New Roman" w:hAnsi="Times New Roman" w:cs="Times New Roman"/>
                      <w:sz w:val="21"/>
                      <w:szCs w:val="21"/>
                    </w:rPr>
                    <w:t>距离</w:t>
                  </w:r>
                </w:p>
              </w:tc>
              <w:tc>
                <w:tcPr>
                  <w:tcW w:w="759" w:type="dxa"/>
                  <w:noWrap w:val="0"/>
                  <w:vAlign w:val="center"/>
                </w:tcPr>
                <w:p>
                  <w:pPr>
                    <w:pStyle w:val="37"/>
                    <w:rPr>
                      <w:rFonts w:hint="default" w:ascii="Times New Roman" w:hAnsi="Times New Roman" w:cs="Times New Roman"/>
                      <w:sz w:val="21"/>
                      <w:szCs w:val="21"/>
                    </w:rPr>
                  </w:pPr>
                  <w:r>
                    <w:rPr>
                      <w:rFonts w:hint="default" w:ascii="Times New Roman" w:hAnsi="Times New Roman" w:cs="Times New Roman"/>
                      <w:sz w:val="21"/>
                      <w:szCs w:val="21"/>
                    </w:rPr>
                    <w:t>贡献值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1280" w:type="dxa"/>
                  <w:noWrap w:val="0"/>
                  <w:vAlign w:val="center"/>
                </w:tcPr>
                <w:p>
                  <w:pPr>
                    <w:pStyle w:val="37"/>
                    <w:adjustRightInd w:val="0"/>
                    <w:snapToGrid w:val="0"/>
                    <w:rPr>
                      <w:rFonts w:hint="default" w:ascii="Times New Roman" w:hAnsi="Times New Roman" w:eastAsia="宋体" w:cs="Times New Roman"/>
                      <w:color w:val="000000"/>
                      <w:sz w:val="21"/>
                      <w:szCs w:val="21"/>
                      <w:lang w:val="en-US" w:eastAsia="zh-CN" w:bidi="ar-SA"/>
                    </w:rPr>
                  </w:pPr>
                  <w:r>
                    <w:rPr>
                      <w:rFonts w:hint="default" w:ascii="Times New Roman" w:hAnsi="Times New Roman" w:cs="Times New Roman"/>
                      <w:sz w:val="21"/>
                      <w:szCs w:val="21"/>
                      <w:lang w:val="en-US" w:eastAsia="zh-CN"/>
                    </w:rPr>
                    <w:t>混合器3台</w:t>
                  </w:r>
                </w:p>
              </w:tc>
              <w:tc>
                <w:tcPr>
                  <w:tcW w:w="742" w:type="dxa"/>
                  <w:noWrap w:val="0"/>
                  <w:vAlign w:val="center"/>
                </w:tcPr>
                <w:p>
                  <w:pPr>
                    <w:pStyle w:val="37"/>
                    <w:rPr>
                      <w:rFonts w:hint="default" w:ascii="Times New Roman" w:hAnsi="Times New Roman" w:eastAsia="宋体" w:cs="Times New Roman"/>
                      <w:sz w:val="21"/>
                      <w:szCs w:val="21"/>
                      <w:highlight w:val="none"/>
                      <w:lang w:val="en-US" w:eastAsia="zh-CN" w:bidi="ar-SA"/>
                    </w:rPr>
                  </w:pPr>
                  <w:r>
                    <w:rPr>
                      <w:rFonts w:hint="default" w:ascii="Times New Roman" w:hAnsi="Times New Roman" w:cs="Times New Roman"/>
                      <w:sz w:val="21"/>
                      <w:szCs w:val="21"/>
                      <w:highlight w:val="none"/>
                      <w:lang w:val="en-US" w:eastAsia="zh-CN" w:bidi="ar-SA"/>
                    </w:rPr>
                    <w:t>6</w:t>
                  </w:r>
                  <w:r>
                    <w:rPr>
                      <w:rFonts w:hint="eastAsia" w:cs="Times New Roman"/>
                      <w:sz w:val="21"/>
                      <w:szCs w:val="21"/>
                      <w:highlight w:val="none"/>
                      <w:lang w:val="en-US" w:eastAsia="zh-CN" w:bidi="ar-SA"/>
                    </w:rPr>
                    <w:t>9</w:t>
                  </w:r>
                  <w:r>
                    <w:rPr>
                      <w:rFonts w:hint="default" w:ascii="Times New Roman" w:hAnsi="Times New Roman" w:cs="Times New Roman"/>
                      <w:sz w:val="21"/>
                      <w:szCs w:val="21"/>
                      <w:highlight w:val="none"/>
                      <w:lang w:val="en-US" w:eastAsia="zh-CN" w:bidi="ar-SA"/>
                    </w:rPr>
                    <w:t>.77</w:t>
                  </w:r>
                </w:p>
              </w:tc>
              <w:tc>
                <w:tcPr>
                  <w:tcW w:w="757" w:type="dxa"/>
                  <w:noWrap w:val="0"/>
                  <w:vAlign w:val="center"/>
                </w:tcPr>
                <w:p>
                  <w:pPr>
                    <w:pStyle w:val="37"/>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160</w:t>
                  </w:r>
                </w:p>
              </w:tc>
              <w:tc>
                <w:tcPr>
                  <w:tcW w:w="757" w:type="dxa"/>
                  <w:noWrap w:val="0"/>
                  <w:vAlign w:val="center"/>
                </w:tcPr>
                <w:p>
                  <w:pPr>
                    <w:pStyle w:val="37"/>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1</w:t>
                  </w:r>
                  <w:r>
                    <w:rPr>
                      <w:rFonts w:hint="eastAsia" w:cs="Times New Roman"/>
                      <w:sz w:val="21"/>
                      <w:szCs w:val="21"/>
                      <w:highlight w:val="none"/>
                      <w:lang w:val="en-US" w:eastAsia="zh-CN"/>
                    </w:rPr>
                    <w:t>5</w:t>
                  </w:r>
                  <w:r>
                    <w:rPr>
                      <w:rFonts w:hint="default" w:ascii="Times New Roman" w:hAnsi="Times New Roman" w:cs="Times New Roman"/>
                      <w:sz w:val="21"/>
                      <w:szCs w:val="21"/>
                      <w:highlight w:val="none"/>
                      <w:lang w:val="en-US" w:eastAsia="zh-CN"/>
                    </w:rPr>
                    <w:t>.72</w:t>
                  </w:r>
                </w:p>
              </w:tc>
              <w:tc>
                <w:tcPr>
                  <w:tcW w:w="757" w:type="dxa"/>
                  <w:noWrap w:val="0"/>
                  <w:vAlign w:val="center"/>
                </w:tcPr>
                <w:p>
                  <w:pPr>
                    <w:pStyle w:val="37"/>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440</w:t>
                  </w:r>
                </w:p>
              </w:tc>
              <w:tc>
                <w:tcPr>
                  <w:tcW w:w="759" w:type="dxa"/>
                  <w:noWrap w:val="0"/>
                  <w:vAlign w:val="center"/>
                </w:tcPr>
                <w:p>
                  <w:pPr>
                    <w:pStyle w:val="37"/>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8</w:t>
                  </w:r>
                  <w:r>
                    <w:rPr>
                      <w:rFonts w:hint="default" w:ascii="Times New Roman" w:hAnsi="Times New Roman" w:cs="Times New Roman"/>
                      <w:sz w:val="21"/>
                      <w:szCs w:val="21"/>
                      <w:highlight w:val="none"/>
                      <w:lang w:val="en-US" w:eastAsia="zh-CN"/>
                    </w:rPr>
                    <w:t>.93</w:t>
                  </w:r>
                </w:p>
              </w:tc>
              <w:tc>
                <w:tcPr>
                  <w:tcW w:w="759" w:type="dxa"/>
                  <w:noWrap w:val="0"/>
                  <w:vAlign w:val="center"/>
                </w:tcPr>
                <w:p>
                  <w:pPr>
                    <w:pStyle w:val="37"/>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18</w:t>
                  </w:r>
                </w:p>
              </w:tc>
              <w:tc>
                <w:tcPr>
                  <w:tcW w:w="759" w:type="dxa"/>
                  <w:noWrap w:val="0"/>
                  <w:vAlign w:val="center"/>
                </w:tcPr>
                <w:p>
                  <w:pPr>
                    <w:pStyle w:val="37"/>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3</w:t>
                  </w:r>
                  <w:r>
                    <w:rPr>
                      <w:rFonts w:hint="eastAsia" w:cs="Times New Roman"/>
                      <w:sz w:val="21"/>
                      <w:szCs w:val="21"/>
                      <w:highlight w:val="none"/>
                      <w:lang w:val="en-US" w:eastAsia="zh-CN"/>
                    </w:rPr>
                    <w:t>6</w:t>
                  </w:r>
                  <w:r>
                    <w:rPr>
                      <w:rFonts w:hint="default" w:ascii="Times New Roman" w:hAnsi="Times New Roman" w:cs="Times New Roman"/>
                      <w:sz w:val="21"/>
                      <w:szCs w:val="21"/>
                      <w:highlight w:val="none"/>
                      <w:lang w:val="en-US" w:eastAsia="zh-CN"/>
                    </w:rPr>
                    <w:t>.50</w:t>
                  </w:r>
                </w:p>
              </w:tc>
              <w:tc>
                <w:tcPr>
                  <w:tcW w:w="759" w:type="dxa"/>
                  <w:noWrap w:val="0"/>
                  <w:vAlign w:val="center"/>
                </w:tcPr>
                <w:p>
                  <w:pPr>
                    <w:pStyle w:val="37"/>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206</w:t>
                  </w:r>
                </w:p>
              </w:tc>
              <w:tc>
                <w:tcPr>
                  <w:tcW w:w="759" w:type="dxa"/>
                  <w:noWrap w:val="0"/>
                  <w:vAlign w:val="center"/>
                </w:tcPr>
                <w:p>
                  <w:pPr>
                    <w:pStyle w:val="37"/>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1</w:t>
                  </w:r>
                  <w:r>
                    <w:rPr>
                      <w:rFonts w:hint="eastAsia" w:cs="Times New Roman"/>
                      <w:sz w:val="21"/>
                      <w:szCs w:val="21"/>
                      <w:highlight w:val="none"/>
                      <w:lang w:val="en-US" w:eastAsia="zh-CN"/>
                    </w:rPr>
                    <w:t>5</w:t>
                  </w:r>
                  <w:r>
                    <w:rPr>
                      <w:rFonts w:hint="default" w:ascii="Times New Roman" w:hAnsi="Times New Roman" w:cs="Times New Roman"/>
                      <w:sz w:val="21"/>
                      <w:szCs w:val="21"/>
                      <w:highlight w:val="none"/>
                      <w:lang w:val="en-US" w:eastAsia="zh-CN"/>
                    </w:rPr>
                    <w:t>.52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1280" w:type="dxa"/>
                  <w:noWrap w:val="0"/>
                  <w:vAlign w:val="center"/>
                </w:tcPr>
                <w:p>
                  <w:pPr>
                    <w:pStyle w:val="37"/>
                    <w:adjustRightInd w:val="0"/>
                    <w:snapToGrid w:val="0"/>
                    <w:rPr>
                      <w:rFonts w:hint="default" w:ascii="Times New Roman" w:hAnsi="Times New Roman" w:cs="Times New Roman"/>
                      <w:color w:val="000000"/>
                      <w:sz w:val="21"/>
                      <w:szCs w:val="21"/>
                      <w:lang w:val="en-US" w:eastAsia="zh-CN"/>
                    </w:rPr>
                  </w:pPr>
                  <w:r>
                    <w:rPr>
                      <w:rFonts w:hint="default" w:ascii="Times New Roman" w:hAnsi="Times New Roman" w:cs="Times New Roman"/>
                      <w:color w:val="auto"/>
                      <w:sz w:val="21"/>
                      <w:szCs w:val="21"/>
                    </w:rPr>
                    <w:t>叠螺污泥</w:t>
                  </w:r>
                  <w:r>
                    <w:rPr>
                      <w:rFonts w:hint="default" w:ascii="Times New Roman" w:hAnsi="Times New Roman" w:cs="Times New Roman"/>
                      <w:sz w:val="21"/>
                      <w:szCs w:val="21"/>
                      <w:lang w:val="en-US" w:eastAsia="zh-CN"/>
                    </w:rPr>
                    <w:t>脱水机</w:t>
                  </w:r>
                  <w:r>
                    <w:rPr>
                      <w:rFonts w:hint="default" w:ascii="Times New Roman" w:hAnsi="Times New Roman" w:cs="Times New Roman"/>
                      <w:i w:val="0"/>
                      <w:iCs w:val="0"/>
                      <w:color w:val="000000"/>
                      <w:sz w:val="21"/>
                      <w:szCs w:val="21"/>
                      <w:u w:val="none"/>
                      <w:lang w:val="en-US" w:eastAsia="zh-CN"/>
                    </w:rPr>
                    <w:t>1</w:t>
                  </w:r>
                  <w:r>
                    <w:rPr>
                      <w:rFonts w:hint="default" w:ascii="Times New Roman" w:hAnsi="Times New Roman" w:cs="Times New Roman"/>
                      <w:sz w:val="21"/>
                      <w:szCs w:val="21"/>
                      <w:lang w:val="en-US" w:eastAsia="zh-CN"/>
                    </w:rPr>
                    <w:t>台</w:t>
                  </w:r>
                </w:p>
              </w:tc>
              <w:tc>
                <w:tcPr>
                  <w:tcW w:w="742" w:type="dxa"/>
                  <w:noWrap w:val="0"/>
                  <w:vAlign w:val="center"/>
                </w:tcPr>
                <w:p>
                  <w:pPr>
                    <w:pStyle w:val="37"/>
                    <w:rPr>
                      <w:rFonts w:hint="default" w:ascii="Times New Roman" w:hAnsi="Times New Roman" w:cs="Times New Roman"/>
                      <w:sz w:val="21"/>
                      <w:szCs w:val="21"/>
                      <w:highlight w:val="none"/>
                      <w:lang w:val="en-US" w:eastAsia="zh-CN" w:bidi="ar-SA"/>
                    </w:rPr>
                  </w:pPr>
                  <w:r>
                    <w:rPr>
                      <w:rFonts w:hint="default" w:ascii="Times New Roman" w:hAnsi="Times New Roman" w:cs="Times New Roman"/>
                      <w:sz w:val="21"/>
                      <w:szCs w:val="21"/>
                      <w:highlight w:val="none"/>
                      <w:lang w:val="en-US" w:eastAsia="zh-CN" w:bidi="ar-SA"/>
                    </w:rPr>
                    <w:t>7</w:t>
                  </w:r>
                  <w:r>
                    <w:rPr>
                      <w:rFonts w:hint="eastAsia" w:cs="Times New Roman"/>
                      <w:sz w:val="21"/>
                      <w:szCs w:val="21"/>
                      <w:highlight w:val="none"/>
                      <w:lang w:val="en-US" w:eastAsia="zh-CN" w:bidi="ar-SA"/>
                    </w:rPr>
                    <w:t>5</w:t>
                  </w:r>
                  <w:r>
                    <w:rPr>
                      <w:rFonts w:hint="default" w:ascii="Times New Roman" w:hAnsi="Times New Roman" w:cs="Times New Roman"/>
                      <w:sz w:val="21"/>
                      <w:szCs w:val="21"/>
                      <w:highlight w:val="none"/>
                      <w:lang w:val="en-US" w:eastAsia="zh-CN" w:bidi="ar-SA"/>
                    </w:rPr>
                    <w:t>.00</w:t>
                  </w:r>
                </w:p>
              </w:tc>
              <w:tc>
                <w:tcPr>
                  <w:tcW w:w="757" w:type="dxa"/>
                  <w:noWrap w:val="0"/>
                  <w:vAlign w:val="center"/>
                </w:tcPr>
                <w:p>
                  <w:pPr>
                    <w:pStyle w:val="37"/>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159</w:t>
                  </w:r>
                </w:p>
              </w:tc>
              <w:tc>
                <w:tcPr>
                  <w:tcW w:w="757" w:type="dxa"/>
                  <w:noWrap w:val="0"/>
                  <w:vAlign w:val="center"/>
                </w:tcPr>
                <w:p>
                  <w:pPr>
                    <w:pStyle w:val="37"/>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23</w:t>
                  </w:r>
                  <w:r>
                    <w:rPr>
                      <w:rFonts w:hint="default" w:ascii="Times New Roman" w:hAnsi="Times New Roman" w:cs="Times New Roman"/>
                      <w:sz w:val="21"/>
                      <w:szCs w:val="21"/>
                      <w:highlight w:val="none"/>
                      <w:lang w:val="en-US" w:eastAsia="zh-CN"/>
                    </w:rPr>
                    <w:t>.00</w:t>
                  </w:r>
                </w:p>
              </w:tc>
              <w:tc>
                <w:tcPr>
                  <w:tcW w:w="757" w:type="dxa"/>
                  <w:noWrap w:val="0"/>
                  <w:vAlign w:val="center"/>
                </w:tcPr>
                <w:p>
                  <w:pPr>
                    <w:pStyle w:val="37"/>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442</w:t>
                  </w:r>
                </w:p>
              </w:tc>
              <w:tc>
                <w:tcPr>
                  <w:tcW w:w="759" w:type="dxa"/>
                  <w:noWrap w:val="0"/>
                  <w:vAlign w:val="center"/>
                </w:tcPr>
                <w:p>
                  <w:pPr>
                    <w:pStyle w:val="37"/>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14</w:t>
                  </w:r>
                  <w:r>
                    <w:rPr>
                      <w:rFonts w:hint="default" w:ascii="Times New Roman" w:hAnsi="Times New Roman" w:cs="Times New Roman"/>
                      <w:sz w:val="21"/>
                      <w:szCs w:val="21"/>
                      <w:highlight w:val="none"/>
                      <w:lang w:val="en-US" w:eastAsia="zh-CN"/>
                    </w:rPr>
                    <w:t>.12</w:t>
                  </w:r>
                </w:p>
              </w:tc>
              <w:tc>
                <w:tcPr>
                  <w:tcW w:w="759" w:type="dxa"/>
                  <w:noWrap w:val="0"/>
                  <w:vAlign w:val="center"/>
                </w:tcPr>
                <w:p>
                  <w:pPr>
                    <w:pStyle w:val="37"/>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19</w:t>
                  </w:r>
                </w:p>
              </w:tc>
              <w:tc>
                <w:tcPr>
                  <w:tcW w:w="759" w:type="dxa"/>
                  <w:noWrap w:val="0"/>
                  <w:vAlign w:val="center"/>
                </w:tcPr>
                <w:p>
                  <w:pPr>
                    <w:pStyle w:val="37"/>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41</w:t>
                  </w:r>
                  <w:r>
                    <w:rPr>
                      <w:rFonts w:hint="default" w:ascii="Times New Roman" w:hAnsi="Times New Roman" w:cs="Times New Roman"/>
                      <w:sz w:val="21"/>
                      <w:szCs w:val="21"/>
                      <w:highlight w:val="none"/>
                      <w:lang w:val="en-US" w:eastAsia="zh-CN"/>
                    </w:rPr>
                    <w:t>.28</w:t>
                  </w:r>
                </w:p>
              </w:tc>
              <w:tc>
                <w:tcPr>
                  <w:tcW w:w="759" w:type="dxa"/>
                  <w:noWrap w:val="0"/>
                  <w:vAlign w:val="center"/>
                </w:tcPr>
                <w:p>
                  <w:pPr>
                    <w:pStyle w:val="37"/>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204</w:t>
                  </w:r>
                </w:p>
              </w:tc>
              <w:tc>
                <w:tcPr>
                  <w:tcW w:w="759" w:type="dxa"/>
                  <w:noWrap w:val="0"/>
                  <w:vAlign w:val="center"/>
                </w:tcPr>
                <w:p>
                  <w:pPr>
                    <w:pStyle w:val="37"/>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20</w:t>
                  </w:r>
                  <w:r>
                    <w:rPr>
                      <w:rFonts w:hint="default" w:ascii="Times New Roman" w:hAnsi="Times New Roman" w:cs="Times New Roman"/>
                      <w:sz w:val="21"/>
                      <w:szCs w:val="21"/>
                      <w:highlight w:val="none"/>
                      <w:lang w:val="en-US" w:eastAsia="zh-CN"/>
                    </w:rPr>
                    <w:t>.84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1280" w:type="dxa"/>
                  <w:noWrap w:val="0"/>
                  <w:vAlign w:val="center"/>
                </w:tcPr>
                <w:p>
                  <w:pPr>
                    <w:pStyle w:val="37"/>
                    <w:adjustRightInd w:val="0"/>
                    <w:snapToGrid w:val="0"/>
                    <w:rPr>
                      <w:rFonts w:hint="default" w:ascii="Times New Roman" w:hAnsi="Times New Roman" w:cs="Times New Roman"/>
                      <w:color w:val="000000"/>
                      <w:sz w:val="21"/>
                      <w:szCs w:val="21"/>
                      <w:lang w:val="en-US" w:eastAsia="zh-CN"/>
                    </w:rPr>
                  </w:pPr>
                  <w:r>
                    <w:rPr>
                      <w:rFonts w:hint="default" w:ascii="Times New Roman" w:hAnsi="Times New Roman" w:cs="Times New Roman"/>
                      <w:color w:val="auto"/>
                      <w:sz w:val="21"/>
                      <w:szCs w:val="21"/>
                    </w:rPr>
                    <w:t>污泥提升泵</w:t>
                  </w:r>
                  <w:r>
                    <w:rPr>
                      <w:rFonts w:hint="default" w:ascii="Times New Roman" w:hAnsi="Times New Roman" w:cs="Times New Roman"/>
                      <w:i w:val="0"/>
                      <w:iCs w:val="0"/>
                      <w:color w:val="000000"/>
                      <w:sz w:val="21"/>
                      <w:szCs w:val="21"/>
                      <w:u w:val="none"/>
                      <w:lang w:val="en-US" w:eastAsia="zh-CN"/>
                    </w:rPr>
                    <w:t>2</w:t>
                  </w:r>
                  <w:r>
                    <w:rPr>
                      <w:rFonts w:hint="default" w:ascii="Times New Roman" w:hAnsi="Times New Roman" w:cs="Times New Roman"/>
                      <w:sz w:val="21"/>
                      <w:szCs w:val="21"/>
                      <w:lang w:val="en-US" w:eastAsia="zh-CN"/>
                    </w:rPr>
                    <w:t>台</w:t>
                  </w:r>
                </w:p>
              </w:tc>
              <w:tc>
                <w:tcPr>
                  <w:tcW w:w="742" w:type="dxa"/>
                  <w:noWrap w:val="0"/>
                  <w:vAlign w:val="center"/>
                </w:tcPr>
                <w:p>
                  <w:pPr>
                    <w:pStyle w:val="37"/>
                    <w:rPr>
                      <w:rFonts w:hint="default" w:ascii="Times New Roman" w:hAnsi="Times New Roman" w:cs="Times New Roman"/>
                      <w:sz w:val="21"/>
                      <w:szCs w:val="21"/>
                      <w:highlight w:val="none"/>
                      <w:lang w:val="en-US" w:eastAsia="zh-CN" w:bidi="ar-SA"/>
                    </w:rPr>
                  </w:pPr>
                  <w:r>
                    <w:rPr>
                      <w:rFonts w:hint="default" w:ascii="Times New Roman" w:hAnsi="Times New Roman" w:cs="Times New Roman"/>
                      <w:sz w:val="21"/>
                      <w:szCs w:val="21"/>
                      <w:highlight w:val="none"/>
                      <w:lang w:val="en-US" w:eastAsia="zh-CN" w:bidi="ar-SA"/>
                    </w:rPr>
                    <w:t>6</w:t>
                  </w:r>
                  <w:r>
                    <w:rPr>
                      <w:rFonts w:hint="eastAsia" w:cs="Times New Roman"/>
                      <w:sz w:val="21"/>
                      <w:szCs w:val="21"/>
                      <w:highlight w:val="none"/>
                      <w:lang w:val="en-US" w:eastAsia="zh-CN" w:bidi="ar-SA"/>
                    </w:rPr>
                    <w:t>8</w:t>
                  </w:r>
                  <w:r>
                    <w:rPr>
                      <w:rFonts w:hint="default" w:ascii="Times New Roman" w:hAnsi="Times New Roman" w:cs="Times New Roman"/>
                      <w:sz w:val="21"/>
                      <w:szCs w:val="21"/>
                      <w:highlight w:val="none"/>
                      <w:lang w:val="en-US" w:eastAsia="zh-CN" w:bidi="ar-SA"/>
                    </w:rPr>
                    <w:t>.01</w:t>
                  </w:r>
                </w:p>
              </w:tc>
              <w:tc>
                <w:tcPr>
                  <w:tcW w:w="757" w:type="dxa"/>
                  <w:noWrap w:val="0"/>
                  <w:vAlign w:val="center"/>
                </w:tcPr>
                <w:p>
                  <w:pPr>
                    <w:pStyle w:val="37"/>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159</w:t>
                  </w:r>
                </w:p>
              </w:tc>
              <w:tc>
                <w:tcPr>
                  <w:tcW w:w="757" w:type="dxa"/>
                  <w:noWrap w:val="0"/>
                  <w:vAlign w:val="center"/>
                </w:tcPr>
                <w:p>
                  <w:pPr>
                    <w:pStyle w:val="37"/>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w:t>
                  </w:r>
                  <w:r>
                    <w:rPr>
                      <w:rFonts w:hint="eastAsia" w:cs="Times New Roman"/>
                      <w:sz w:val="21"/>
                      <w:szCs w:val="21"/>
                      <w:highlight w:val="none"/>
                      <w:lang w:val="en-US" w:eastAsia="zh-CN"/>
                    </w:rPr>
                    <w:t>6</w:t>
                  </w:r>
                  <w:r>
                    <w:rPr>
                      <w:rFonts w:hint="default" w:ascii="Times New Roman" w:hAnsi="Times New Roman" w:cs="Times New Roman"/>
                      <w:sz w:val="21"/>
                      <w:szCs w:val="21"/>
                      <w:highlight w:val="none"/>
                      <w:lang w:val="en-US" w:eastAsia="zh-CN"/>
                    </w:rPr>
                    <w:t>.1</w:t>
                  </w:r>
                </w:p>
              </w:tc>
              <w:tc>
                <w:tcPr>
                  <w:tcW w:w="757" w:type="dxa"/>
                  <w:noWrap w:val="0"/>
                  <w:vAlign w:val="center"/>
                </w:tcPr>
                <w:p>
                  <w:pPr>
                    <w:pStyle w:val="37"/>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442</w:t>
                  </w:r>
                </w:p>
              </w:tc>
              <w:tc>
                <w:tcPr>
                  <w:tcW w:w="759" w:type="dxa"/>
                  <w:noWrap w:val="0"/>
                  <w:vAlign w:val="center"/>
                </w:tcPr>
                <w:p>
                  <w:pPr>
                    <w:pStyle w:val="37"/>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8</w:t>
                  </w:r>
                  <w:r>
                    <w:rPr>
                      <w:rFonts w:hint="default" w:ascii="Times New Roman" w:hAnsi="Times New Roman" w:cs="Times New Roman"/>
                      <w:sz w:val="21"/>
                      <w:szCs w:val="21"/>
                      <w:highlight w:val="none"/>
                      <w:lang w:val="en-US" w:eastAsia="zh-CN"/>
                    </w:rPr>
                    <w:t>.01</w:t>
                  </w:r>
                </w:p>
              </w:tc>
              <w:tc>
                <w:tcPr>
                  <w:tcW w:w="759" w:type="dxa"/>
                  <w:noWrap w:val="0"/>
                  <w:vAlign w:val="center"/>
                </w:tcPr>
                <w:p>
                  <w:pPr>
                    <w:pStyle w:val="37"/>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19</w:t>
                  </w:r>
                </w:p>
              </w:tc>
              <w:tc>
                <w:tcPr>
                  <w:tcW w:w="759" w:type="dxa"/>
                  <w:noWrap w:val="0"/>
                  <w:vAlign w:val="center"/>
                </w:tcPr>
                <w:p>
                  <w:pPr>
                    <w:pStyle w:val="37"/>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34</w:t>
                  </w:r>
                  <w:r>
                    <w:rPr>
                      <w:rFonts w:hint="default" w:ascii="Times New Roman" w:hAnsi="Times New Roman" w:cs="Times New Roman"/>
                      <w:sz w:val="21"/>
                      <w:szCs w:val="21"/>
                      <w:highlight w:val="none"/>
                      <w:lang w:val="en-US" w:eastAsia="zh-CN"/>
                    </w:rPr>
                    <w:t>.29</w:t>
                  </w:r>
                </w:p>
              </w:tc>
              <w:tc>
                <w:tcPr>
                  <w:tcW w:w="759" w:type="dxa"/>
                  <w:noWrap w:val="0"/>
                  <w:vAlign w:val="center"/>
                </w:tcPr>
                <w:p>
                  <w:pPr>
                    <w:pStyle w:val="37"/>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204</w:t>
                  </w:r>
                </w:p>
              </w:tc>
              <w:tc>
                <w:tcPr>
                  <w:tcW w:w="759" w:type="dxa"/>
                  <w:noWrap w:val="0"/>
                  <w:vAlign w:val="center"/>
                </w:tcPr>
                <w:p>
                  <w:pPr>
                    <w:pStyle w:val="37"/>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13</w:t>
                  </w:r>
                  <w:r>
                    <w:rPr>
                      <w:rFonts w:hint="default" w:ascii="Times New Roman" w:hAnsi="Times New Roman" w:cs="Times New Roman"/>
                      <w:sz w:val="21"/>
                      <w:szCs w:val="21"/>
                      <w:highlight w:val="none"/>
                      <w:lang w:val="en-US" w:eastAsia="zh-CN"/>
                    </w:rPr>
                    <w:t>.85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1280" w:type="dxa"/>
                  <w:noWrap w:val="0"/>
                  <w:vAlign w:val="center"/>
                </w:tcPr>
                <w:p>
                  <w:pPr>
                    <w:pStyle w:val="37"/>
                    <w:adjustRightInd w:val="0"/>
                    <w:snapToGrid w:val="0"/>
                    <w:rPr>
                      <w:rFonts w:hint="default" w:ascii="Times New Roman" w:hAnsi="Times New Roman" w:cs="Times New Roman"/>
                      <w:color w:val="000000"/>
                      <w:sz w:val="21"/>
                      <w:szCs w:val="21"/>
                      <w:lang w:val="en-US" w:eastAsia="zh-CN"/>
                    </w:rPr>
                  </w:pPr>
                  <w:r>
                    <w:rPr>
                      <w:rFonts w:hint="default" w:ascii="Times New Roman" w:hAnsi="Times New Roman" w:cs="Times New Roman"/>
                      <w:color w:val="auto"/>
                      <w:sz w:val="21"/>
                      <w:szCs w:val="21"/>
                    </w:rPr>
                    <w:t>反洗水泵</w:t>
                  </w:r>
                  <w:r>
                    <w:rPr>
                      <w:rFonts w:hint="default" w:ascii="Times New Roman" w:hAnsi="Times New Roman" w:cs="Times New Roman"/>
                      <w:i w:val="0"/>
                      <w:iCs w:val="0"/>
                      <w:color w:val="000000"/>
                      <w:sz w:val="21"/>
                      <w:szCs w:val="21"/>
                      <w:u w:val="none"/>
                      <w:lang w:val="en-US" w:eastAsia="zh-CN"/>
                    </w:rPr>
                    <w:t>2</w:t>
                  </w:r>
                  <w:r>
                    <w:rPr>
                      <w:rFonts w:hint="default" w:ascii="Times New Roman" w:hAnsi="Times New Roman" w:cs="Times New Roman"/>
                      <w:sz w:val="21"/>
                      <w:szCs w:val="21"/>
                      <w:lang w:val="en-US" w:eastAsia="zh-CN"/>
                    </w:rPr>
                    <w:t>台</w:t>
                  </w:r>
                </w:p>
              </w:tc>
              <w:tc>
                <w:tcPr>
                  <w:tcW w:w="742" w:type="dxa"/>
                  <w:noWrap w:val="0"/>
                  <w:vAlign w:val="center"/>
                </w:tcPr>
                <w:p>
                  <w:pPr>
                    <w:pStyle w:val="37"/>
                    <w:rPr>
                      <w:rFonts w:hint="default" w:ascii="Times New Roman" w:hAnsi="Times New Roman" w:cs="Times New Roman"/>
                      <w:sz w:val="21"/>
                      <w:szCs w:val="21"/>
                      <w:highlight w:val="none"/>
                      <w:lang w:val="en-US" w:eastAsia="zh-CN" w:bidi="ar-SA"/>
                    </w:rPr>
                  </w:pPr>
                  <w:r>
                    <w:rPr>
                      <w:rFonts w:hint="default" w:ascii="Times New Roman" w:hAnsi="Times New Roman" w:cs="Times New Roman"/>
                      <w:sz w:val="21"/>
                      <w:szCs w:val="21"/>
                      <w:highlight w:val="none"/>
                      <w:lang w:val="en-US" w:eastAsia="zh-CN" w:bidi="ar-SA"/>
                    </w:rPr>
                    <w:t>6</w:t>
                  </w:r>
                  <w:r>
                    <w:rPr>
                      <w:rFonts w:hint="eastAsia" w:cs="Times New Roman"/>
                      <w:sz w:val="21"/>
                      <w:szCs w:val="21"/>
                      <w:highlight w:val="none"/>
                      <w:lang w:val="en-US" w:eastAsia="zh-CN" w:bidi="ar-SA"/>
                    </w:rPr>
                    <w:t>8</w:t>
                  </w:r>
                  <w:r>
                    <w:rPr>
                      <w:rFonts w:hint="default" w:ascii="Times New Roman" w:hAnsi="Times New Roman" w:cs="Times New Roman"/>
                      <w:sz w:val="21"/>
                      <w:szCs w:val="21"/>
                      <w:highlight w:val="none"/>
                      <w:lang w:val="en-US" w:eastAsia="zh-CN" w:bidi="ar-SA"/>
                    </w:rPr>
                    <w:t>.01</w:t>
                  </w:r>
                </w:p>
              </w:tc>
              <w:tc>
                <w:tcPr>
                  <w:tcW w:w="757" w:type="dxa"/>
                  <w:noWrap w:val="0"/>
                  <w:vAlign w:val="center"/>
                </w:tcPr>
                <w:p>
                  <w:pPr>
                    <w:pStyle w:val="37"/>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157</w:t>
                  </w:r>
                </w:p>
              </w:tc>
              <w:tc>
                <w:tcPr>
                  <w:tcW w:w="757" w:type="dxa"/>
                  <w:noWrap w:val="0"/>
                  <w:vAlign w:val="center"/>
                </w:tcPr>
                <w:p>
                  <w:pPr>
                    <w:pStyle w:val="37"/>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w:t>
                  </w:r>
                  <w:r>
                    <w:rPr>
                      <w:rFonts w:hint="eastAsia" w:cs="Times New Roman"/>
                      <w:sz w:val="21"/>
                      <w:szCs w:val="21"/>
                      <w:highlight w:val="none"/>
                      <w:lang w:val="en-US" w:eastAsia="zh-CN"/>
                    </w:rPr>
                    <w:t>6</w:t>
                  </w:r>
                  <w:r>
                    <w:rPr>
                      <w:rFonts w:hint="default" w:ascii="Times New Roman" w:hAnsi="Times New Roman" w:cs="Times New Roman"/>
                      <w:sz w:val="21"/>
                      <w:szCs w:val="21"/>
                      <w:highlight w:val="none"/>
                      <w:lang w:val="en-US" w:eastAsia="zh-CN"/>
                    </w:rPr>
                    <w:t>.12</w:t>
                  </w:r>
                </w:p>
              </w:tc>
              <w:tc>
                <w:tcPr>
                  <w:tcW w:w="757" w:type="dxa"/>
                  <w:noWrap w:val="0"/>
                  <w:vAlign w:val="center"/>
                </w:tcPr>
                <w:p>
                  <w:pPr>
                    <w:pStyle w:val="37"/>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441</w:t>
                  </w:r>
                </w:p>
              </w:tc>
              <w:tc>
                <w:tcPr>
                  <w:tcW w:w="759" w:type="dxa"/>
                  <w:noWrap w:val="0"/>
                  <w:vAlign w:val="center"/>
                </w:tcPr>
                <w:p>
                  <w:pPr>
                    <w:pStyle w:val="37"/>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8</w:t>
                  </w:r>
                  <w:r>
                    <w:rPr>
                      <w:rFonts w:hint="default" w:ascii="Times New Roman" w:hAnsi="Times New Roman" w:cs="Times New Roman"/>
                      <w:sz w:val="21"/>
                      <w:szCs w:val="21"/>
                      <w:highlight w:val="none"/>
                      <w:lang w:val="en-US" w:eastAsia="zh-CN"/>
                    </w:rPr>
                    <w:t>.01</w:t>
                  </w:r>
                </w:p>
              </w:tc>
              <w:tc>
                <w:tcPr>
                  <w:tcW w:w="759" w:type="dxa"/>
                  <w:noWrap w:val="0"/>
                  <w:vAlign w:val="center"/>
                </w:tcPr>
                <w:p>
                  <w:pPr>
                    <w:pStyle w:val="37"/>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22</w:t>
                  </w:r>
                </w:p>
              </w:tc>
              <w:tc>
                <w:tcPr>
                  <w:tcW w:w="759" w:type="dxa"/>
                  <w:noWrap w:val="0"/>
                  <w:vAlign w:val="center"/>
                </w:tcPr>
                <w:p>
                  <w:pPr>
                    <w:pStyle w:val="37"/>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33</w:t>
                  </w:r>
                  <w:r>
                    <w:rPr>
                      <w:rFonts w:hint="default" w:ascii="Times New Roman" w:hAnsi="Times New Roman" w:cs="Times New Roman"/>
                      <w:sz w:val="21"/>
                      <w:szCs w:val="21"/>
                      <w:highlight w:val="none"/>
                      <w:lang w:val="en-US" w:eastAsia="zh-CN"/>
                    </w:rPr>
                    <w:t>.06</w:t>
                  </w:r>
                </w:p>
              </w:tc>
              <w:tc>
                <w:tcPr>
                  <w:tcW w:w="759" w:type="dxa"/>
                  <w:noWrap w:val="0"/>
                  <w:vAlign w:val="center"/>
                </w:tcPr>
                <w:p>
                  <w:pPr>
                    <w:pStyle w:val="37"/>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205</w:t>
                  </w:r>
                </w:p>
              </w:tc>
              <w:tc>
                <w:tcPr>
                  <w:tcW w:w="759" w:type="dxa"/>
                  <w:noWrap w:val="0"/>
                  <w:vAlign w:val="center"/>
                </w:tcPr>
                <w:p>
                  <w:pPr>
                    <w:pStyle w:val="37"/>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13</w:t>
                  </w:r>
                  <w:r>
                    <w:rPr>
                      <w:rFonts w:hint="default" w:ascii="Times New Roman" w:hAnsi="Times New Roman" w:cs="Times New Roman"/>
                      <w:sz w:val="21"/>
                      <w:szCs w:val="21"/>
                      <w:highlight w:val="none"/>
                      <w:lang w:val="en-US" w:eastAsia="zh-CN"/>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1280" w:type="dxa"/>
                  <w:noWrap w:val="0"/>
                  <w:vAlign w:val="center"/>
                </w:tcPr>
                <w:p>
                  <w:pPr>
                    <w:pStyle w:val="37"/>
                    <w:adjustRightInd w:val="0"/>
                    <w:snapToGrid w:val="0"/>
                    <w:rPr>
                      <w:rFonts w:hint="default" w:ascii="Times New Roman" w:hAnsi="Times New Roman" w:cs="Times New Roman"/>
                      <w:color w:val="000000"/>
                      <w:sz w:val="21"/>
                      <w:szCs w:val="21"/>
                      <w:lang w:val="en-US" w:eastAsia="zh-CN"/>
                    </w:rPr>
                  </w:pPr>
                  <w:r>
                    <w:rPr>
                      <w:rFonts w:hint="default" w:ascii="Times New Roman" w:hAnsi="Times New Roman" w:cs="Times New Roman"/>
                      <w:color w:val="auto"/>
                      <w:sz w:val="21"/>
                      <w:szCs w:val="21"/>
                    </w:rPr>
                    <w:t>高压泵</w:t>
                  </w:r>
                  <w:r>
                    <w:rPr>
                      <w:rFonts w:hint="default" w:ascii="Times New Roman" w:hAnsi="Times New Roman" w:cs="Times New Roman"/>
                      <w:i w:val="0"/>
                      <w:iCs w:val="0"/>
                      <w:color w:val="000000"/>
                      <w:sz w:val="21"/>
                      <w:szCs w:val="21"/>
                      <w:u w:val="none"/>
                      <w:lang w:val="en-US" w:eastAsia="zh-CN"/>
                    </w:rPr>
                    <w:t>3</w:t>
                  </w:r>
                  <w:r>
                    <w:rPr>
                      <w:rFonts w:hint="default" w:ascii="Times New Roman" w:hAnsi="Times New Roman" w:cs="Times New Roman"/>
                      <w:sz w:val="21"/>
                      <w:szCs w:val="21"/>
                      <w:lang w:val="en-US" w:eastAsia="zh-CN"/>
                    </w:rPr>
                    <w:t>台</w:t>
                  </w:r>
                </w:p>
              </w:tc>
              <w:tc>
                <w:tcPr>
                  <w:tcW w:w="742" w:type="dxa"/>
                  <w:noWrap w:val="0"/>
                  <w:vAlign w:val="center"/>
                </w:tcPr>
                <w:p>
                  <w:pPr>
                    <w:pStyle w:val="37"/>
                    <w:rPr>
                      <w:rFonts w:hint="default" w:ascii="Times New Roman" w:hAnsi="Times New Roman" w:cs="Times New Roman"/>
                      <w:sz w:val="21"/>
                      <w:szCs w:val="21"/>
                      <w:highlight w:val="none"/>
                      <w:lang w:val="en-US" w:eastAsia="zh-CN" w:bidi="ar-SA"/>
                    </w:rPr>
                  </w:pPr>
                  <w:r>
                    <w:rPr>
                      <w:rFonts w:hint="eastAsia" w:cs="Times New Roman"/>
                      <w:sz w:val="21"/>
                      <w:szCs w:val="21"/>
                      <w:highlight w:val="none"/>
                      <w:lang w:val="en-US" w:eastAsia="zh-CN" w:bidi="ar-SA"/>
                    </w:rPr>
                    <w:t>74</w:t>
                  </w:r>
                  <w:r>
                    <w:rPr>
                      <w:rFonts w:hint="default" w:ascii="Times New Roman" w:hAnsi="Times New Roman" w:cs="Times New Roman"/>
                      <w:sz w:val="21"/>
                      <w:szCs w:val="21"/>
                      <w:highlight w:val="none"/>
                      <w:lang w:val="en-US" w:eastAsia="zh-CN" w:bidi="ar-SA"/>
                    </w:rPr>
                    <w:t>.77</w:t>
                  </w:r>
                </w:p>
              </w:tc>
              <w:tc>
                <w:tcPr>
                  <w:tcW w:w="757" w:type="dxa"/>
                  <w:noWrap w:val="0"/>
                  <w:vAlign w:val="center"/>
                </w:tcPr>
                <w:p>
                  <w:pPr>
                    <w:pStyle w:val="37"/>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157</w:t>
                  </w:r>
                </w:p>
              </w:tc>
              <w:tc>
                <w:tcPr>
                  <w:tcW w:w="757" w:type="dxa"/>
                  <w:noWrap w:val="0"/>
                  <w:vAlign w:val="center"/>
                </w:tcPr>
                <w:p>
                  <w:pPr>
                    <w:pStyle w:val="37"/>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22</w:t>
                  </w:r>
                  <w:r>
                    <w:rPr>
                      <w:rFonts w:hint="default" w:ascii="Times New Roman" w:hAnsi="Times New Roman" w:cs="Times New Roman"/>
                      <w:sz w:val="21"/>
                      <w:szCs w:val="21"/>
                      <w:highlight w:val="none"/>
                      <w:lang w:val="en-US" w:eastAsia="zh-CN"/>
                    </w:rPr>
                    <w:t>.88</w:t>
                  </w:r>
                </w:p>
              </w:tc>
              <w:tc>
                <w:tcPr>
                  <w:tcW w:w="757" w:type="dxa"/>
                  <w:noWrap w:val="0"/>
                  <w:vAlign w:val="center"/>
                </w:tcPr>
                <w:p>
                  <w:pPr>
                    <w:pStyle w:val="37"/>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441</w:t>
                  </w:r>
                </w:p>
              </w:tc>
              <w:tc>
                <w:tcPr>
                  <w:tcW w:w="759" w:type="dxa"/>
                  <w:noWrap w:val="0"/>
                  <w:vAlign w:val="center"/>
                </w:tcPr>
                <w:p>
                  <w:pPr>
                    <w:pStyle w:val="37"/>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13</w:t>
                  </w:r>
                  <w:r>
                    <w:rPr>
                      <w:rFonts w:hint="default" w:ascii="Times New Roman" w:hAnsi="Times New Roman" w:cs="Times New Roman"/>
                      <w:sz w:val="21"/>
                      <w:szCs w:val="21"/>
                      <w:highlight w:val="none"/>
                      <w:lang w:val="en-US" w:eastAsia="zh-CN"/>
                    </w:rPr>
                    <w:t>.91</w:t>
                  </w:r>
                </w:p>
              </w:tc>
              <w:tc>
                <w:tcPr>
                  <w:tcW w:w="759" w:type="dxa"/>
                  <w:noWrap w:val="0"/>
                  <w:vAlign w:val="center"/>
                </w:tcPr>
                <w:p>
                  <w:pPr>
                    <w:pStyle w:val="37"/>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21</w:t>
                  </w:r>
                </w:p>
              </w:tc>
              <w:tc>
                <w:tcPr>
                  <w:tcW w:w="759" w:type="dxa"/>
                  <w:noWrap w:val="0"/>
                  <w:vAlign w:val="center"/>
                </w:tcPr>
                <w:p>
                  <w:pPr>
                    <w:pStyle w:val="37"/>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40</w:t>
                  </w:r>
                  <w:r>
                    <w:rPr>
                      <w:rFonts w:hint="default" w:ascii="Times New Roman" w:hAnsi="Times New Roman" w:cs="Times New Roman"/>
                      <w:sz w:val="21"/>
                      <w:szCs w:val="21"/>
                      <w:highlight w:val="none"/>
                      <w:lang w:val="en-US" w:eastAsia="zh-CN"/>
                    </w:rPr>
                    <w:t>.21</w:t>
                  </w:r>
                </w:p>
              </w:tc>
              <w:tc>
                <w:tcPr>
                  <w:tcW w:w="759" w:type="dxa"/>
                  <w:noWrap w:val="0"/>
                  <w:vAlign w:val="center"/>
                </w:tcPr>
                <w:p>
                  <w:pPr>
                    <w:pStyle w:val="37"/>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205</w:t>
                  </w:r>
                </w:p>
              </w:tc>
              <w:tc>
                <w:tcPr>
                  <w:tcW w:w="759" w:type="dxa"/>
                  <w:noWrap w:val="0"/>
                  <w:vAlign w:val="center"/>
                </w:tcPr>
                <w:p>
                  <w:pPr>
                    <w:pStyle w:val="37"/>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20</w:t>
                  </w:r>
                  <w:r>
                    <w:rPr>
                      <w:rFonts w:hint="default" w:ascii="Times New Roman" w:hAnsi="Times New Roman" w:cs="Times New Roman"/>
                      <w:sz w:val="21"/>
                      <w:szCs w:val="21"/>
                      <w:highlight w:val="none"/>
                      <w:lang w:val="en-US" w:eastAsia="zh-CN"/>
                    </w:rPr>
                    <w:t>.56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1280" w:type="dxa"/>
                  <w:noWrap w:val="0"/>
                  <w:vAlign w:val="center"/>
                </w:tcPr>
                <w:p>
                  <w:pPr>
                    <w:pStyle w:val="37"/>
                    <w:adjustRightInd w:val="0"/>
                    <w:snapToGrid w:val="0"/>
                    <w:rPr>
                      <w:rFonts w:hint="default" w:ascii="Times New Roman" w:hAnsi="Times New Roman" w:cs="Times New Roman"/>
                      <w:color w:val="000000"/>
                      <w:sz w:val="21"/>
                      <w:szCs w:val="21"/>
                      <w:lang w:val="en-US" w:eastAsia="zh-CN"/>
                    </w:rPr>
                  </w:pPr>
                  <w:r>
                    <w:rPr>
                      <w:rFonts w:hint="default" w:ascii="Times New Roman" w:hAnsi="Times New Roman" w:cs="Times New Roman"/>
                      <w:color w:val="auto"/>
                      <w:sz w:val="21"/>
                      <w:szCs w:val="21"/>
                    </w:rPr>
                    <w:t>中间水泵</w:t>
                  </w:r>
                  <w:r>
                    <w:rPr>
                      <w:rFonts w:hint="default" w:ascii="Times New Roman" w:hAnsi="Times New Roman" w:cs="Times New Roman"/>
                      <w:i w:val="0"/>
                      <w:iCs w:val="0"/>
                      <w:color w:val="000000"/>
                      <w:sz w:val="21"/>
                      <w:szCs w:val="21"/>
                      <w:u w:val="none"/>
                      <w:lang w:val="en-US" w:eastAsia="zh-CN"/>
                    </w:rPr>
                    <w:t>3</w:t>
                  </w:r>
                  <w:r>
                    <w:rPr>
                      <w:rFonts w:hint="default" w:ascii="Times New Roman" w:hAnsi="Times New Roman" w:cs="Times New Roman"/>
                      <w:sz w:val="21"/>
                      <w:szCs w:val="21"/>
                      <w:lang w:val="en-US" w:eastAsia="zh-CN"/>
                    </w:rPr>
                    <w:t>台</w:t>
                  </w:r>
                </w:p>
              </w:tc>
              <w:tc>
                <w:tcPr>
                  <w:tcW w:w="742" w:type="dxa"/>
                  <w:noWrap w:val="0"/>
                  <w:vAlign w:val="center"/>
                </w:tcPr>
                <w:p>
                  <w:pPr>
                    <w:pStyle w:val="37"/>
                    <w:rPr>
                      <w:rFonts w:hint="default" w:ascii="Times New Roman" w:hAnsi="Times New Roman" w:cs="Times New Roman"/>
                      <w:sz w:val="21"/>
                      <w:szCs w:val="21"/>
                      <w:highlight w:val="none"/>
                      <w:lang w:val="en-US" w:eastAsia="zh-CN" w:bidi="ar-SA"/>
                    </w:rPr>
                  </w:pPr>
                  <w:r>
                    <w:rPr>
                      <w:rFonts w:hint="default" w:ascii="Times New Roman" w:hAnsi="Times New Roman" w:cs="Times New Roman"/>
                      <w:sz w:val="21"/>
                      <w:szCs w:val="21"/>
                      <w:highlight w:val="none"/>
                      <w:lang w:val="en-US" w:eastAsia="zh-CN" w:bidi="ar-SA"/>
                    </w:rPr>
                    <w:t>6</w:t>
                  </w:r>
                  <w:r>
                    <w:rPr>
                      <w:rFonts w:hint="eastAsia" w:cs="Times New Roman"/>
                      <w:sz w:val="21"/>
                      <w:szCs w:val="21"/>
                      <w:highlight w:val="none"/>
                      <w:lang w:val="en-US" w:eastAsia="zh-CN" w:bidi="ar-SA"/>
                    </w:rPr>
                    <w:t>9</w:t>
                  </w:r>
                  <w:r>
                    <w:rPr>
                      <w:rFonts w:hint="default" w:ascii="Times New Roman" w:hAnsi="Times New Roman" w:cs="Times New Roman"/>
                      <w:sz w:val="21"/>
                      <w:szCs w:val="21"/>
                      <w:highlight w:val="none"/>
                      <w:lang w:val="en-US" w:eastAsia="zh-CN" w:bidi="ar-SA"/>
                    </w:rPr>
                    <w:t>.77</w:t>
                  </w:r>
                </w:p>
              </w:tc>
              <w:tc>
                <w:tcPr>
                  <w:tcW w:w="757" w:type="dxa"/>
                  <w:noWrap w:val="0"/>
                  <w:vAlign w:val="center"/>
                </w:tcPr>
                <w:p>
                  <w:pPr>
                    <w:pStyle w:val="37"/>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157</w:t>
                  </w:r>
                </w:p>
              </w:tc>
              <w:tc>
                <w:tcPr>
                  <w:tcW w:w="757" w:type="dxa"/>
                  <w:noWrap w:val="0"/>
                  <w:vAlign w:val="center"/>
                </w:tcPr>
                <w:p>
                  <w:pPr>
                    <w:pStyle w:val="37"/>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w:t>
                  </w:r>
                  <w:r>
                    <w:rPr>
                      <w:rFonts w:hint="eastAsia" w:cs="Times New Roman"/>
                      <w:sz w:val="21"/>
                      <w:szCs w:val="21"/>
                      <w:highlight w:val="none"/>
                      <w:lang w:val="en-US" w:eastAsia="zh-CN"/>
                    </w:rPr>
                    <w:t>7</w:t>
                  </w:r>
                  <w:r>
                    <w:rPr>
                      <w:rFonts w:hint="default" w:ascii="Times New Roman" w:hAnsi="Times New Roman" w:cs="Times New Roman"/>
                      <w:sz w:val="21"/>
                      <w:szCs w:val="21"/>
                      <w:highlight w:val="none"/>
                      <w:lang w:val="en-US" w:eastAsia="zh-CN"/>
                    </w:rPr>
                    <w:t>.88</w:t>
                  </w:r>
                </w:p>
              </w:tc>
              <w:tc>
                <w:tcPr>
                  <w:tcW w:w="757" w:type="dxa"/>
                  <w:noWrap w:val="0"/>
                  <w:vAlign w:val="center"/>
                </w:tcPr>
                <w:p>
                  <w:pPr>
                    <w:pStyle w:val="37"/>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441</w:t>
                  </w:r>
                </w:p>
              </w:tc>
              <w:tc>
                <w:tcPr>
                  <w:tcW w:w="759" w:type="dxa"/>
                  <w:noWrap w:val="0"/>
                  <w:vAlign w:val="center"/>
                </w:tcPr>
                <w:p>
                  <w:pPr>
                    <w:pStyle w:val="37"/>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8</w:t>
                  </w:r>
                  <w:r>
                    <w:rPr>
                      <w:rFonts w:hint="default" w:ascii="Times New Roman" w:hAnsi="Times New Roman" w:cs="Times New Roman"/>
                      <w:sz w:val="21"/>
                      <w:szCs w:val="21"/>
                      <w:highlight w:val="none"/>
                      <w:lang w:val="en-US" w:eastAsia="zh-CN"/>
                    </w:rPr>
                    <w:t>.91</w:t>
                  </w:r>
                </w:p>
              </w:tc>
              <w:tc>
                <w:tcPr>
                  <w:tcW w:w="759" w:type="dxa"/>
                  <w:noWrap w:val="0"/>
                  <w:vAlign w:val="center"/>
                </w:tcPr>
                <w:p>
                  <w:pPr>
                    <w:pStyle w:val="37"/>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21</w:t>
                  </w:r>
                </w:p>
              </w:tc>
              <w:tc>
                <w:tcPr>
                  <w:tcW w:w="759" w:type="dxa"/>
                  <w:noWrap w:val="0"/>
                  <w:vAlign w:val="center"/>
                </w:tcPr>
                <w:p>
                  <w:pPr>
                    <w:pStyle w:val="37"/>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3</w:t>
                  </w:r>
                  <w:r>
                    <w:rPr>
                      <w:rFonts w:hint="eastAsia" w:cs="Times New Roman"/>
                      <w:sz w:val="21"/>
                      <w:szCs w:val="21"/>
                      <w:highlight w:val="none"/>
                      <w:lang w:val="en-US" w:eastAsia="zh-CN"/>
                    </w:rPr>
                    <w:t>5</w:t>
                  </w:r>
                  <w:r>
                    <w:rPr>
                      <w:rFonts w:hint="default" w:ascii="Times New Roman" w:hAnsi="Times New Roman" w:cs="Times New Roman"/>
                      <w:sz w:val="21"/>
                      <w:szCs w:val="21"/>
                      <w:highlight w:val="none"/>
                      <w:lang w:val="en-US" w:eastAsia="zh-CN"/>
                    </w:rPr>
                    <w:t>.21</w:t>
                  </w:r>
                </w:p>
              </w:tc>
              <w:tc>
                <w:tcPr>
                  <w:tcW w:w="759" w:type="dxa"/>
                  <w:noWrap w:val="0"/>
                  <w:vAlign w:val="center"/>
                </w:tcPr>
                <w:p>
                  <w:pPr>
                    <w:pStyle w:val="37"/>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205</w:t>
                  </w:r>
                </w:p>
              </w:tc>
              <w:tc>
                <w:tcPr>
                  <w:tcW w:w="759" w:type="dxa"/>
                  <w:noWrap w:val="0"/>
                  <w:vAlign w:val="center"/>
                </w:tcPr>
                <w:p>
                  <w:pPr>
                    <w:pStyle w:val="37"/>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w:t>
                  </w:r>
                  <w:r>
                    <w:rPr>
                      <w:rFonts w:hint="eastAsia" w:cs="Times New Roman"/>
                      <w:sz w:val="21"/>
                      <w:szCs w:val="21"/>
                      <w:highlight w:val="none"/>
                      <w:lang w:val="en-US" w:eastAsia="zh-CN"/>
                    </w:rPr>
                    <w:t>5</w:t>
                  </w:r>
                  <w:r>
                    <w:rPr>
                      <w:rFonts w:hint="default" w:ascii="Times New Roman" w:hAnsi="Times New Roman" w:cs="Times New Roman"/>
                      <w:sz w:val="21"/>
                      <w:szCs w:val="21"/>
                      <w:highlight w:val="none"/>
                      <w:lang w:val="en-US" w:eastAsia="zh-CN"/>
                    </w:rPr>
                    <w:t>.56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1280" w:type="dxa"/>
                  <w:noWrap w:val="0"/>
                  <w:vAlign w:val="center"/>
                </w:tcPr>
                <w:p>
                  <w:pPr>
                    <w:pStyle w:val="37"/>
                    <w:adjustRightInd w:val="0"/>
                    <w:snapToGrid w:val="0"/>
                    <w:rPr>
                      <w:rFonts w:hint="default" w:ascii="Times New Roman" w:hAnsi="Times New Roman" w:cs="Times New Roman"/>
                      <w:color w:val="000000"/>
                      <w:sz w:val="21"/>
                      <w:szCs w:val="21"/>
                      <w:lang w:val="en-US" w:eastAsia="zh-CN"/>
                    </w:rPr>
                  </w:pPr>
                  <w:r>
                    <w:rPr>
                      <w:rFonts w:hint="default" w:ascii="Times New Roman" w:hAnsi="Times New Roman" w:cs="Times New Roman"/>
                      <w:color w:val="auto"/>
                      <w:sz w:val="21"/>
                      <w:szCs w:val="21"/>
                    </w:rPr>
                    <w:t>再生水泵</w:t>
                  </w:r>
                  <w:r>
                    <w:rPr>
                      <w:rFonts w:hint="default" w:ascii="Times New Roman" w:hAnsi="Times New Roman" w:cs="Times New Roman"/>
                      <w:i w:val="0"/>
                      <w:iCs w:val="0"/>
                      <w:color w:val="000000"/>
                      <w:sz w:val="21"/>
                      <w:szCs w:val="21"/>
                      <w:u w:val="none"/>
                      <w:lang w:val="en-US" w:eastAsia="zh-CN"/>
                    </w:rPr>
                    <w:t>2</w:t>
                  </w:r>
                  <w:r>
                    <w:rPr>
                      <w:rFonts w:hint="default" w:ascii="Times New Roman" w:hAnsi="Times New Roman" w:cs="Times New Roman"/>
                      <w:sz w:val="21"/>
                      <w:szCs w:val="21"/>
                      <w:lang w:val="en-US" w:eastAsia="zh-CN"/>
                    </w:rPr>
                    <w:t>台</w:t>
                  </w:r>
                </w:p>
              </w:tc>
              <w:tc>
                <w:tcPr>
                  <w:tcW w:w="742" w:type="dxa"/>
                  <w:noWrap w:val="0"/>
                  <w:vAlign w:val="center"/>
                </w:tcPr>
                <w:p>
                  <w:pPr>
                    <w:pStyle w:val="37"/>
                    <w:rPr>
                      <w:rFonts w:hint="default" w:ascii="Times New Roman" w:hAnsi="Times New Roman" w:cs="Times New Roman"/>
                      <w:sz w:val="21"/>
                      <w:szCs w:val="21"/>
                      <w:highlight w:val="none"/>
                      <w:lang w:val="en-US" w:eastAsia="zh-CN" w:bidi="ar-SA"/>
                    </w:rPr>
                  </w:pPr>
                  <w:r>
                    <w:rPr>
                      <w:rFonts w:hint="default" w:ascii="Times New Roman" w:hAnsi="Times New Roman" w:cs="Times New Roman"/>
                      <w:sz w:val="21"/>
                      <w:szCs w:val="21"/>
                      <w:highlight w:val="none"/>
                      <w:lang w:val="en-US" w:eastAsia="zh-CN" w:bidi="ar-SA"/>
                    </w:rPr>
                    <w:t>6</w:t>
                  </w:r>
                  <w:r>
                    <w:rPr>
                      <w:rFonts w:hint="eastAsia" w:cs="Times New Roman"/>
                      <w:sz w:val="21"/>
                      <w:szCs w:val="21"/>
                      <w:highlight w:val="none"/>
                      <w:lang w:val="en-US" w:eastAsia="zh-CN" w:bidi="ar-SA"/>
                    </w:rPr>
                    <w:t>8</w:t>
                  </w:r>
                  <w:r>
                    <w:rPr>
                      <w:rFonts w:hint="default" w:ascii="Times New Roman" w:hAnsi="Times New Roman" w:cs="Times New Roman"/>
                      <w:sz w:val="21"/>
                      <w:szCs w:val="21"/>
                      <w:highlight w:val="none"/>
                      <w:lang w:val="en-US" w:eastAsia="zh-CN" w:bidi="ar-SA"/>
                    </w:rPr>
                    <w:t>.01</w:t>
                  </w:r>
                </w:p>
              </w:tc>
              <w:tc>
                <w:tcPr>
                  <w:tcW w:w="757" w:type="dxa"/>
                  <w:noWrap w:val="0"/>
                  <w:vAlign w:val="center"/>
                </w:tcPr>
                <w:p>
                  <w:pPr>
                    <w:pStyle w:val="37"/>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157</w:t>
                  </w:r>
                </w:p>
              </w:tc>
              <w:tc>
                <w:tcPr>
                  <w:tcW w:w="757" w:type="dxa"/>
                  <w:noWrap w:val="0"/>
                  <w:vAlign w:val="center"/>
                </w:tcPr>
                <w:p>
                  <w:pPr>
                    <w:pStyle w:val="37"/>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w:t>
                  </w:r>
                  <w:r>
                    <w:rPr>
                      <w:rFonts w:hint="eastAsia" w:cs="Times New Roman"/>
                      <w:sz w:val="21"/>
                      <w:szCs w:val="21"/>
                      <w:highlight w:val="none"/>
                      <w:lang w:val="en-US" w:eastAsia="zh-CN"/>
                    </w:rPr>
                    <w:t>6</w:t>
                  </w:r>
                  <w:r>
                    <w:rPr>
                      <w:rFonts w:hint="default" w:ascii="Times New Roman" w:hAnsi="Times New Roman" w:cs="Times New Roman"/>
                      <w:sz w:val="21"/>
                      <w:szCs w:val="21"/>
                      <w:highlight w:val="none"/>
                      <w:lang w:val="en-US" w:eastAsia="zh-CN"/>
                    </w:rPr>
                    <w:t>.12</w:t>
                  </w:r>
                </w:p>
              </w:tc>
              <w:tc>
                <w:tcPr>
                  <w:tcW w:w="757" w:type="dxa"/>
                  <w:noWrap w:val="0"/>
                  <w:vAlign w:val="center"/>
                </w:tcPr>
                <w:p>
                  <w:pPr>
                    <w:pStyle w:val="37"/>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441</w:t>
                  </w:r>
                </w:p>
              </w:tc>
              <w:tc>
                <w:tcPr>
                  <w:tcW w:w="759" w:type="dxa"/>
                  <w:noWrap w:val="0"/>
                  <w:vAlign w:val="center"/>
                </w:tcPr>
                <w:p>
                  <w:pPr>
                    <w:pStyle w:val="37"/>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8</w:t>
                  </w:r>
                  <w:r>
                    <w:rPr>
                      <w:rFonts w:hint="default" w:ascii="Times New Roman" w:hAnsi="Times New Roman" w:cs="Times New Roman"/>
                      <w:sz w:val="21"/>
                      <w:szCs w:val="21"/>
                      <w:highlight w:val="none"/>
                      <w:lang w:val="en-US" w:eastAsia="zh-CN"/>
                    </w:rPr>
                    <w:t>.01</w:t>
                  </w:r>
                </w:p>
              </w:tc>
              <w:tc>
                <w:tcPr>
                  <w:tcW w:w="759" w:type="dxa"/>
                  <w:noWrap w:val="0"/>
                  <w:vAlign w:val="center"/>
                </w:tcPr>
                <w:p>
                  <w:pPr>
                    <w:pStyle w:val="37"/>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21</w:t>
                  </w:r>
                </w:p>
              </w:tc>
              <w:tc>
                <w:tcPr>
                  <w:tcW w:w="759" w:type="dxa"/>
                  <w:noWrap w:val="0"/>
                  <w:vAlign w:val="center"/>
                </w:tcPr>
                <w:p>
                  <w:pPr>
                    <w:pStyle w:val="37"/>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33</w:t>
                  </w:r>
                  <w:r>
                    <w:rPr>
                      <w:rFonts w:hint="default" w:ascii="Times New Roman" w:hAnsi="Times New Roman" w:cs="Times New Roman"/>
                      <w:sz w:val="21"/>
                      <w:szCs w:val="21"/>
                      <w:highlight w:val="none"/>
                      <w:lang w:val="en-US" w:eastAsia="zh-CN"/>
                    </w:rPr>
                    <w:t>.45</w:t>
                  </w:r>
                </w:p>
              </w:tc>
              <w:tc>
                <w:tcPr>
                  <w:tcW w:w="759" w:type="dxa"/>
                  <w:noWrap w:val="0"/>
                  <w:vAlign w:val="center"/>
                </w:tcPr>
                <w:p>
                  <w:pPr>
                    <w:pStyle w:val="37"/>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205</w:t>
                  </w:r>
                </w:p>
              </w:tc>
              <w:tc>
                <w:tcPr>
                  <w:tcW w:w="759" w:type="dxa"/>
                  <w:noWrap w:val="0"/>
                  <w:vAlign w:val="center"/>
                </w:tcPr>
                <w:p>
                  <w:pPr>
                    <w:pStyle w:val="37"/>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13</w:t>
                  </w:r>
                  <w:r>
                    <w:rPr>
                      <w:rFonts w:hint="default" w:ascii="Times New Roman" w:hAnsi="Times New Roman" w:cs="Times New Roman"/>
                      <w:sz w:val="21"/>
                      <w:szCs w:val="21"/>
                      <w:highlight w:val="none"/>
                      <w:lang w:val="en-US" w:eastAsia="zh-CN"/>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2022" w:type="dxa"/>
                  <w:gridSpan w:val="2"/>
                  <w:noWrap w:val="0"/>
                  <w:vAlign w:val="center"/>
                </w:tcPr>
                <w:p>
                  <w:pPr>
                    <w:pStyle w:val="37"/>
                    <w:rPr>
                      <w:rFonts w:hint="default" w:ascii="Times New Roman" w:hAnsi="Times New Roman" w:cs="Times New Roman"/>
                      <w:sz w:val="21"/>
                      <w:szCs w:val="21"/>
                      <w:highlight w:val="none"/>
                      <w:lang w:val="en-US" w:eastAsia="zh-CN" w:bidi="ar-SA"/>
                    </w:rPr>
                  </w:pPr>
                  <w:r>
                    <w:rPr>
                      <w:rFonts w:hint="default" w:ascii="Times New Roman" w:hAnsi="Times New Roman" w:cs="Times New Roman"/>
                      <w:color w:val="auto"/>
                      <w:sz w:val="21"/>
                      <w:szCs w:val="21"/>
                      <w:lang w:val="en-US" w:eastAsia="zh-CN"/>
                    </w:rPr>
                    <w:t>叠加贡献值</w:t>
                  </w:r>
                  <w:r>
                    <w:rPr>
                      <w:rFonts w:hint="default" w:ascii="Times New Roman" w:hAnsi="Times New Roman" w:cs="Times New Roman"/>
                      <w:sz w:val="21"/>
                      <w:szCs w:val="21"/>
                    </w:rPr>
                    <w:t>dB(A)</w:t>
                  </w:r>
                </w:p>
              </w:tc>
              <w:tc>
                <w:tcPr>
                  <w:tcW w:w="1514" w:type="dxa"/>
                  <w:gridSpan w:val="2"/>
                  <w:noWrap w:val="0"/>
                  <w:vAlign w:val="center"/>
                </w:tcPr>
                <w:p>
                  <w:pPr>
                    <w:pStyle w:val="37"/>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w:t>
                  </w:r>
                  <w:r>
                    <w:rPr>
                      <w:rFonts w:hint="eastAsia" w:cs="Times New Roman"/>
                      <w:sz w:val="21"/>
                      <w:szCs w:val="21"/>
                      <w:highlight w:val="none"/>
                      <w:lang w:val="en-US" w:eastAsia="zh-CN"/>
                    </w:rPr>
                    <w:t>8</w:t>
                  </w:r>
                  <w:r>
                    <w:rPr>
                      <w:rFonts w:hint="default" w:ascii="Times New Roman" w:hAnsi="Times New Roman" w:cs="Times New Roman"/>
                      <w:sz w:val="21"/>
                      <w:szCs w:val="21"/>
                      <w:highlight w:val="none"/>
                      <w:lang w:val="en-US" w:eastAsia="zh-CN"/>
                    </w:rPr>
                    <w:t>.04</w:t>
                  </w:r>
                </w:p>
              </w:tc>
              <w:tc>
                <w:tcPr>
                  <w:tcW w:w="1516" w:type="dxa"/>
                  <w:gridSpan w:val="2"/>
                  <w:noWrap w:val="0"/>
                  <w:vAlign w:val="center"/>
                </w:tcPr>
                <w:p>
                  <w:pPr>
                    <w:pStyle w:val="37"/>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w:t>
                  </w:r>
                  <w:r>
                    <w:rPr>
                      <w:rFonts w:hint="eastAsia" w:cs="Times New Roman"/>
                      <w:sz w:val="21"/>
                      <w:szCs w:val="21"/>
                      <w:highlight w:val="none"/>
                      <w:lang w:val="en-US" w:eastAsia="zh-CN"/>
                    </w:rPr>
                    <w:t>9</w:t>
                  </w:r>
                  <w:r>
                    <w:rPr>
                      <w:rFonts w:hint="default" w:ascii="Times New Roman" w:hAnsi="Times New Roman" w:cs="Times New Roman"/>
                      <w:sz w:val="21"/>
                      <w:szCs w:val="21"/>
                      <w:highlight w:val="none"/>
                      <w:lang w:val="en-US" w:eastAsia="zh-CN"/>
                    </w:rPr>
                    <w:t>.29</w:t>
                  </w:r>
                </w:p>
              </w:tc>
              <w:tc>
                <w:tcPr>
                  <w:tcW w:w="1518" w:type="dxa"/>
                  <w:gridSpan w:val="2"/>
                  <w:noWrap w:val="0"/>
                  <w:vAlign w:val="center"/>
                </w:tcPr>
                <w:p>
                  <w:pPr>
                    <w:pStyle w:val="37"/>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4</w:t>
                  </w:r>
                  <w:r>
                    <w:rPr>
                      <w:rFonts w:hint="eastAsia" w:cs="Times New Roman"/>
                      <w:sz w:val="21"/>
                      <w:szCs w:val="21"/>
                      <w:highlight w:val="none"/>
                      <w:lang w:val="en-US" w:eastAsia="zh-CN"/>
                    </w:rPr>
                    <w:t>5</w:t>
                  </w:r>
                  <w:r>
                    <w:rPr>
                      <w:rFonts w:hint="default" w:ascii="Times New Roman" w:hAnsi="Times New Roman" w:cs="Times New Roman"/>
                      <w:sz w:val="21"/>
                      <w:szCs w:val="21"/>
                      <w:highlight w:val="none"/>
                      <w:lang w:val="en-US" w:eastAsia="zh-CN"/>
                    </w:rPr>
                    <w:t>.87</w:t>
                  </w:r>
                </w:p>
              </w:tc>
              <w:tc>
                <w:tcPr>
                  <w:tcW w:w="1518" w:type="dxa"/>
                  <w:gridSpan w:val="2"/>
                  <w:noWrap w:val="0"/>
                  <w:vAlign w:val="center"/>
                </w:tcPr>
                <w:p>
                  <w:pPr>
                    <w:pStyle w:val="37"/>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w:t>
                  </w:r>
                  <w:r>
                    <w:rPr>
                      <w:rFonts w:hint="eastAsia" w:cs="Times New Roman"/>
                      <w:sz w:val="21"/>
                      <w:szCs w:val="21"/>
                      <w:highlight w:val="none"/>
                      <w:lang w:val="en-US" w:eastAsia="zh-CN"/>
                    </w:rPr>
                    <w:t>5</w:t>
                  </w:r>
                  <w:r>
                    <w:rPr>
                      <w:rFonts w:hint="default" w:ascii="Times New Roman" w:hAnsi="Times New Roman" w:cs="Times New Roman"/>
                      <w:sz w:val="21"/>
                      <w:szCs w:val="21"/>
                      <w:highlight w:val="none"/>
                      <w:lang w:val="en-US" w:eastAsia="zh-CN"/>
                    </w:rPr>
                    <w:t>.79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2022" w:type="dxa"/>
                  <w:gridSpan w:val="2"/>
                  <w:noWrap w:val="0"/>
                  <w:vAlign w:val="center"/>
                </w:tcPr>
                <w:p>
                  <w:pPr>
                    <w:pStyle w:val="37"/>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是否达标</w:t>
                  </w:r>
                </w:p>
              </w:tc>
              <w:tc>
                <w:tcPr>
                  <w:tcW w:w="1514" w:type="dxa"/>
                  <w:gridSpan w:val="2"/>
                  <w:noWrap w:val="0"/>
                  <w:vAlign w:val="center"/>
                </w:tcPr>
                <w:p>
                  <w:pPr>
                    <w:pStyle w:val="37"/>
                    <w:rPr>
                      <w:rFonts w:hint="default" w:ascii="Times New Roman" w:hAnsi="Times New Roman" w:cs="Times New Roman"/>
                      <w:sz w:val="21"/>
                      <w:szCs w:val="21"/>
                    </w:rPr>
                  </w:pPr>
                  <w:r>
                    <w:rPr>
                      <w:rFonts w:hint="default" w:ascii="Times New Roman" w:hAnsi="Times New Roman" w:cs="Times New Roman"/>
                      <w:sz w:val="21"/>
                      <w:szCs w:val="21"/>
                    </w:rPr>
                    <w:t>达标</w:t>
                  </w:r>
                </w:p>
              </w:tc>
              <w:tc>
                <w:tcPr>
                  <w:tcW w:w="1516" w:type="dxa"/>
                  <w:gridSpan w:val="2"/>
                  <w:noWrap w:val="0"/>
                  <w:vAlign w:val="center"/>
                </w:tcPr>
                <w:p>
                  <w:pPr>
                    <w:pStyle w:val="37"/>
                    <w:rPr>
                      <w:rFonts w:hint="default" w:ascii="Times New Roman" w:hAnsi="Times New Roman" w:cs="Times New Roman"/>
                      <w:sz w:val="21"/>
                      <w:szCs w:val="21"/>
                    </w:rPr>
                  </w:pPr>
                  <w:r>
                    <w:rPr>
                      <w:rFonts w:hint="default" w:ascii="Times New Roman" w:hAnsi="Times New Roman" w:cs="Times New Roman"/>
                      <w:sz w:val="21"/>
                      <w:szCs w:val="21"/>
                    </w:rPr>
                    <w:t>达标</w:t>
                  </w:r>
                </w:p>
              </w:tc>
              <w:tc>
                <w:tcPr>
                  <w:tcW w:w="1518" w:type="dxa"/>
                  <w:gridSpan w:val="2"/>
                  <w:noWrap w:val="0"/>
                  <w:vAlign w:val="center"/>
                </w:tcPr>
                <w:p>
                  <w:pPr>
                    <w:pStyle w:val="37"/>
                    <w:rPr>
                      <w:rFonts w:hint="default" w:ascii="Times New Roman" w:hAnsi="Times New Roman" w:cs="Times New Roman"/>
                      <w:sz w:val="21"/>
                      <w:szCs w:val="21"/>
                    </w:rPr>
                  </w:pPr>
                  <w:r>
                    <w:rPr>
                      <w:rFonts w:hint="default" w:ascii="Times New Roman" w:hAnsi="Times New Roman" w:cs="Times New Roman"/>
                      <w:sz w:val="21"/>
                      <w:szCs w:val="21"/>
                    </w:rPr>
                    <w:t>达标</w:t>
                  </w:r>
                </w:p>
              </w:tc>
              <w:tc>
                <w:tcPr>
                  <w:tcW w:w="1518" w:type="dxa"/>
                  <w:gridSpan w:val="2"/>
                  <w:noWrap w:val="0"/>
                  <w:vAlign w:val="center"/>
                </w:tcPr>
                <w:p>
                  <w:pPr>
                    <w:pStyle w:val="37"/>
                    <w:rPr>
                      <w:rFonts w:hint="default" w:ascii="Times New Roman" w:hAnsi="Times New Roman" w:cs="Times New Roman"/>
                      <w:sz w:val="21"/>
                      <w:szCs w:val="21"/>
                    </w:rPr>
                  </w:pPr>
                  <w:r>
                    <w:rPr>
                      <w:rFonts w:hint="default" w:ascii="Times New Roman" w:hAnsi="Times New Roman" w:cs="Times New Roman"/>
                      <w:sz w:val="21"/>
                      <w:szCs w:val="21"/>
                    </w:rPr>
                    <w:t>达标</w:t>
                  </w:r>
                </w:p>
              </w:tc>
            </w:tr>
          </w:tbl>
          <w:p>
            <w:pPr>
              <w:pStyle w:val="36"/>
              <w:bidi w:val="0"/>
              <w:rPr>
                <w:rFonts w:hint="eastAsia" w:eastAsia="宋体"/>
                <w:color w:val="auto"/>
                <w:u w:val="none"/>
                <w:lang w:val="en-US" w:eastAsia="zh-CN"/>
              </w:rPr>
            </w:pPr>
            <w:r>
              <w:rPr>
                <w:rFonts w:hint="default" w:ascii="Times New Roman" w:hAnsi="Times New Roman" w:cs="Times New Roman"/>
                <w:color w:val="auto"/>
                <w:u w:val="none"/>
              </w:rPr>
              <w:t>从上述预测结果可以看出，在采取了降噪措施后，本项目各厂界噪声均能满足《工业企业厂界环境噪声排放标准》（GB12348-2008）</w:t>
            </w:r>
            <w:r>
              <w:rPr>
                <w:rFonts w:hint="default" w:ascii="Times New Roman" w:hAnsi="Times New Roman" w:cs="Times New Roman"/>
                <w:color w:val="auto"/>
                <w:u w:val="none"/>
                <w:lang w:val="en-US" w:eastAsia="zh-CN"/>
              </w:rPr>
              <w:t>3</w:t>
            </w:r>
            <w:r>
              <w:rPr>
                <w:rFonts w:hint="default" w:ascii="Times New Roman" w:hAnsi="Times New Roman" w:cs="Times New Roman"/>
                <w:color w:val="auto"/>
                <w:u w:val="none"/>
              </w:rPr>
              <w:t>类标准。则本项目噪声对周围环境影响较小。</w:t>
            </w:r>
          </w:p>
          <w:p>
            <w:pPr>
              <w:pStyle w:val="36"/>
              <w:bidi w:val="0"/>
              <w:rPr>
                <w:b/>
                <w:bCs/>
                <w:u w:val="single"/>
              </w:rPr>
            </w:pPr>
            <w:r>
              <w:rPr>
                <w:b/>
                <w:bCs/>
                <w:u w:val="single"/>
              </w:rPr>
              <w:t>四、固体废物</w:t>
            </w:r>
          </w:p>
          <w:p>
            <w:pPr>
              <w:pStyle w:val="36"/>
              <w:bidi w:val="0"/>
              <w:rPr>
                <w:b/>
                <w:bCs/>
                <w:u w:val="single"/>
              </w:rPr>
            </w:pPr>
            <w:r>
              <w:rPr>
                <w:b/>
                <w:bCs/>
                <w:u w:val="single"/>
              </w:rPr>
              <w:t>1、污染物产生和排放情况</w:t>
            </w:r>
          </w:p>
          <w:p>
            <w:pPr>
              <w:pStyle w:val="36"/>
              <w:bidi w:val="0"/>
              <w:rPr>
                <w:rFonts w:hint="default" w:eastAsia="宋体"/>
                <w:u w:val="single"/>
                <w:lang w:val="en-US" w:eastAsia="zh-CN"/>
              </w:rPr>
            </w:pPr>
            <w:r>
              <w:rPr>
                <w:rFonts w:hint="eastAsia"/>
                <w:u w:val="single"/>
                <w:lang w:val="en-US" w:eastAsia="zh-CN"/>
              </w:rPr>
              <w:t>本项目不新增生活垃圾，</w:t>
            </w:r>
            <w:r>
              <w:rPr>
                <w:u w:val="single"/>
              </w:rPr>
              <w:t>本项目生产工艺过程产生的</w:t>
            </w:r>
            <w:r>
              <w:rPr>
                <w:rFonts w:hint="eastAsia"/>
                <w:u w:val="single"/>
                <w:lang w:val="en-US" w:eastAsia="zh-CN"/>
              </w:rPr>
              <w:t>一般工业</w:t>
            </w:r>
            <w:r>
              <w:rPr>
                <w:u w:val="single"/>
              </w:rPr>
              <w:t>固体废物主要</w:t>
            </w:r>
            <w:r>
              <w:rPr>
                <w:rFonts w:hint="eastAsia"/>
                <w:color w:val="000000"/>
                <w:u w:val="single"/>
                <w:lang w:val="en-US" w:eastAsia="zh-CN"/>
              </w:rPr>
              <w:t>为</w:t>
            </w:r>
            <w:r>
              <w:rPr>
                <w:rFonts w:hint="eastAsia" w:ascii="宋体" w:hAnsi="宋体" w:eastAsia="宋体" w:cs="宋体"/>
                <w:sz w:val="24"/>
                <w:szCs w:val="24"/>
                <w:u w:val="single"/>
                <w:lang w:val="en-US" w:eastAsia="zh-CN"/>
              </w:rPr>
              <w:t>一般性包装废物</w:t>
            </w:r>
            <w:r>
              <w:rPr>
                <w:rFonts w:hint="eastAsia"/>
                <w:color w:val="000000"/>
                <w:u w:val="single"/>
                <w:lang w:val="en-US" w:eastAsia="zh-CN"/>
              </w:rPr>
              <w:t>、脱水污泥、废活性炭、废石英砂、</w:t>
            </w:r>
            <w:r>
              <w:rPr>
                <w:rFonts w:hint="eastAsia"/>
                <w:u w:val="single"/>
                <w:lang w:val="en-US" w:eastAsia="zh-CN"/>
              </w:rPr>
              <w:t>废离子交换树脂、废反渗透膜，没有危险废物产生。</w:t>
            </w:r>
          </w:p>
          <w:p>
            <w:pPr>
              <w:pStyle w:val="36"/>
              <w:bidi w:val="0"/>
              <w:rPr>
                <w:rFonts w:hint="eastAsia" w:eastAsia="宋体"/>
                <w:u w:val="single"/>
                <w:lang w:eastAsia="zh-CN"/>
              </w:rPr>
            </w:pPr>
            <w:r>
              <w:rPr>
                <w:rFonts w:hint="eastAsia"/>
                <w:u w:val="single"/>
                <w:lang w:val="en-US" w:eastAsia="zh-CN"/>
              </w:rPr>
              <w:t>1、</w:t>
            </w:r>
            <w:r>
              <w:rPr>
                <w:u w:val="single"/>
              </w:rPr>
              <w:t>一般</w:t>
            </w:r>
            <w:r>
              <w:rPr>
                <w:rFonts w:hint="eastAsia"/>
                <w:u w:val="single"/>
                <w:lang w:val="en-US" w:eastAsia="zh-CN"/>
              </w:rPr>
              <w:t>工业</w:t>
            </w:r>
            <w:r>
              <w:rPr>
                <w:u w:val="single"/>
              </w:rPr>
              <w:t>固体废物</w:t>
            </w:r>
            <w:r>
              <w:rPr>
                <w:rFonts w:hint="eastAsia"/>
                <w:u w:val="single"/>
                <w:lang w:eastAsia="zh-CN"/>
              </w:rPr>
              <w:t>：</w:t>
            </w:r>
          </w:p>
          <w:p>
            <w:pPr>
              <w:pStyle w:val="36"/>
              <w:bidi w:val="0"/>
              <w:rPr>
                <w:rFonts w:hint="eastAsia"/>
                <w:color w:val="000000"/>
                <w:sz w:val="24"/>
                <w:u w:val="single"/>
                <w:lang w:eastAsia="zh-CN"/>
              </w:rPr>
            </w:pPr>
            <w:r>
              <w:rPr>
                <w:rFonts w:hint="eastAsia"/>
                <w:color w:val="auto"/>
                <w:u w:val="single"/>
                <w:lang w:val="en-US" w:eastAsia="zh-CN"/>
              </w:rPr>
              <w:t>①</w:t>
            </w:r>
            <w:r>
              <w:rPr>
                <w:rFonts w:hint="eastAsia" w:ascii="宋体" w:hAnsi="宋体" w:eastAsia="宋体" w:cs="宋体"/>
                <w:sz w:val="24"/>
                <w:szCs w:val="24"/>
                <w:u w:val="single"/>
                <w:lang w:val="en-US" w:eastAsia="zh-CN"/>
              </w:rPr>
              <w:t>一般性包装废物：</w:t>
            </w:r>
            <w:r>
              <w:rPr>
                <w:rFonts w:hint="eastAsia"/>
                <w:color w:val="000000"/>
                <w:u w:val="single"/>
                <w:lang w:eastAsia="zh-CN"/>
              </w:rPr>
              <w:t>项目原料包装袋产生量约为</w:t>
            </w:r>
            <w:r>
              <w:rPr>
                <w:rFonts w:hint="eastAsia"/>
                <w:color w:val="000000"/>
                <w:u w:val="single"/>
                <w:lang w:val="en-US" w:eastAsia="zh-CN"/>
              </w:rPr>
              <w:t>0.5</w:t>
            </w:r>
            <w:r>
              <w:rPr>
                <w:rFonts w:hint="default" w:ascii="Times New Roman" w:hAnsi="Times New Roman" w:cs="Times New Roman"/>
                <w:color w:val="000000"/>
                <w:sz w:val="24"/>
                <w:u w:val="single"/>
              </w:rPr>
              <w:t>t/a</w:t>
            </w:r>
            <w:r>
              <w:rPr>
                <w:color w:val="000000"/>
                <w:sz w:val="24"/>
                <w:u w:val="single"/>
              </w:rPr>
              <w:t>，</w:t>
            </w:r>
            <w:r>
              <w:rPr>
                <w:rFonts w:hint="eastAsia"/>
                <w:color w:val="000000"/>
                <w:sz w:val="24"/>
                <w:u w:val="single"/>
                <w:lang w:eastAsia="zh-CN"/>
              </w:rPr>
              <w:t>属于一般固废，这部分废物采用由供应商回收综合利用。</w:t>
            </w:r>
          </w:p>
          <w:p>
            <w:pPr>
              <w:pStyle w:val="36"/>
              <w:bidi w:val="0"/>
              <w:rPr>
                <w:rFonts w:hint="eastAsia"/>
                <w:color w:val="000000"/>
                <w:sz w:val="24"/>
                <w:u w:val="single"/>
                <w:lang w:val="en-US" w:eastAsia="zh-CN"/>
              </w:rPr>
            </w:pPr>
            <w:r>
              <w:rPr>
                <w:rFonts w:hint="eastAsia"/>
                <w:color w:val="000000"/>
                <w:sz w:val="24"/>
                <w:u w:val="single"/>
                <w:lang w:val="en-US" w:eastAsia="zh-CN"/>
              </w:rPr>
              <w:t>②脱水污泥：对于本项目脱水机产生的脱水污泥，不属于危险废物，仅为一般固体废物，脱水后含水率小于60%，产生量为985.5t/a。外运洪江区金鸿固废处理有限公司综合利用，对环境影响较小。</w:t>
            </w:r>
          </w:p>
          <w:p>
            <w:pPr>
              <w:pStyle w:val="36"/>
              <w:bidi w:val="0"/>
              <w:rPr>
                <w:rFonts w:hint="eastAsia"/>
                <w:color w:val="000000"/>
                <w:sz w:val="24"/>
                <w:u w:val="single"/>
                <w:lang w:eastAsia="zh-CN"/>
              </w:rPr>
            </w:pPr>
            <w:r>
              <w:rPr>
                <w:rFonts w:hint="eastAsia"/>
                <w:sz w:val="24"/>
                <w:szCs w:val="24"/>
                <w:u w:val="single"/>
                <w:lang w:val="en-US" w:eastAsia="zh-CN"/>
              </w:rPr>
              <w:t>③废离子交换树脂：废离子交换树脂来源于纯水、软水制备系统和除盐水箱，废离子交换树脂产生量量约10.5t/a，</w:t>
            </w:r>
            <w:r>
              <w:rPr>
                <w:rFonts w:hint="eastAsia"/>
                <w:color w:val="000000"/>
                <w:sz w:val="24"/>
                <w:u w:val="single"/>
                <w:lang w:eastAsia="zh-CN"/>
              </w:rPr>
              <w:t>属于一般固废，这部分废物采用由供应商回收综合利用。</w:t>
            </w:r>
          </w:p>
          <w:p>
            <w:pPr>
              <w:pStyle w:val="36"/>
              <w:bidi w:val="0"/>
              <w:rPr>
                <w:rFonts w:hint="eastAsia"/>
                <w:color w:val="000000"/>
                <w:sz w:val="24"/>
                <w:u w:val="single"/>
                <w:lang w:eastAsia="zh-CN"/>
              </w:rPr>
            </w:pPr>
            <w:r>
              <w:rPr>
                <w:rFonts w:hint="eastAsia"/>
                <w:color w:val="000000"/>
                <w:sz w:val="24"/>
                <w:u w:val="single"/>
                <w:lang w:val="en-US" w:eastAsia="zh-CN"/>
              </w:rPr>
              <w:t>④废活性炭：活性炭过滤装置会产生废活性炭，废活性炭产生量约为10.8</w:t>
            </w:r>
            <w:r>
              <w:rPr>
                <w:rFonts w:hint="eastAsia"/>
                <w:sz w:val="24"/>
                <w:szCs w:val="24"/>
                <w:u w:val="single"/>
                <w:lang w:val="en-US" w:eastAsia="zh-CN"/>
              </w:rPr>
              <w:t>t/a，</w:t>
            </w:r>
            <w:r>
              <w:rPr>
                <w:rFonts w:hint="eastAsia"/>
                <w:color w:val="000000"/>
                <w:sz w:val="24"/>
                <w:u w:val="single"/>
                <w:lang w:eastAsia="zh-CN"/>
              </w:rPr>
              <w:t>属于一般固废，这部分废物采用由供应商回收综合利用。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u w:val="single"/>
                <w:lang w:val="en-US" w:eastAsia="zh-CN"/>
              </w:rPr>
            </w:pPr>
            <w:r>
              <w:rPr>
                <w:rFonts w:hint="eastAsia"/>
                <w:u w:val="single"/>
                <w:lang w:val="en-US" w:eastAsia="zh-CN"/>
              </w:rPr>
              <w:t>⑤废石英砂：一体化净水器过滤器和纯水净水会产生废石英砂，废石英砂产生量约为111</w:t>
            </w:r>
            <w:r>
              <w:rPr>
                <w:rFonts w:hint="eastAsia"/>
                <w:sz w:val="24"/>
                <w:szCs w:val="24"/>
                <w:u w:val="single"/>
                <w:lang w:val="en-US" w:eastAsia="zh-CN"/>
              </w:rPr>
              <w:t>t/a，</w:t>
            </w:r>
            <w:r>
              <w:rPr>
                <w:rFonts w:hint="eastAsia"/>
                <w:color w:val="000000"/>
                <w:sz w:val="24"/>
                <w:u w:val="single"/>
                <w:lang w:eastAsia="zh-CN"/>
              </w:rPr>
              <w:t>属于一般固废，这部分废物采用由供应商回收综合利用。</w:t>
            </w:r>
          </w:p>
          <w:p>
            <w:pPr>
              <w:pStyle w:val="2"/>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textAlignment w:val="auto"/>
              <w:rPr>
                <w:rFonts w:hint="eastAsia"/>
                <w:color w:val="FF0000"/>
                <w:sz w:val="24"/>
                <w:szCs w:val="24"/>
                <w:u w:val="single"/>
                <w:lang w:val="en-US" w:eastAsia="zh-CN"/>
              </w:rPr>
            </w:pPr>
            <w:r>
              <w:rPr>
                <w:rFonts w:hint="eastAsia"/>
                <w:color w:val="FF0000"/>
                <w:sz w:val="24"/>
                <w:szCs w:val="24"/>
                <w:u w:val="single"/>
                <w:lang w:val="en-US" w:eastAsia="zh-CN"/>
              </w:rPr>
              <w:t>⑥废反渗透膜：废反渗透膜主要来源于纯水制备系统、除盐水箱，纯水、制备系统和除盐水箱的反渗透膜约3年更换一次，单次更换量约0.06t/次（0.02t/a）；则废反渗透膜产生量为0.02t/a，</w:t>
            </w:r>
            <w:r>
              <w:rPr>
                <w:rFonts w:hint="eastAsia"/>
                <w:color w:val="FF0000"/>
                <w:sz w:val="24"/>
                <w:u w:val="single"/>
                <w:lang w:eastAsia="zh-CN"/>
              </w:rPr>
              <w:t>属于一般固废，这部分废物采用由供应商回收综合利用</w:t>
            </w:r>
            <w:r>
              <w:rPr>
                <w:rFonts w:hint="eastAsia"/>
                <w:color w:val="FF0000"/>
                <w:sz w:val="24"/>
                <w:szCs w:val="24"/>
                <w:u w:val="single"/>
                <w:lang w:val="en-US" w:eastAsia="zh-CN"/>
              </w:rPr>
              <w:t>。</w:t>
            </w:r>
          </w:p>
          <w:p>
            <w:pPr>
              <w:pStyle w:val="33"/>
              <w:rPr>
                <w:color w:val="000000"/>
                <w:u w:val="none"/>
              </w:rPr>
            </w:pPr>
            <w:r>
              <w:rPr>
                <w:color w:val="000000"/>
                <w:u w:val="none"/>
              </w:rPr>
              <w:t>表4-</w:t>
            </w:r>
            <w:r>
              <w:rPr>
                <w:rFonts w:hint="eastAsia"/>
                <w:color w:val="000000"/>
                <w:u w:val="none"/>
                <w:lang w:val="en-US" w:eastAsia="zh-CN"/>
              </w:rPr>
              <w:t>8</w:t>
            </w:r>
            <w:r>
              <w:rPr>
                <w:color w:val="000000"/>
                <w:u w:val="none"/>
              </w:rPr>
              <w:t xml:space="preserve">  项目固废情况表</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01"/>
              <w:gridCol w:w="2154"/>
              <w:gridCol w:w="1173"/>
              <w:gridCol w:w="2361"/>
              <w:gridCol w:w="8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7" w:type="pct"/>
                  <w:noWrap w:val="0"/>
                  <w:vAlign w:val="center"/>
                </w:tcPr>
                <w:p>
                  <w:pPr>
                    <w:pStyle w:val="37"/>
                    <w:rPr>
                      <w:rFonts w:hint="default"/>
                      <w:color w:val="auto"/>
                      <w:sz w:val="21"/>
                      <w:szCs w:val="21"/>
                      <w:u w:val="single"/>
                    </w:rPr>
                  </w:pPr>
                  <w:r>
                    <w:rPr>
                      <w:rFonts w:hint="default"/>
                      <w:color w:val="auto"/>
                      <w:sz w:val="21"/>
                      <w:szCs w:val="21"/>
                      <w:u w:val="single"/>
                    </w:rPr>
                    <w:t>固废类型</w:t>
                  </w:r>
                </w:p>
              </w:tc>
              <w:tc>
                <w:tcPr>
                  <w:tcW w:w="1331" w:type="pct"/>
                  <w:noWrap w:val="0"/>
                  <w:vAlign w:val="center"/>
                </w:tcPr>
                <w:p>
                  <w:pPr>
                    <w:pStyle w:val="37"/>
                    <w:rPr>
                      <w:rFonts w:hint="default"/>
                      <w:color w:val="auto"/>
                      <w:sz w:val="21"/>
                      <w:szCs w:val="21"/>
                      <w:u w:val="single"/>
                    </w:rPr>
                  </w:pPr>
                  <w:r>
                    <w:rPr>
                      <w:rFonts w:hint="default"/>
                      <w:color w:val="auto"/>
                      <w:sz w:val="21"/>
                      <w:szCs w:val="21"/>
                      <w:u w:val="single"/>
                    </w:rPr>
                    <w:t>性质</w:t>
                  </w:r>
                </w:p>
              </w:tc>
              <w:tc>
                <w:tcPr>
                  <w:tcW w:w="725" w:type="pct"/>
                  <w:noWrap w:val="0"/>
                  <w:vAlign w:val="center"/>
                </w:tcPr>
                <w:p>
                  <w:pPr>
                    <w:pStyle w:val="37"/>
                    <w:rPr>
                      <w:rFonts w:hint="default"/>
                      <w:color w:val="auto"/>
                      <w:sz w:val="21"/>
                      <w:szCs w:val="21"/>
                      <w:u w:val="single"/>
                    </w:rPr>
                  </w:pPr>
                  <w:r>
                    <w:rPr>
                      <w:rFonts w:hint="default"/>
                      <w:color w:val="auto"/>
                      <w:sz w:val="21"/>
                      <w:szCs w:val="21"/>
                      <w:u w:val="single"/>
                    </w:rPr>
                    <w:t>产生量</w:t>
                  </w:r>
                </w:p>
              </w:tc>
              <w:tc>
                <w:tcPr>
                  <w:tcW w:w="1459" w:type="pct"/>
                  <w:noWrap w:val="0"/>
                  <w:vAlign w:val="center"/>
                </w:tcPr>
                <w:p>
                  <w:pPr>
                    <w:pStyle w:val="37"/>
                    <w:rPr>
                      <w:rFonts w:hint="default"/>
                      <w:color w:val="auto"/>
                      <w:sz w:val="21"/>
                      <w:szCs w:val="21"/>
                      <w:u w:val="single"/>
                    </w:rPr>
                  </w:pPr>
                  <w:r>
                    <w:rPr>
                      <w:rFonts w:hint="default"/>
                      <w:color w:val="auto"/>
                      <w:sz w:val="21"/>
                      <w:szCs w:val="21"/>
                      <w:u w:val="single"/>
                    </w:rPr>
                    <w:t>处置措施</w:t>
                  </w:r>
                </w:p>
              </w:tc>
              <w:tc>
                <w:tcPr>
                  <w:tcW w:w="555" w:type="pct"/>
                  <w:noWrap w:val="0"/>
                  <w:vAlign w:val="center"/>
                </w:tcPr>
                <w:p>
                  <w:pPr>
                    <w:pStyle w:val="37"/>
                    <w:rPr>
                      <w:rFonts w:hint="default"/>
                      <w:color w:val="auto"/>
                      <w:sz w:val="21"/>
                      <w:szCs w:val="21"/>
                      <w:u w:val="single"/>
                    </w:rPr>
                  </w:pPr>
                  <w:r>
                    <w:rPr>
                      <w:rFonts w:hint="default"/>
                      <w:color w:val="auto"/>
                      <w:sz w:val="21"/>
                      <w:szCs w:val="21"/>
                      <w:u w:val="single"/>
                    </w:rPr>
                    <w:t>达标情况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7" w:type="pct"/>
                  <w:noWrap w:val="0"/>
                  <w:vAlign w:val="center"/>
                </w:tcPr>
                <w:p>
                  <w:pPr>
                    <w:pStyle w:val="37"/>
                    <w:rPr>
                      <w:rFonts w:hint="default" w:eastAsia="宋体"/>
                      <w:color w:val="auto"/>
                      <w:sz w:val="21"/>
                      <w:szCs w:val="21"/>
                      <w:u w:val="single"/>
                      <w:lang w:val="en-US" w:eastAsia="zh-CN"/>
                    </w:rPr>
                  </w:pPr>
                  <w:r>
                    <w:rPr>
                      <w:rFonts w:hint="eastAsia" w:ascii="宋体" w:hAnsi="宋体" w:eastAsia="宋体" w:cs="宋体"/>
                      <w:sz w:val="21"/>
                      <w:szCs w:val="21"/>
                      <w:u w:val="single"/>
                      <w:lang w:val="en-US" w:eastAsia="zh-CN"/>
                    </w:rPr>
                    <w:t>一般性包装废物</w:t>
                  </w:r>
                </w:p>
              </w:tc>
              <w:tc>
                <w:tcPr>
                  <w:tcW w:w="1331" w:type="pct"/>
                  <w:noWrap w:val="0"/>
                  <w:vAlign w:val="center"/>
                </w:tcPr>
                <w:p>
                  <w:pPr>
                    <w:pStyle w:val="37"/>
                    <w:rPr>
                      <w:rFonts w:hint="default"/>
                      <w:color w:val="auto"/>
                      <w:sz w:val="21"/>
                      <w:szCs w:val="21"/>
                      <w:u w:val="single"/>
                    </w:rPr>
                  </w:pPr>
                  <w:r>
                    <w:rPr>
                      <w:rFonts w:hint="default"/>
                      <w:color w:val="auto"/>
                      <w:sz w:val="21"/>
                      <w:szCs w:val="21"/>
                      <w:u w:val="single"/>
                    </w:rPr>
                    <w:t>一般工业固废（类别代码</w:t>
                  </w:r>
                  <w:r>
                    <w:rPr>
                      <w:rFonts w:hint="eastAsia"/>
                      <w:color w:val="auto"/>
                      <w:sz w:val="21"/>
                      <w:szCs w:val="21"/>
                      <w:u w:val="single"/>
                      <w:lang w:val="en-US" w:eastAsia="zh-CN"/>
                    </w:rPr>
                    <w:t>292-001-07</w:t>
                  </w:r>
                  <w:r>
                    <w:rPr>
                      <w:rFonts w:hint="default"/>
                      <w:color w:val="auto"/>
                      <w:sz w:val="21"/>
                      <w:szCs w:val="21"/>
                      <w:u w:val="single"/>
                    </w:rPr>
                    <w:t>）</w:t>
                  </w:r>
                </w:p>
              </w:tc>
              <w:tc>
                <w:tcPr>
                  <w:tcW w:w="725" w:type="pct"/>
                  <w:noWrap w:val="0"/>
                  <w:vAlign w:val="center"/>
                </w:tcPr>
                <w:p>
                  <w:pPr>
                    <w:pStyle w:val="37"/>
                    <w:rPr>
                      <w:rFonts w:hint="default"/>
                      <w:color w:val="auto"/>
                      <w:sz w:val="21"/>
                      <w:szCs w:val="21"/>
                      <w:u w:val="single"/>
                    </w:rPr>
                  </w:pPr>
                  <w:r>
                    <w:rPr>
                      <w:rFonts w:hint="eastAsia"/>
                      <w:color w:val="auto"/>
                      <w:sz w:val="21"/>
                      <w:szCs w:val="21"/>
                      <w:u w:val="single"/>
                      <w:lang w:val="en-US" w:eastAsia="zh-CN"/>
                    </w:rPr>
                    <w:t>0.5</w:t>
                  </w:r>
                  <w:r>
                    <w:rPr>
                      <w:rFonts w:hint="default"/>
                      <w:color w:val="auto"/>
                      <w:sz w:val="21"/>
                      <w:szCs w:val="21"/>
                      <w:u w:val="single"/>
                    </w:rPr>
                    <w:t>t/a</w:t>
                  </w:r>
                </w:p>
              </w:tc>
              <w:tc>
                <w:tcPr>
                  <w:tcW w:w="1459" w:type="pct"/>
                  <w:noWrap w:val="0"/>
                  <w:vAlign w:val="center"/>
                </w:tcPr>
                <w:p>
                  <w:pPr>
                    <w:pStyle w:val="37"/>
                    <w:rPr>
                      <w:rFonts w:hint="default" w:eastAsia="宋体"/>
                      <w:color w:val="auto"/>
                      <w:sz w:val="21"/>
                      <w:szCs w:val="21"/>
                      <w:u w:val="single"/>
                      <w:lang w:val="en-US" w:eastAsia="zh-CN"/>
                    </w:rPr>
                  </w:pPr>
                  <w:r>
                    <w:rPr>
                      <w:rFonts w:hint="eastAsia"/>
                      <w:color w:val="auto"/>
                      <w:sz w:val="21"/>
                      <w:szCs w:val="21"/>
                      <w:u w:val="single"/>
                      <w:lang w:val="en-US" w:eastAsia="zh-CN"/>
                    </w:rPr>
                    <w:t>收集后供应商回收综合利用</w:t>
                  </w:r>
                </w:p>
              </w:tc>
              <w:tc>
                <w:tcPr>
                  <w:tcW w:w="555"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ind w:firstLine="0"/>
                    <w:textAlignment w:val="auto"/>
                    <w:rPr>
                      <w:color w:val="auto"/>
                      <w:sz w:val="21"/>
                      <w:szCs w:val="21"/>
                      <w:u w:val="single"/>
                    </w:rPr>
                  </w:pPr>
                  <w:r>
                    <w:rPr>
                      <w:rFonts w:hint="default"/>
                      <w:color w:val="auto"/>
                      <w:kern w:val="0"/>
                      <w:sz w:val="21"/>
                      <w:szCs w:val="21"/>
                      <w:u w:val="single"/>
                    </w:rPr>
                    <w:t>无</w:t>
                  </w:r>
                  <w:r>
                    <w:rPr>
                      <w:rFonts w:hint="default"/>
                      <w:color w:val="auto"/>
                      <w:sz w:val="21"/>
                      <w:szCs w:val="21"/>
                      <w:u w:val="single"/>
                    </w:rPr>
                    <w:t>害化处置达到环保要求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27" w:type="pct"/>
                  <w:noWrap w:val="0"/>
                  <w:vAlign w:val="center"/>
                </w:tcPr>
                <w:p>
                  <w:pPr>
                    <w:pStyle w:val="37"/>
                    <w:rPr>
                      <w:rFonts w:hint="default"/>
                      <w:color w:val="auto"/>
                      <w:sz w:val="21"/>
                      <w:szCs w:val="21"/>
                      <w:u w:val="single"/>
                      <w:lang w:val="en-US" w:eastAsia="zh-CN"/>
                    </w:rPr>
                  </w:pPr>
                  <w:r>
                    <w:rPr>
                      <w:rFonts w:hint="eastAsia"/>
                      <w:color w:val="000000"/>
                      <w:sz w:val="21"/>
                      <w:szCs w:val="21"/>
                      <w:u w:val="single"/>
                      <w:lang w:val="en-US" w:eastAsia="zh-CN"/>
                    </w:rPr>
                    <w:t>脱水污泥</w:t>
                  </w:r>
                </w:p>
              </w:tc>
              <w:tc>
                <w:tcPr>
                  <w:tcW w:w="1331" w:type="pct"/>
                  <w:noWrap w:val="0"/>
                  <w:vAlign w:val="center"/>
                </w:tcPr>
                <w:p>
                  <w:pPr>
                    <w:pStyle w:val="37"/>
                    <w:rPr>
                      <w:rFonts w:hint="default"/>
                      <w:color w:val="auto"/>
                      <w:sz w:val="21"/>
                      <w:szCs w:val="21"/>
                      <w:u w:val="single"/>
                    </w:rPr>
                  </w:pPr>
                  <w:r>
                    <w:rPr>
                      <w:rFonts w:hint="default"/>
                      <w:color w:val="auto"/>
                      <w:sz w:val="21"/>
                      <w:szCs w:val="21"/>
                      <w:u w:val="single"/>
                    </w:rPr>
                    <w:t>一般工业固废（类别代码</w:t>
                  </w:r>
                  <w:r>
                    <w:rPr>
                      <w:rFonts w:hint="eastAsia"/>
                      <w:color w:val="auto"/>
                      <w:sz w:val="21"/>
                      <w:szCs w:val="21"/>
                      <w:u w:val="single"/>
                      <w:lang w:val="en-US" w:eastAsia="zh-CN"/>
                    </w:rPr>
                    <w:t>900-999-61</w:t>
                  </w:r>
                  <w:r>
                    <w:rPr>
                      <w:rFonts w:hint="default"/>
                      <w:color w:val="auto"/>
                      <w:sz w:val="21"/>
                      <w:szCs w:val="21"/>
                      <w:u w:val="single"/>
                    </w:rPr>
                    <w:t>）</w:t>
                  </w:r>
                </w:p>
              </w:tc>
              <w:tc>
                <w:tcPr>
                  <w:tcW w:w="725" w:type="pct"/>
                  <w:noWrap w:val="0"/>
                  <w:vAlign w:val="center"/>
                </w:tcPr>
                <w:p>
                  <w:pPr>
                    <w:pStyle w:val="37"/>
                    <w:rPr>
                      <w:rFonts w:hint="default"/>
                      <w:color w:val="auto"/>
                      <w:sz w:val="21"/>
                      <w:szCs w:val="21"/>
                      <w:u w:val="single"/>
                      <w:lang w:val="en-US" w:eastAsia="zh-CN"/>
                    </w:rPr>
                  </w:pPr>
                  <w:r>
                    <w:rPr>
                      <w:rFonts w:hint="eastAsia"/>
                      <w:color w:val="auto"/>
                      <w:sz w:val="21"/>
                      <w:szCs w:val="21"/>
                      <w:u w:val="single"/>
                      <w:lang w:val="en-US" w:eastAsia="zh-CN"/>
                    </w:rPr>
                    <w:t>985.5t/a</w:t>
                  </w:r>
                </w:p>
              </w:tc>
              <w:tc>
                <w:tcPr>
                  <w:tcW w:w="1459" w:type="pct"/>
                  <w:noWrap w:val="0"/>
                  <w:vAlign w:val="center"/>
                </w:tcPr>
                <w:p>
                  <w:pPr>
                    <w:pStyle w:val="37"/>
                    <w:rPr>
                      <w:rFonts w:hint="default"/>
                      <w:color w:val="auto"/>
                      <w:sz w:val="21"/>
                      <w:szCs w:val="21"/>
                      <w:u w:val="single"/>
                      <w:lang w:val="en-US" w:eastAsia="zh-CN"/>
                    </w:rPr>
                  </w:pPr>
                  <w:r>
                    <w:rPr>
                      <w:rFonts w:hint="eastAsia"/>
                      <w:color w:val="auto"/>
                      <w:sz w:val="21"/>
                      <w:szCs w:val="21"/>
                      <w:u w:val="single"/>
                      <w:lang w:val="en-US" w:eastAsia="zh-CN"/>
                    </w:rPr>
                    <w:t>收集后外运洪江区金鸿固废处理有限公司综合利用</w:t>
                  </w:r>
                </w:p>
              </w:tc>
              <w:tc>
                <w:tcPr>
                  <w:tcW w:w="555" w:type="pct"/>
                  <w:vMerge w:val="continue"/>
                  <w:noWrap w:val="0"/>
                  <w:vAlign w:val="center"/>
                </w:tcPr>
                <w:p>
                  <w:pPr>
                    <w:snapToGrid w:val="0"/>
                    <w:spacing w:before="62" w:after="109"/>
                    <w:ind w:firstLine="480"/>
                    <w:rPr>
                      <w:color w:val="auto"/>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7" w:type="pct"/>
                  <w:noWrap w:val="0"/>
                  <w:vAlign w:val="center"/>
                </w:tcPr>
                <w:p>
                  <w:pPr>
                    <w:pStyle w:val="37"/>
                    <w:rPr>
                      <w:rFonts w:hint="default"/>
                      <w:color w:val="000000"/>
                      <w:sz w:val="21"/>
                      <w:szCs w:val="21"/>
                      <w:u w:val="single"/>
                      <w:lang w:val="en-US" w:eastAsia="zh-CN"/>
                    </w:rPr>
                  </w:pPr>
                  <w:r>
                    <w:rPr>
                      <w:rFonts w:hint="eastAsia"/>
                      <w:color w:val="000000"/>
                      <w:sz w:val="21"/>
                      <w:szCs w:val="21"/>
                      <w:u w:val="single"/>
                      <w:lang w:val="en-US" w:eastAsia="zh-CN"/>
                    </w:rPr>
                    <w:t>废活性炭</w:t>
                  </w:r>
                </w:p>
              </w:tc>
              <w:tc>
                <w:tcPr>
                  <w:tcW w:w="1331" w:type="pct"/>
                  <w:noWrap w:val="0"/>
                  <w:vAlign w:val="center"/>
                </w:tcPr>
                <w:p>
                  <w:pPr>
                    <w:pStyle w:val="37"/>
                    <w:rPr>
                      <w:rFonts w:hint="eastAsia" w:eastAsia="宋体"/>
                      <w:color w:val="auto"/>
                      <w:sz w:val="21"/>
                      <w:szCs w:val="21"/>
                      <w:u w:val="single"/>
                      <w:lang w:val="en-US" w:eastAsia="zh-CN"/>
                    </w:rPr>
                  </w:pPr>
                  <w:r>
                    <w:rPr>
                      <w:rFonts w:hint="default"/>
                      <w:color w:val="auto"/>
                      <w:sz w:val="21"/>
                      <w:szCs w:val="21"/>
                      <w:u w:val="single"/>
                    </w:rPr>
                    <w:t>一般工业固废（类别代码</w:t>
                  </w:r>
                  <w:r>
                    <w:rPr>
                      <w:rFonts w:hint="eastAsia"/>
                      <w:color w:val="auto"/>
                      <w:sz w:val="21"/>
                      <w:szCs w:val="21"/>
                      <w:u w:val="single"/>
                      <w:lang w:val="en-US" w:eastAsia="zh-CN"/>
                    </w:rPr>
                    <w:t>900-999-99</w:t>
                  </w:r>
                  <w:r>
                    <w:rPr>
                      <w:rFonts w:hint="default"/>
                      <w:color w:val="auto"/>
                      <w:sz w:val="21"/>
                      <w:szCs w:val="21"/>
                      <w:u w:val="single"/>
                    </w:rPr>
                    <w:t>）</w:t>
                  </w:r>
                </w:p>
              </w:tc>
              <w:tc>
                <w:tcPr>
                  <w:tcW w:w="725" w:type="pct"/>
                  <w:noWrap w:val="0"/>
                  <w:vAlign w:val="center"/>
                </w:tcPr>
                <w:p>
                  <w:pPr>
                    <w:pStyle w:val="37"/>
                    <w:rPr>
                      <w:rFonts w:hint="default"/>
                      <w:color w:val="auto"/>
                      <w:sz w:val="21"/>
                      <w:szCs w:val="21"/>
                      <w:u w:val="single"/>
                      <w:lang w:val="en-US" w:eastAsia="zh-CN"/>
                    </w:rPr>
                  </w:pPr>
                  <w:r>
                    <w:rPr>
                      <w:rFonts w:hint="eastAsia"/>
                      <w:color w:val="auto"/>
                      <w:sz w:val="21"/>
                      <w:szCs w:val="21"/>
                      <w:u w:val="single"/>
                      <w:lang w:val="en-US" w:eastAsia="zh-CN"/>
                    </w:rPr>
                    <w:t>10.8t/a</w:t>
                  </w:r>
                </w:p>
              </w:tc>
              <w:tc>
                <w:tcPr>
                  <w:tcW w:w="1459" w:type="pct"/>
                  <w:vMerge w:val="restart"/>
                  <w:noWrap w:val="0"/>
                  <w:vAlign w:val="center"/>
                </w:tcPr>
                <w:p>
                  <w:pPr>
                    <w:pStyle w:val="37"/>
                    <w:rPr>
                      <w:rFonts w:hint="eastAsia"/>
                      <w:color w:val="auto"/>
                      <w:sz w:val="21"/>
                      <w:szCs w:val="21"/>
                      <w:u w:val="single"/>
                      <w:lang w:val="en-US" w:eastAsia="zh-CN"/>
                    </w:rPr>
                  </w:pPr>
                  <w:r>
                    <w:rPr>
                      <w:rFonts w:hint="eastAsia"/>
                      <w:color w:val="auto"/>
                      <w:sz w:val="21"/>
                      <w:szCs w:val="21"/>
                      <w:u w:val="single"/>
                      <w:lang w:val="en-US" w:eastAsia="zh-CN"/>
                    </w:rPr>
                    <w:t>收集后供应商回收综合利用</w:t>
                  </w:r>
                </w:p>
              </w:tc>
              <w:tc>
                <w:tcPr>
                  <w:tcW w:w="555" w:type="pct"/>
                  <w:vMerge w:val="continue"/>
                  <w:noWrap w:val="0"/>
                  <w:vAlign w:val="center"/>
                </w:tcPr>
                <w:p>
                  <w:pPr>
                    <w:snapToGrid w:val="0"/>
                    <w:spacing w:before="62" w:after="109"/>
                    <w:ind w:firstLine="480"/>
                    <w:rPr>
                      <w:color w:val="auto"/>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7" w:type="pct"/>
                  <w:noWrap w:val="0"/>
                  <w:vAlign w:val="center"/>
                </w:tcPr>
                <w:p>
                  <w:pPr>
                    <w:pStyle w:val="37"/>
                    <w:rPr>
                      <w:rFonts w:hint="eastAsia"/>
                      <w:color w:val="000000"/>
                      <w:sz w:val="21"/>
                      <w:szCs w:val="21"/>
                      <w:u w:val="single"/>
                      <w:lang w:val="en-US" w:eastAsia="zh-CN"/>
                    </w:rPr>
                  </w:pPr>
                  <w:r>
                    <w:rPr>
                      <w:rFonts w:hint="eastAsia"/>
                      <w:color w:val="000000"/>
                      <w:sz w:val="21"/>
                      <w:szCs w:val="21"/>
                      <w:u w:val="single"/>
                      <w:lang w:val="en-US" w:eastAsia="zh-CN"/>
                    </w:rPr>
                    <w:t>废离子交换树脂</w:t>
                  </w:r>
                </w:p>
              </w:tc>
              <w:tc>
                <w:tcPr>
                  <w:tcW w:w="1331" w:type="pct"/>
                  <w:noWrap w:val="0"/>
                  <w:vAlign w:val="center"/>
                </w:tcPr>
                <w:p>
                  <w:pPr>
                    <w:pStyle w:val="37"/>
                    <w:rPr>
                      <w:rFonts w:hint="default"/>
                      <w:color w:val="auto"/>
                      <w:sz w:val="21"/>
                      <w:szCs w:val="21"/>
                      <w:u w:val="single"/>
                    </w:rPr>
                  </w:pPr>
                  <w:r>
                    <w:rPr>
                      <w:rFonts w:hint="default"/>
                      <w:color w:val="auto"/>
                      <w:sz w:val="21"/>
                      <w:szCs w:val="21"/>
                      <w:u w:val="single"/>
                    </w:rPr>
                    <w:t>一般工业固废（类别代码</w:t>
                  </w:r>
                  <w:r>
                    <w:rPr>
                      <w:rFonts w:hint="eastAsia"/>
                      <w:color w:val="auto"/>
                      <w:sz w:val="21"/>
                      <w:szCs w:val="21"/>
                      <w:u w:val="single"/>
                      <w:lang w:val="en-US" w:eastAsia="zh-CN"/>
                    </w:rPr>
                    <w:t>900-999-99</w:t>
                  </w:r>
                  <w:r>
                    <w:rPr>
                      <w:rFonts w:hint="default"/>
                      <w:color w:val="auto"/>
                      <w:sz w:val="21"/>
                      <w:szCs w:val="21"/>
                      <w:u w:val="single"/>
                    </w:rPr>
                    <w:t>）</w:t>
                  </w:r>
                </w:p>
              </w:tc>
              <w:tc>
                <w:tcPr>
                  <w:tcW w:w="725" w:type="pct"/>
                  <w:noWrap w:val="0"/>
                  <w:vAlign w:val="center"/>
                </w:tcPr>
                <w:p>
                  <w:pPr>
                    <w:pStyle w:val="37"/>
                    <w:rPr>
                      <w:rFonts w:hint="eastAsia"/>
                      <w:color w:val="auto"/>
                      <w:sz w:val="21"/>
                      <w:szCs w:val="21"/>
                      <w:u w:val="single"/>
                      <w:lang w:val="en-US" w:eastAsia="zh-CN"/>
                    </w:rPr>
                  </w:pPr>
                  <w:r>
                    <w:rPr>
                      <w:rFonts w:hint="eastAsia"/>
                      <w:color w:val="auto"/>
                      <w:sz w:val="21"/>
                      <w:szCs w:val="21"/>
                      <w:u w:val="single"/>
                      <w:lang w:val="en-US" w:eastAsia="zh-CN"/>
                    </w:rPr>
                    <w:t>10.5t/a</w:t>
                  </w:r>
                </w:p>
              </w:tc>
              <w:tc>
                <w:tcPr>
                  <w:tcW w:w="1459" w:type="pct"/>
                  <w:vMerge w:val="continue"/>
                  <w:noWrap w:val="0"/>
                  <w:vAlign w:val="center"/>
                </w:tcPr>
                <w:p>
                  <w:pPr>
                    <w:pStyle w:val="37"/>
                    <w:rPr>
                      <w:rFonts w:hint="eastAsia"/>
                      <w:color w:val="auto"/>
                      <w:sz w:val="21"/>
                      <w:szCs w:val="21"/>
                      <w:u w:val="single"/>
                      <w:lang w:val="en-US" w:eastAsia="zh-CN"/>
                    </w:rPr>
                  </w:pPr>
                </w:p>
              </w:tc>
              <w:tc>
                <w:tcPr>
                  <w:tcW w:w="555" w:type="pct"/>
                  <w:vMerge w:val="continue"/>
                  <w:noWrap w:val="0"/>
                  <w:vAlign w:val="center"/>
                </w:tcPr>
                <w:p>
                  <w:pPr>
                    <w:snapToGrid w:val="0"/>
                    <w:spacing w:before="62" w:after="109"/>
                    <w:ind w:firstLine="480"/>
                    <w:rPr>
                      <w:color w:val="auto"/>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7" w:type="pct"/>
                  <w:noWrap w:val="0"/>
                  <w:vAlign w:val="center"/>
                </w:tcPr>
                <w:p>
                  <w:pPr>
                    <w:pStyle w:val="37"/>
                    <w:rPr>
                      <w:rFonts w:hint="default"/>
                      <w:color w:val="000000"/>
                      <w:sz w:val="21"/>
                      <w:szCs w:val="21"/>
                      <w:u w:val="single"/>
                      <w:lang w:val="en-US" w:eastAsia="zh-CN"/>
                    </w:rPr>
                  </w:pPr>
                  <w:r>
                    <w:rPr>
                      <w:rFonts w:hint="eastAsia"/>
                      <w:color w:val="000000"/>
                      <w:sz w:val="21"/>
                      <w:szCs w:val="21"/>
                      <w:u w:val="single"/>
                      <w:lang w:val="en-US" w:eastAsia="zh-CN"/>
                    </w:rPr>
                    <w:t>废石英砂</w:t>
                  </w:r>
                </w:p>
              </w:tc>
              <w:tc>
                <w:tcPr>
                  <w:tcW w:w="1331" w:type="pct"/>
                  <w:noWrap w:val="0"/>
                  <w:vAlign w:val="center"/>
                </w:tcPr>
                <w:p>
                  <w:pPr>
                    <w:pStyle w:val="37"/>
                    <w:rPr>
                      <w:rFonts w:hint="default"/>
                      <w:color w:val="auto"/>
                      <w:sz w:val="21"/>
                      <w:szCs w:val="21"/>
                      <w:u w:val="single"/>
                    </w:rPr>
                  </w:pPr>
                  <w:r>
                    <w:rPr>
                      <w:rFonts w:hint="default"/>
                      <w:color w:val="auto"/>
                      <w:sz w:val="21"/>
                      <w:szCs w:val="21"/>
                      <w:u w:val="single"/>
                    </w:rPr>
                    <w:t>一般工业固废（类别代码</w:t>
                  </w:r>
                  <w:r>
                    <w:rPr>
                      <w:rFonts w:hint="eastAsia"/>
                      <w:color w:val="auto"/>
                      <w:sz w:val="21"/>
                      <w:szCs w:val="21"/>
                      <w:u w:val="single"/>
                      <w:lang w:val="en-US" w:eastAsia="zh-CN"/>
                    </w:rPr>
                    <w:t>900-999-99</w:t>
                  </w:r>
                  <w:r>
                    <w:rPr>
                      <w:rFonts w:hint="default"/>
                      <w:color w:val="auto"/>
                      <w:sz w:val="21"/>
                      <w:szCs w:val="21"/>
                      <w:u w:val="single"/>
                    </w:rPr>
                    <w:t>）</w:t>
                  </w:r>
                </w:p>
              </w:tc>
              <w:tc>
                <w:tcPr>
                  <w:tcW w:w="725" w:type="pct"/>
                  <w:noWrap w:val="0"/>
                  <w:vAlign w:val="center"/>
                </w:tcPr>
                <w:p>
                  <w:pPr>
                    <w:pStyle w:val="37"/>
                    <w:rPr>
                      <w:rFonts w:hint="eastAsia"/>
                      <w:color w:val="auto"/>
                      <w:sz w:val="21"/>
                      <w:szCs w:val="21"/>
                      <w:u w:val="single"/>
                      <w:lang w:val="en-US" w:eastAsia="zh-CN"/>
                    </w:rPr>
                  </w:pPr>
                  <w:r>
                    <w:rPr>
                      <w:rFonts w:hint="eastAsia"/>
                      <w:color w:val="auto"/>
                      <w:sz w:val="21"/>
                      <w:szCs w:val="21"/>
                      <w:u w:val="single"/>
                      <w:lang w:val="en-US" w:eastAsia="zh-CN"/>
                    </w:rPr>
                    <w:t>111t/a</w:t>
                  </w:r>
                </w:p>
              </w:tc>
              <w:tc>
                <w:tcPr>
                  <w:tcW w:w="1459" w:type="pct"/>
                  <w:vMerge w:val="continue"/>
                  <w:noWrap w:val="0"/>
                  <w:vAlign w:val="center"/>
                </w:tcPr>
                <w:p>
                  <w:pPr>
                    <w:pStyle w:val="37"/>
                    <w:rPr>
                      <w:rFonts w:hint="eastAsia"/>
                      <w:color w:val="auto"/>
                      <w:sz w:val="21"/>
                      <w:szCs w:val="21"/>
                      <w:u w:val="single"/>
                      <w:lang w:val="en-US" w:eastAsia="zh-CN"/>
                    </w:rPr>
                  </w:pPr>
                </w:p>
              </w:tc>
              <w:tc>
                <w:tcPr>
                  <w:tcW w:w="555" w:type="pct"/>
                  <w:vMerge w:val="continue"/>
                  <w:noWrap w:val="0"/>
                  <w:vAlign w:val="center"/>
                </w:tcPr>
                <w:p>
                  <w:pPr>
                    <w:snapToGrid w:val="0"/>
                    <w:spacing w:before="62" w:after="109"/>
                    <w:ind w:firstLine="480"/>
                    <w:rPr>
                      <w:color w:val="auto"/>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7" w:type="pct"/>
                  <w:noWrap w:val="0"/>
                  <w:vAlign w:val="center"/>
                </w:tcPr>
                <w:p>
                  <w:pPr>
                    <w:pStyle w:val="37"/>
                    <w:rPr>
                      <w:rFonts w:hint="eastAsia"/>
                      <w:color w:val="FF0000"/>
                      <w:sz w:val="21"/>
                      <w:szCs w:val="21"/>
                      <w:u w:val="single"/>
                      <w:lang w:val="en-US" w:eastAsia="zh-CN"/>
                    </w:rPr>
                  </w:pPr>
                  <w:r>
                    <w:rPr>
                      <w:rFonts w:hint="eastAsia"/>
                      <w:color w:val="FF0000"/>
                      <w:sz w:val="21"/>
                      <w:szCs w:val="21"/>
                      <w:u w:val="single"/>
                      <w:lang w:val="en-US" w:eastAsia="zh-CN"/>
                    </w:rPr>
                    <w:t>废反渗透膜</w:t>
                  </w:r>
                </w:p>
              </w:tc>
              <w:tc>
                <w:tcPr>
                  <w:tcW w:w="1331" w:type="pct"/>
                  <w:noWrap w:val="0"/>
                  <w:vAlign w:val="center"/>
                </w:tcPr>
                <w:p>
                  <w:pPr>
                    <w:pStyle w:val="37"/>
                    <w:rPr>
                      <w:rFonts w:hint="default"/>
                      <w:color w:val="FF0000"/>
                      <w:sz w:val="21"/>
                      <w:szCs w:val="21"/>
                      <w:u w:val="single"/>
                    </w:rPr>
                  </w:pPr>
                  <w:r>
                    <w:rPr>
                      <w:rFonts w:hint="default"/>
                      <w:color w:val="FF0000"/>
                      <w:sz w:val="21"/>
                      <w:szCs w:val="21"/>
                      <w:u w:val="single"/>
                    </w:rPr>
                    <w:t>一般工业固废（代码</w:t>
                  </w:r>
                  <w:r>
                    <w:rPr>
                      <w:rFonts w:hint="eastAsia"/>
                      <w:color w:val="FF0000"/>
                      <w:sz w:val="21"/>
                      <w:szCs w:val="21"/>
                      <w:u w:val="single"/>
                    </w:rPr>
                    <w:t>900-999-99</w:t>
                  </w:r>
                  <w:r>
                    <w:rPr>
                      <w:rFonts w:hint="default"/>
                      <w:color w:val="FF0000"/>
                      <w:sz w:val="21"/>
                      <w:szCs w:val="21"/>
                      <w:u w:val="single"/>
                    </w:rPr>
                    <w:t>）</w:t>
                  </w:r>
                </w:p>
              </w:tc>
              <w:tc>
                <w:tcPr>
                  <w:tcW w:w="725" w:type="pct"/>
                  <w:noWrap w:val="0"/>
                  <w:vAlign w:val="center"/>
                </w:tcPr>
                <w:p>
                  <w:pPr>
                    <w:pStyle w:val="37"/>
                    <w:rPr>
                      <w:rFonts w:hint="eastAsia"/>
                      <w:color w:val="FF0000"/>
                      <w:sz w:val="21"/>
                      <w:szCs w:val="21"/>
                      <w:u w:val="single"/>
                      <w:lang w:val="en-US" w:eastAsia="zh-CN"/>
                    </w:rPr>
                  </w:pPr>
                  <w:r>
                    <w:rPr>
                      <w:rFonts w:hint="eastAsia"/>
                      <w:color w:val="FF0000"/>
                      <w:sz w:val="21"/>
                      <w:szCs w:val="21"/>
                      <w:u w:val="single"/>
                      <w:lang w:val="en-US" w:eastAsia="zh-CN"/>
                    </w:rPr>
                    <w:t>0.02t/a</w:t>
                  </w:r>
                </w:p>
              </w:tc>
              <w:tc>
                <w:tcPr>
                  <w:tcW w:w="1459" w:type="pct"/>
                  <w:vMerge w:val="continue"/>
                  <w:noWrap w:val="0"/>
                  <w:vAlign w:val="center"/>
                </w:tcPr>
                <w:p>
                  <w:pPr>
                    <w:pStyle w:val="37"/>
                    <w:rPr>
                      <w:rFonts w:hint="eastAsia"/>
                      <w:color w:val="auto"/>
                      <w:sz w:val="21"/>
                      <w:szCs w:val="21"/>
                      <w:u w:val="single"/>
                      <w:lang w:val="en-US" w:eastAsia="zh-CN"/>
                    </w:rPr>
                  </w:pPr>
                </w:p>
              </w:tc>
              <w:tc>
                <w:tcPr>
                  <w:tcW w:w="555" w:type="pct"/>
                  <w:vMerge w:val="continue"/>
                  <w:noWrap w:val="0"/>
                  <w:vAlign w:val="center"/>
                </w:tcPr>
                <w:p>
                  <w:pPr>
                    <w:snapToGrid w:val="0"/>
                    <w:spacing w:before="62" w:after="109"/>
                    <w:ind w:firstLine="480"/>
                    <w:rPr>
                      <w:color w:val="auto"/>
                      <w:sz w:val="21"/>
                      <w:szCs w:val="21"/>
                      <w:u w:val="single"/>
                    </w:rPr>
                  </w:pPr>
                </w:p>
              </w:tc>
            </w:tr>
          </w:tbl>
          <w:p>
            <w:pPr>
              <w:pStyle w:val="36"/>
              <w:bidi w:val="0"/>
              <w:rPr>
                <w:b/>
                <w:bCs/>
              </w:rPr>
            </w:pPr>
            <w:r>
              <w:rPr>
                <w:b/>
                <w:bCs/>
              </w:rPr>
              <w:t>2、合理性分析</w:t>
            </w:r>
          </w:p>
          <w:p>
            <w:pPr>
              <w:pStyle w:val="36"/>
              <w:bidi w:val="0"/>
              <w:rPr>
                <w:color w:val="auto"/>
                <w:u w:val="none"/>
              </w:rPr>
            </w:pPr>
            <w:r>
              <w:rPr>
                <w:color w:val="auto"/>
                <w:u w:val="none"/>
              </w:rPr>
              <w:t>一般工业固废处置措施。</w:t>
            </w:r>
          </w:p>
          <w:p>
            <w:pPr>
              <w:pStyle w:val="36"/>
              <w:bidi w:val="0"/>
              <w:rPr>
                <w:color w:val="auto"/>
                <w:u w:val="none"/>
              </w:rPr>
            </w:pPr>
            <w:r>
              <w:rPr>
                <w:color w:val="auto"/>
                <w:u w:val="none"/>
              </w:rPr>
              <w:t>建设单位按照相关要求建立固体废物临时的堆放场地，不得随处堆放，固废临时贮存场应满足如下要求：</w:t>
            </w:r>
          </w:p>
          <w:p>
            <w:pPr>
              <w:pStyle w:val="36"/>
              <w:bidi w:val="0"/>
              <w:rPr>
                <w:color w:val="auto"/>
                <w:u w:val="none"/>
              </w:rPr>
            </w:pPr>
            <w:r>
              <w:rPr>
                <w:color w:val="auto"/>
                <w:u w:val="none"/>
              </w:rPr>
              <w:t>a</w:t>
            </w:r>
            <w:r>
              <w:rPr>
                <w:rFonts w:hint="eastAsia"/>
                <w:color w:val="auto"/>
                <w:u w:val="none"/>
                <w:lang w:eastAsia="zh-CN"/>
              </w:rPr>
              <w:t>、</w:t>
            </w:r>
            <w:r>
              <w:rPr>
                <w:color w:val="auto"/>
                <w:u w:val="none"/>
              </w:rPr>
              <w:t>地面应采取硬化措施并满足承载力要求，必要时采取相应措施防止地基下沉。</w:t>
            </w:r>
          </w:p>
          <w:p>
            <w:pPr>
              <w:pStyle w:val="36"/>
              <w:bidi w:val="0"/>
              <w:rPr>
                <w:color w:val="auto"/>
                <w:u w:val="none"/>
              </w:rPr>
            </w:pPr>
            <w:r>
              <w:rPr>
                <w:color w:val="auto"/>
                <w:u w:val="none"/>
              </w:rPr>
              <w:t>b</w:t>
            </w:r>
            <w:r>
              <w:rPr>
                <w:rFonts w:hint="eastAsia"/>
                <w:color w:val="auto"/>
                <w:u w:val="none"/>
                <w:lang w:eastAsia="zh-CN"/>
              </w:rPr>
              <w:t>、</w:t>
            </w:r>
            <w:r>
              <w:rPr>
                <w:color w:val="auto"/>
                <w:u w:val="none"/>
              </w:rPr>
              <w:t>要求设置必要的防风、防雨、防晒措施，堆放场周边应设置导流渠。</w:t>
            </w:r>
          </w:p>
          <w:p>
            <w:pPr>
              <w:pStyle w:val="36"/>
              <w:bidi w:val="0"/>
              <w:rPr>
                <w:color w:val="auto"/>
                <w:u w:val="none"/>
              </w:rPr>
            </w:pPr>
            <w:r>
              <w:rPr>
                <w:color w:val="auto"/>
                <w:u w:val="none"/>
              </w:rPr>
              <w:t>c</w:t>
            </w:r>
            <w:r>
              <w:rPr>
                <w:rFonts w:hint="eastAsia"/>
                <w:color w:val="auto"/>
                <w:u w:val="none"/>
                <w:lang w:eastAsia="zh-CN"/>
              </w:rPr>
              <w:t>、</w:t>
            </w:r>
            <w:r>
              <w:rPr>
                <w:color w:val="auto"/>
                <w:u w:val="none"/>
              </w:rPr>
              <w:t>按《环境保护图形标识—固体废物贮存（处置）场》（GB15562.2）要求设置环境保护图形标志。</w:t>
            </w:r>
          </w:p>
          <w:p>
            <w:pPr>
              <w:pStyle w:val="36"/>
              <w:bidi w:val="0"/>
              <w:rPr>
                <w:color w:val="auto"/>
                <w:u w:val="none"/>
              </w:rPr>
            </w:pPr>
            <w:r>
              <w:rPr>
                <w:color w:val="auto"/>
                <w:u w:val="none"/>
              </w:rPr>
              <w:t>综上所述，本项目固体废物处理处置符合国家《固体废物污染环境防治法》规定的原则，采取上述措施后，本工程固体废物可得到妥善的处理，对周围环境造成的影响很小。</w:t>
            </w:r>
          </w:p>
          <w:p>
            <w:pPr>
              <w:pStyle w:val="36"/>
              <w:bidi w:val="0"/>
              <w:rPr>
                <w:rFonts w:hint="default"/>
                <w:b/>
                <w:bCs/>
              </w:rPr>
            </w:pPr>
            <w:r>
              <w:rPr>
                <w:rFonts w:hint="eastAsia"/>
                <w:b/>
                <w:bCs/>
              </w:rPr>
              <w:t>五、地下水</w:t>
            </w:r>
            <w:r>
              <w:rPr>
                <w:rFonts w:hint="eastAsia"/>
                <w:b/>
                <w:bCs/>
                <w:lang w:eastAsia="zh-CN"/>
              </w:rPr>
              <w:t>、</w:t>
            </w:r>
            <w:r>
              <w:rPr>
                <w:rFonts w:hint="eastAsia"/>
                <w:b/>
                <w:bCs/>
                <w:lang w:val="en-US" w:eastAsia="zh-CN"/>
              </w:rPr>
              <w:t>土壤</w:t>
            </w:r>
            <w:r>
              <w:rPr>
                <w:rFonts w:hint="eastAsia"/>
                <w:b/>
                <w:bCs/>
              </w:rPr>
              <w:t>环境影响分析</w:t>
            </w:r>
          </w:p>
          <w:p>
            <w:pPr>
              <w:pStyle w:val="36"/>
              <w:bidi w:val="0"/>
              <w:rPr>
                <w:rFonts w:hint="eastAsia" w:eastAsia="宋体"/>
                <w:lang w:eastAsia="zh-CN"/>
              </w:rPr>
            </w:pPr>
            <w:r>
              <w:rPr>
                <w:rFonts w:hint="eastAsia" w:hAnsi="宋体"/>
                <w:color w:val="auto"/>
                <w:sz w:val="24"/>
                <w:szCs w:val="24"/>
                <w:u w:val="none"/>
                <w:lang w:val="en-US" w:eastAsia="zh-CN"/>
              </w:rPr>
              <w:t>本项目设置一般工业固废暂存场所，反洗水调节池、净水池、清水池、污水收集池和中和池已设置防渗措施；项目地面已硬化，在落实本评价提出的各类固废管理措施的情况下，无地面浸流、垂直入渗及其他可能造成土壤和地下水环境污染的途径，</w:t>
            </w:r>
            <w:r>
              <w:rPr>
                <w:rFonts w:hint="eastAsia" w:hAnsi="宋体"/>
                <w:color w:val="auto"/>
                <w:sz w:val="24"/>
                <w:szCs w:val="24"/>
                <w:u w:val="none"/>
              </w:rPr>
              <w:t>故本项目可不开展地下水</w:t>
            </w:r>
            <w:r>
              <w:rPr>
                <w:rFonts w:hint="eastAsia" w:hAnsi="宋体"/>
                <w:color w:val="auto"/>
                <w:sz w:val="24"/>
                <w:szCs w:val="24"/>
                <w:u w:val="none"/>
                <w:lang w:val="en-US" w:eastAsia="zh-CN"/>
              </w:rPr>
              <w:t>和土壤</w:t>
            </w:r>
            <w:r>
              <w:rPr>
                <w:rFonts w:hint="eastAsia" w:hAnsi="宋体"/>
                <w:color w:val="auto"/>
                <w:sz w:val="24"/>
                <w:szCs w:val="24"/>
                <w:u w:val="none"/>
              </w:rPr>
              <w:t>环境影响评价。</w:t>
            </w:r>
          </w:p>
          <w:p>
            <w:pPr>
              <w:pStyle w:val="36"/>
              <w:bidi w:val="0"/>
              <w:rPr>
                <w:b/>
                <w:bCs/>
              </w:rPr>
            </w:pPr>
            <w:r>
              <w:rPr>
                <w:rFonts w:hint="eastAsia"/>
                <w:b/>
                <w:bCs/>
                <w:lang w:val="en-US" w:eastAsia="zh-CN"/>
              </w:rPr>
              <w:t>六</w:t>
            </w:r>
            <w:r>
              <w:rPr>
                <w:b/>
                <w:bCs/>
              </w:rPr>
              <w:t>、环境风险</w:t>
            </w:r>
          </w:p>
          <w:p>
            <w:pPr>
              <w:pStyle w:val="36"/>
              <w:bidi w:val="0"/>
              <w:rPr>
                <w:b/>
                <w:bCs/>
              </w:rPr>
            </w:pPr>
            <w:r>
              <w:rPr>
                <w:b/>
                <w:bCs/>
              </w:rPr>
              <w:t>1、评价依据</w:t>
            </w:r>
          </w:p>
          <w:p>
            <w:pPr>
              <w:pStyle w:val="36"/>
              <w:bidi w:val="0"/>
              <w:rPr>
                <w:rFonts w:hint="eastAsia"/>
                <w:lang w:val="en-US" w:eastAsia="zh-CN"/>
              </w:rPr>
            </w:pPr>
            <w:r>
              <w:rPr>
                <w:rFonts w:hint="eastAsia"/>
                <w:lang w:val="en-US" w:eastAsia="zh-CN"/>
              </w:rPr>
              <w:t>环境风险评价的目的是分析和预测建设项目存在的潜在危险、有害因素，建设项目建设和运行期间可能发生的突发性事件或事故（一般不包括人为破坏或自然灾害），引起有毒有害易燃易爆等物质泄漏，所造成的人身安全与环境影响和损害程度。提出合理可行的防范、应急与减缓措施，以使建设项目事故率、损失和环境影响达到可接受水平。</w:t>
            </w:r>
          </w:p>
          <w:p>
            <w:pPr>
              <w:pStyle w:val="36"/>
              <w:bidi w:val="0"/>
            </w:pPr>
            <w:r>
              <w:rPr>
                <w:rFonts w:hint="eastAsia"/>
                <w:lang w:val="en-US" w:eastAsia="zh-CN"/>
              </w:rPr>
              <w:t>环境风险评价应把事故引起的厂（场）界外人群的伤害、环境质量影响的预测和防护作为评价工作重点。</w:t>
            </w:r>
          </w:p>
          <w:p>
            <w:pPr>
              <w:pStyle w:val="36"/>
              <w:bidi w:val="0"/>
            </w:pPr>
            <w:r>
              <w:t>（1）风险识别</w:t>
            </w:r>
          </w:p>
          <w:p>
            <w:pPr>
              <w:pStyle w:val="60"/>
              <w:ind w:firstLine="480"/>
              <w:rPr>
                <w:rFonts w:hint="default" w:ascii="Times New Roman" w:hAnsi="Times New Roman" w:cs="Times New Roman"/>
                <w:color w:val="auto"/>
                <w:u w:val="none"/>
              </w:rPr>
            </w:pPr>
            <w:r>
              <w:rPr>
                <w:rFonts w:hint="default" w:ascii="Times New Roman" w:hAnsi="Times New Roman" w:cs="Times New Roman"/>
                <w:color w:val="auto"/>
                <w:u w:val="none"/>
              </w:rPr>
              <w:t>物质危险性识别</w:t>
            </w:r>
            <w:r>
              <w:rPr>
                <w:rFonts w:hint="default" w:ascii="Times New Roman" w:hAnsi="Times New Roman" w:cs="Times New Roman"/>
                <w:color w:val="auto"/>
                <w:u w:val="none"/>
                <w:lang w:eastAsia="zh-CN"/>
              </w:rPr>
              <w:t>范围</w:t>
            </w:r>
            <w:r>
              <w:rPr>
                <w:rFonts w:hint="default" w:ascii="Times New Roman" w:hAnsi="Times New Roman" w:cs="Times New Roman"/>
                <w:color w:val="auto"/>
                <w:u w:val="none"/>
              </w:rPr>
              <w:t>包括主要原辅材料、燃料、中间产品、副产品、最终产品、污染物、火灾和爆炸伴生、次生物等。本项目使用各种原辅材料中危险物质主要为</w:t>
            </w:r>
            <w:r>
              <w:rPr>
                <w:rFonts w:hint="eastAsia" w:ascii="Times New Roman" w:hAnsi="Times New Roman" w:cs="Times New Roman"/>
                <w:color w:val="auto"/>
                <w:u w:val="none"/>
                <w:lang w:val="en-US" w:eastAsia="zh-CN"/>
              </w:rPr>
              <w:t>盐酸、氢氧化钠和氨水</w:t>
            </w:r>
            <w:r>
              <w:rPr>
                <w:rFonts w:hint="default" w:ascii="Times New Roman" w:hAnsi="Times New Roman" w:cs="Times New Roman"/>
                <w:color w:val="auto"/>
                <w:u w:val="none"/>
              </w:rPr>
              <w:t>。</w:t>
            </w:r>
          </w:p>
          <w:p>
            <w:pPr>
              <w:pStyle w:val="60"/>
              <w:ind w:firstLine="480"/>
              <w:rPr>
                <w:rFonts w:hint="default" w:ascii="Times New Roman" w:hAnsi="Times New Roman" w:cs="Times New Roman"/>
                <w:color w:val="auto"/>
                <w:u w:val="none"/>
              </w:rPr>
            </w:pPr>
            <w:r>
              <w:rPr>
                <w:rFonts w:hint="default" w:ascii="Times New Roman" w:hAnsi="Times New Roman" w:cs="Times New Roman"/>
                <w:color w:val="auto"/>
                <w:u w:val="none"/>
              </w:rPr>
              <w:t>本项目主要涉及的环境风险物质种类、储存数量、储存位置、储存方式以及与临界量比值（Q）详见下表。</w:t>
            </w:r>
          </w:p>
          <w:p>
            <w:pPr>
              <w:pStyle w:val="33"/>
            </w:pPr>
            <w:r>
              <w:t>表4-</w:t>
            </w:r>
            <w:r>
              <w:rPr>
                <w:rFonts w:hint="eastAsia"/>
                <w:lang w:val="en-US" w:eastAsia="zh-CN"/>
              </w:rPr>
              <w:t>9</w:t>
            </w:r>
            <w:r>
              <w:t xml:space="preserve"> 涉及的风险物质及Q值计算一览表</w:t>
            </w:r>
          </w:p>
          <w:tbl>
            <w:tblPr>
              <w:tblStyle w:val="22"/>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
            <w:tblGrid>
              <w:gridCol w:w="495"/>
              <w:gridCol w:w="949"/>
              <w:gridCol w:w="2666"/>
              <w:gridCol w:w="1098"/>
              <w:gridCol w:w="1017"/>
              <w:gridCol w:w="858"/>
              <w:gridCol w:w="9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90" w:hRule="atLeast"/>
                <w:jc w:val="center"/>
              </w:trPr>
              <w:tc>
                <w:tcPr>
                  <w:tcW w:w="306" w:type="pct"/>
                  <w:tcBorders>
                    <w:top w:val="single" w:color="auto" w:sz="12" w:space="0"/>
                    <w:left w:val="single" w:color="auto" w:sz="12" w:space="0"/>
                    <w:bottom w:val="single" w:color="auto" w:sz="6" w:space="0"/>
                    <w:right w:val="single" w:color="auto" w:sz="6" w:space="0"/>
                  </w:tcBorders>
                  <w:noWrap w:val="0"/>
                  <w:vAlign w:val="center"/>
                </w:tcPr>
                <w:p>
                  <w:pPr>
                    <w:pStyle w:val="37"/>
                    <w:rPr>
                      <w:rFonts w:hint="default"/>
                      <w:i w:val="0"/>
                      <w:iCs w:val="0"/>
                      <w:color w:val="auto"/>
                      <w:sz w:val="21"/>
                      <w:szCs w:val="21"/>
                      <w:u w:val="none"/>
                    </w:rPr>
                  </w:pPr>
                  <w:r>
                    <w:rPr>
                      <w:rFonts w:hint="default"/>
                      <w:i w:val="0"/>
                      <w:iCs w:val="0"/>
                      <w:color w:val="auto"/>
                      <w:sz w:val="21"/>
                      <w:szCs w:val="21"/>
                      <w:u w:val="none"/>
                    </w:rPr>
                    <w:t>序号</w:t>
                  </w:r>
                </w:p>
              </w:tc>
              <w:tc>
                <w:tcPr>
                  <w:tcW w:w="587" w:type="pct"/>
                  <w:tcBorders>
                    <w:top w:val="single" w:color="auto" w:sz="12" w:space="0"/>
                    <w:left w:val="single" w:color="auto" w:sz="6" w:space="0"/>
                    <w:bottom w:val="single" w:color="auto" w:sz="6" w:space="0"/>
                    <w:right w:val="single" w:color="auto" w:sz="6" w:space="0"/>
                  </w:tcBorders>
                  <w:noWrap w:val="0"/>
                  <w:vAlign w:val="center"/>
                </w:tcPr>
                <w:p>
                  <w:pPr>
                    <w:pStyle w:val="37"/>
                    <w:rPr>
                      <w:rFonts w:hint="default"/>
                      <w:i w:val="0"/>
                      <w:iCs w:val="0"/>
                      <w:color w:val="auto"/>
                      <w:sz w:val="21"/>
                      <w:szCs w:val="21"/>
                      <w:u w:val="none"/>
                    </w:rPr>
                  </w:pPr>
                  <w:r>
                    <w:rPr>
                      <w:rFonts w:hint="default"/>
                      <w:i w:val="0"/>
                      <w:iCs w:val="0"/>
                      <w:color w:val="auto"/>
                      <w:sz w:val="21"/>
                      <w:szCs w:val="21"/>
                      <w:u w:val="none"/>
                    </w:rPr>
                    <w:t>名称</w:t>
                  </w:r>
                </w:p>
              </w:tc>
              <w:tc>
                <w:tcPr>
                  <w:tcW w:w="1649" w:type="pct"/>
                  <w:tcBorders>
                    <w:top w:val="single" w:color="auto" w:sz="12" w:space="0"/>
                    <w:left w:val="single" w:color="auto" w:sz="6" w:space="0"/>
                    <w:bottom w:val="single" w:color="auto" w:sz="6" w:space="0"/>
                    <w:right w:val="single" w:color="auto" w:sz="6" w:space="0"/>
                  </w:tcBorders>
                  <w:noWrap w:val="0"/>
                  <w:vAlign w:val="center"/>
                </w:tcPr>
                <w:p>
                  <w:pPr>
                    <w:pStyle w:val="37"/>
                    <w:rPr>
                      <w:rFonts w:hint="default"/>
                      <w:i w:val="0"/>
                      <w:iCs w:val="0"/>
                      <w:color w:val="auto"/>
                      <w:sz w:val="21"/>
                      <w:szCs w:val="21"/>
                      <w:u w:val="none"/>
                    </w:rPr>
                  </w:pPr>
                  <w:r>
                    <w:rPr>
                      <w:rFonts w:hint="default"/>
                      <w:i w:val="0"/>
                      <w:iCs w:val="0"/>
                      <w:color w:val="auto"/>
                      <w:sz w:val="21"/>
                      <w:szCs w:val="21"/>
                      <w:u w:val="none"/>
                    </w:rPr>
                    <w:t>危害特性</w:t>
                  </w:r>
                </w:p>
              </w:tc>
              <w:tc>
                <w:tcPr>
                  <w:tcW w:w="679" w:type="pct"/>
                  <w:tcBorders>
                    <w:top w:val="single" w:color="auto" w:sz="12" w:space="0"/>
                    <w:left w:val="single" w:color="auto" w:sz="6" w:space="0"/>
                    <w:bottom w:val="single" w:color="auto" w:sz="6" w:space="0"/>
                    <w:right w:val="single" w:color="auto" w:sz="6" w:space="0"/>
                  </w:tcBorders>
                  <w:noWrap w:val="0"/>
                  <w:vAlign w:val="center"/>
                </w:tcPr>
                <w:p>
                  <w:pPr>
                    <w:pStyle w:val="37"/>
                    <w:rPr>
                      <w:rFonts w:hint="default"/>
                      <w:i w:val="0"/>
                      <w:iCs w:val="0"/>
                      <w:color w:val="auto"/>
                      <w:sz w:val="21"/>
                      <w:szCs w:val="21"/>
                      <w:u w:val="none"/>
                    </w:rPr>
                  </w:pPr>
                  <w:r>
                    <w:rPr>
                      <w:rFonts w:hint="default"/>
                      <w:i w:val="0"/>
                      <w:iCs w:val="0"/>
                      <w:color w:val="auto"/>
                      <w:sz w:val="21"/>
                      <w:szCs w:val="21"/>
                      <w:u w:val="none"/>
                    </w:rPr>
                    <w:t>贮存方式</w:t>
                  </w:r>
                </w:p>
              </w:tc>
              <w:tc>
                <w:tcPr>
                  <w:tcW w:w="629" w:type="pct"/>
                  <w:tcBorders>
                    <w:top w:val="single" w:color="auto" w:sz="12" w:space="0"/>
                    <w:left w:val="single" w:color="auto" w:sz="6" w:space="0"/>
                    <w:bottom w:val="single" w:color="auto" w:sz="6" w:space="0"/>
                    <w:right w:val="single" w:color="auto" w:sz="6" w:space="0"/>
                  </w:tcBorders>
                  <w:noWrap w:val="0"/>
                  <w:vAlign w:val="center"/>
                </w:tcPr>
                <w:p>
                  <w:pPr>
                    <w:pStyle w:val="37"/>
                    <w:rPr>
                      <w:rFonts w:hint="default"/>
                      <w:i w:val="0"/>
                      <w:iCs w:val="0"/>
                      <w:color w:val="auto"/>
                      <w:sz w:val="21"/>
                      <w:szCs w:val="21"/>
                      <w:u w:val="none"/>
                    </w:rPr>
                  </w:pPr>
                  <w:r>
                    <w:rPr>
                      <w:rFonts w:hint="default"/>
                      <w:i w:val="0"/>
                      <w:iCs w:val="0"/>
                      <w:color w:val="auto"/>
                      <w:sz w:val="21"/>
                      <w:szCs w:val="21"/>
                      <w:u w:val="none"/>
                    </w:rPr>
                    <w:t>最大贮存量qi</w:t>
                  </w:r>
                </w:p>
              </w:tc>
              <w:tc>
                <w:tcPr>
                  <w:tcW w:w="530" w:type="pct"/>
                  <w:tcBorders>
                    <w:top w:val="single" w:color="auto" w:sz="12" w:space="0"/>
                    <w:left w:val="single" w:color="auto" w:sz="6" w:space="0"/>
                    <w:bottom w:val="single" w:color="auto" w:sz="6" w:space="0"/>
                    <w:right w:val="single" w:color="auto" w:sz="6" w:space="0"/>
                  </w:tcBorders>
                  <w:noWrap w:val="0"/>
                  <w:vAlign w:val="center"/>
                </w:tcPr>
                <w:p>
                  <w:pPr>
                    <w:pStyle w:val="37"/>
                    <w:rPr>
                      <w:rFonts w:hint="default"/>
                      <w:i w:val="0"/>
                      <w:iCs w:val="0"/>
                      <w:color w:val="auto"/>
                      <w:sz w:val="21"/>
                      <w:szCs w:val="21"/>
                      <w:u w:val="none"/>
                    </w:rPr>
                  </w:pPr>
                  <w:r>
                    <w:rPr>
                      <w:rFonts w:hint="default"/>
                      <w:i w:val="0"/>
                      <w:iCs w:val="0"/>
                      <w:color w:val="auto"/>
                      <w:sz w:val="21"/>
                      <w:szCs w:val="21"/>
                      <w:u w:val="none"/>
                    </w:rPr>
                    <w:t>临界量Qi</w:t>
                  </w:r>
                </w:p>
              </w:tc>
              <w:tc>
                <w:tcPr>
                  <w:tcW w:w="618" w:type="pct"/>
                  <w:tcBorders>
                    <w:top w:val="single" w:color="auto" w:sz="12" w:space="0"/>
                    <w:left w:val="single" w:color="auto" w:sz="6" w:space="0"/>
                    <w:bottom w:val="single" w:color="auto" w:sz="6" w:space="0"/>
                    <w:right w:val="single" w:color="auto" w:sz="12" w:space="0"/>
                  </w:tcBorders>
                  <w:noWrap w:val="0"/>
                  <w:vAlign w:val="center"/>
                </w:tcPr>
                <w:p>
                  <w:pPr>
                    <w:pStyle w:val="37"/>
                    <w:rPr>
                      <w:rFonts w:hint="default"/>
                      <w:i w:val="0"/>
                      <w:iCs w:val="0"/>
                      <w:color w:val="auto"/>
                      <w:sz w:val="21"/>
                      <w:szCs w:val="21"/>
                      <w:u w:val="none"/>
                    </w:rPr>
                  </w:pPr>
                  <w:r>
                    <w:rPr>
                      <w:rFonts w:hint="default"/>
                      <w:i w:val="0"/>
                      <w:iCs w:val="0"/>
                      <w:color w:val="auto"/>
                      <w:sz w:val="21"/>
                      <w:szCs w:val="21"/>
                      <w:u w:val="none"/>
                    </w:rPr>
                    <w:t>qi/Qi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306" w:type="pct"/>
                  <w:tcBorders>
                    <w:top w:val="single" w:color="auto" w:sz="6" w:space="0"/>
                    <w:left w:val="single" w:color="auto" w:sz="12" w:space="0"/>
                    <w:bottom w:val="single" w:color="auto" w:sz="6" w:space="0"/>
                    <w:right w:val="single" w:color="auto" w:sz="6" w:space="0"/>
                  </w:tcBorders>
                  <w:noWrap w:val="0"/>
                  <w:vAlign w:val="center"/>
                </w:tcPr>
                <w:p>
                  <w:pPr>
                    <w:pStyle w:val="37"/>
                    <w:rPr>
                      <w:rFonts w:hint="eastAsia" w:eastAsia="宋体"/>
                      <w:i w:val="0"/>
                      <w:iCs w:val="0"/>
                      <w:color w:val="auto"/>
                      <w:sz w:val="21"/>
                      <w:szCs w:val="21"/>
                      <w:u w:val="none"/>
                      <w:lang w:val="en-US" w:eastAsia="zh-CN"/>
                    </w:rPr>
                  </w:pPr>
                  <w:r>
                    <w:rPr>
                      <w:rFonts w:hint="eastAsia"/>
                      <w:i w:val="0"/>
                      <w:iCs w:val="0"/>
                      <w:color w:val="auto"/>
                      <w:sz w:val="21"/>
                      <w:szCs w:val="21"/>
                      <w:u w:val="none"/>
                      <w:lang w:val="en-US" w:eastAsia="zh-CN"/>
                    </w:rPr>
                    <w:t>1</w:t>
                  </w:r>
                </w:p>
              </w:tc>
              <w:tc>
                <w:tcPr>
                  <w:tcW w:w="587" w:type="pct"/>
                  <w:tcBorders>
                    <w:top w:val="single" w:color="auto" w:sz="6" w:space="0"/>
                    <w:left w:val="single" w:color="auto" w:sz="6" w:space="0"/>
                    <w:bottom w:val="single" w:color="auto" w:sz="6" w:space="0"/>
                    <w:right w:val="single" w:color="auto" w:sz="6" w:space="0"/>
                  </w:tcBorders>
                  <w:noWrap w:val="0"/>
                  <w:vAlign w:val="center"/>
                </w:tcPr>
                <w:p>
                  <w:pPr>
                    <w:pStyle w:val="37"/>
                    <w:rPr>
                      <w:rFonts w:hint="default" w:eastAsia="宋体"/>
                      <w:i w:val="0"/>
                      <w:iCs w:val="0"/>
                      <w:color w:val="auto"/>
                      <w:sz w:val="21"/>
                      <w:szCs w:val="21"/>
                      <w:u w:val="none"/>
                      <w:lang w:val="en-US" w:eastAsia="zh-CN"/>
                    </w:rPr>
                  </w:pPr>
                  <w:r>
                    <w:rPr>
                      <w:rFonts w:hint="eastAsia"/>
                      <w:i w:val="0"/>
                      <w:iCs w:val="0"/>
                      <w:color w:val="auto"/>
                      <w:sz w:val="21"/>
                      <w:szCs w:val="21"/>
                      <w:u w:val="none"/>
                      <w:lang w:val="en-US" w:eastAsia="zh-CN"/>
                    </w:rPr>
                    <w:t>盐酸</w:t>
                  </w:r>
                </w:p>
              </w:tc>
              <w:tc>
                <w:tcPr>
                  <w:tcW w:w="1649" w:type="pct"/>
                  <w:tcBorders>
                    <w:top w:val="single" w:color="auto" w:sz="6" w:space="0"/>
                    <w:left w:val="single" w:color="auto" w:sz="6" w:space="0"/>
                    <w:bottom w:val="single" w:color="auto" w:sz="6" w:space="0"/>
                    <w:right w:val="single" w:color="auto" w:sz="6" w:space="0"/>
                  </w:tcBorders>
                  <w:noWrap w:val="0"/>
                  <w:vAlign w:val="center"/>
                </w:tcPr>
                <w:p>
                  <w:pPr>
                    <w:pStyle w:val="37"/>
                    <w:rPr>
                      <w:rFonts w:hint="default"/>
                      <w:i w:val="0"/>
                      <w:iCs w:val="0"/>
                      <w:color w:val="auto"/>
                      <w:sz w:val="21"/>
                      <w:szCs w:val="21"/>
                      <w:u w:val="none"/>
                    </w:rPr>
                  </w:pPr>
                  <w:r>
                    <w:rPr>
                      <w:rFonts w:hint="eastAsia"/>
                      <w:color w:val="auto"/>
                      <w:lang w:val="en-US" w:eastAsia="zh-CN"/>
                    </w:rPr>
                    <w:t>腐蚀性液体</w:t>
                  </w:r>
                </w:p>
              </w:tc>
              <w:tc>
                <w:tcPr>
                  <w:tcW w:w="679" w:type="pct"/>
                  <w:tcBorders>
                    <w:top w:val="single" w:color="auto" w:sz="6" w:space="0"/>
                    <w:left w:val="single" w:color="auto" w:sz="6" w:space="0"/>
                    <w:bottom w:val="single" w:color="auto" w:sz="6" w:space="0"/>
                    <w:right w:val="single" w:color="auto" w:sz="6" w:space="0"/>
                  </w:tcBorders>
                  <w:noWrap w:val="0"/>
                  <w:vAlign w:val="center"/>
                </w:tcPr>
                <w:p>
                  <w:pPr>
                    <w:pStyle w:val="37"/>
                    <w:rPr>
                      <w:rFonts w:hint="default"/>
                      <w:i w:val="0"/>
                      <w:iCs w:val="0"/>
                      <w:color w:val="auto"/>
                      <w:sz w:val="21"/>
                      <w:szCs w:val="21"/>
                      <w:u w:val="none"/>
                    </w:rPr>
                  </w:pPr>
                  <w:r>
                    <w:rPr>
                      <w:rFonts w:hint="eastAsia" w:ascii="宋体" w:hAnsi="宋体" w:eastAsia="宋体" w:cs="宋体"/>
                      <w:bCs/>
                      <w:color w:val="auto"/>
                      <w:sz w:val="21"/>
                      <w:szCs w:val="21"/>
                      <w:lang w:val="en-US" w:eastAsia="zh-CN"/>
                    </w:rPr>
                    <w:t>罐储</w:t>
                  </w:r>
                </w:p>
              </w:tc>
              <w:tc>
                <w:tcPr>
                  <w:tcW w:w="629" w:type="pct"/>
                  <w:tcBorders>
                    <w:top w:val="single" w:color="auto" w:sz="6" w:space="0"/>
                    <w:left w:val="single" w:color="auto" w:sz="6" w:space="0"/>
                    <w:bottom w:val="single" w:color="auto" w:sz="6" w:space="0"/>
                    <w:right w:val="single" w:color="auto" w:sz="6" w:space="0"/>
                  </w:tcBorders>
                  <w:noWrap w:val="0"/>
                  <w:vAlign w:val="center"/>
                </w:tcPr>
                <w:p>
                  <w:pPr>
                    <w:pStyle w:val="37"/>
                    <w:rPr>
                      <w:rFonts w:hint="default" w:eastAsia="宋体"/>
                      <w:i w:val="0"/>
                      <w:iCs w:val="0"/>
                      <w:color w:val="auto"/>
                      <w:sz w:val="21"/>
                      <w:szCs w:val="21"/>
                      <w:u w:val="none"/>
                      <w:lang w:val="en-US" w:eastAsia="zh-CN"/>
                    </w:rPr>
                  </w:pPr>
                  <w:r>
                    <w:rPr>
                      <w:rFonts w:hint="eastAsia"/>
                      <w:i w:val="0"/>
                      <w:iCs w:val="0"/>
                      <w:color w:val="auto"/>
                      <w:sz w:val="21"/>
                      <w:szCs w:val="21"/>
                      <w:u w:val="none"/>
                      <w:lang w:val="en-US" w:eastAsia="zh-CN"/>
                    </w:rPr>
                    <w:t>0.94t</w:t>
                  </w:r>
                </w:p>
              </w:tc>
              <w:tc>
                <w:tcPr>
                  <w:tcW w:w="530" w:type="pct"/>
                  <w:tcBorders>
                    <w:top w:val="single" w:color="auto" w:sz="6" w:space="0"/>
                    <w:left w:val="single" w:color="auto" w:sz="6" w:space="0"/>
                    <w:bottom w:val="single" w:color="auto" w:sz="6" w:space="0"/>
                    <w:right w:val="single" w:color="auto" w:sz="6" w:space="0"/>
                  </w:tcBorders>
                  <w:noWrap w:val="0"/>
                  <w:vAlign w:val="center"/>
                </w:tcPr>
                <w:p>
                  <w:pPr>
                    <w:pStyle w:val="37"/>
                    <w:rPr>
                      <w:rFonts w:hint="default" w:eastAsia="宋体"/>
                      <w:i w:val="0"/>
                      <w:iCs w:val="0"/>
                      <w:color w:val="auto"/>
                      <w:sz w:val="21"/>
                      <w:szCs w:val="21"/>
                      <w:u w:val="none"/>
                      <w:lang w:val="en-US" w:eastAsia="zh-CN"/>
                    </w:rPr>
                  </w:pPr>
                  <w:r>
                    <w:rPr>
                      <w:rFonts w:hint="eastAsia"/>
                      <w:i w:val="0"/>
                      <w:iCs w:val="0"/>
                      <w:color w:val="auto"/>
                      <w:sz w:val="21"/>
                      <w:szCs w:val="21"/>
                      <w:u w:val="none"/>
                      <w:lang w:val="en-US" w:eastAsia="zh-CN"/>
                    </w:rPr>
                    <w:t>7.5t</w:t>
                  </w:r>
                </w:p>
              </w:tc>
              <w:tc>
                <w:tcPr>
                  <w:tcW w:w="618" w:type="pct"/>
                  <w:tcBorders>
                    <w:top w:val="single" w:color="auto" w:sz="6" w:space="0"/>
                    <w:left w:val="single" w:color="auto" w:sz="6" w:space="0"/>
                    <w:bottom w:val="single" w:color="auto" w:sz="6" w:space="0"/>
                    <w:right w:val="single" w:color="auto" w:sz="12" w:space="0"/>
                  </w:tcBorders>
                  <w:noWrap w:val="0"/>
                  <w:vAlign w:val="center"/>
                </w:tcPr>
                <w:p>
                  <w:pPr>
                    <w:pStyle w:val="37"/>
                    <w:rPr>
                      <w:rFonts w:hint="default" w:eastAsia="宋体"/>
                      <w:i w:val="0"/>
                      <w:iCs w:val="0"/>
                      <w:color w:val="auto"/>
                      <w:sz w:val="21"/>
                      <w:szCs w:val="21"/>
                      <w:u w:val="none"/>
                      <w:lang w:val="en-US" w:eastAsia="zh-CN"/>
                    </w:rPr>
                  </w:pPr>
                  <w:r>
                    <w:rPr>
                      <w:rFonts w:hint="eastAsia"/>
                      <w:i w:val="0"/>
                      <w:iCs w:val="0"/>
                      <w:color w:val="auto"/>
                      <w:sz w:val="21"/>
                      <w:szCs w:val="21"/>
                      <w:u w:val="none"/>
                      <w:lang w:val="en-US" w:eastAsia="zh-CN"/>
                    </w:rPr>
                    <w:t>0.1253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306" w:type="pct"/>
                  <w:tcBorders>
                    <w:top w:val="single" w:color="auto" w:sz="6" w:space="0"/>
                    <w:left w:val="single" w:color="auto" w:sz="12" w:space="0"/>
                    <w:bottom w:val="single" w:color="auto" w:sz="6" w:space="0"/>
                    <w:right w:val="single" w:color="auto" w:sz="6" w:space="0"/>
                  </w:tcBorders>
                  <w:noWrap w:val="0"/>
                  <w:vAlign w:val="center"/>
                </w:tcPr>
                <w:p>
                  <w:pPr>
                    <w:pStyle w:val="37"/>
                    <w:rPr>
                      <w:rFonts w:hint="default"/>
                      <w:i w:val="0"/>
                      <w:iCs w:val="0"/>
                      <w:color w:val="auto"/>
                      <w:sz w:val="21"/>
                      <w:szCs w:val="21"/>
                      <w:u w:val="none"/>
                      <w:lang w:val="en-US" w:eastAsia="zh-CN"/>
                    </w:rPr>
                  </w:pPr>
                  <w:r>
                    <w:rPr>
                      <w:rFonts w:hint="eastAsia"/>
                      <w:i w:val="0"/>
                      <w:iCs w:val="0"/>
                      <w:color w:val="auto"/>
                      <w:sz w:val="21"/>
                      <w:szCs w:val="21"/>
                      <w:u w:val="none"/>
                      <w:lang w:val="en-US" w:eastAsia="zh-CN"/>
                    </w:rPr>
                    <w:t>2</w:t>
                  </w:r>
                </w:p>
              </w:tc>
              <w:tc>
                <w:tcPr>
                  <w:tcW w:w="587" w:type="pct"/>
                  <w:tcBorders>
                    <w:top w:val="single" w:color="auto" w:sz="6" w:space="0"/>
                    <w:left w:val="single" w:color="auto" w:sz="6" w:space="0"/>
                    <w:bottom w:val="single" w:color="auto" w:sz="6" w:space="0"/>
                    <w:right w:val="single" w:color="auto" w:sz="6" w:space="0"/>
                  </w:tcBorders>
                  <w:noWrap w:val="0"/>
                  <w:vAlign w:val="center"/>
                </w:tcPr>
                <w:p>
                  <w:pPr>
                    <w:pStyle w:val="37"/>
                    <w:rPr>
                      <w:rFonts w:hint="default"/>
                      <w:i w:val="0"/>
                      <w:iCs w:val="0"/>
                      <w:color w:val="auto"/>
                      <w:sz w:val="21"/>
                      <w:szCs w:val="21"/>
                      <w:u w:val="none"/>
                      <w:lang w:val="en-US" w:eastAsia="zh-CN"/>
                    </w:rPr>
                  </w:pPr>
                  <w:r>
                    <w:rPr>
                      <w:rFonts w:hint="eastAsia"/>
                      <w:i w:val="0"/>
                      <w:iCs w:val="0"/>
                      <w:color w:val="auto"/>
                      <w:sz w:val="21"/>
                      <w:szCs w:val="21"/>
                      <w:u w:val="none"/>
                      <w:lang w:val="en-US" w:eastAsia="zh-CN"/>
                    </w:rPr>
                    <w:t>氢氧化钠</w:t>
                  </w:r>
                </w:p>
              </w:tc>
              <w:tc>
                <w:tcPr>
                  <w:tcW w:w="1649" w:type="pct"/>
                  <w:tcBorders>
                    <w:top w:val="single" w:color="auto" w:sz="6" w:space="0"/>
                    <w:left w:val="single" w:color="auto" w:sz="6" w:space="0"/>
                    <w:bottom w:val="single" w:color="auto" w:sz="6" w:space="0"/>
                    <w:right w:val="single" w:color="auto" w:sz="6" w:space="0"/>
                  </w:tcBorders>
                  <w:noWrap w:val="0"/>
                  <w:vAlign w:val="center"/>
                </w:tcPr>
                <w:p>
                  <w:pPr>
                    <w:pStyle w:val="37"/>
                    <w:rPr>
                      <w:rFonts w:hint="default"/>
                      <w:i w:val="0"/>
                      <w:iCs w:val="0"/>
                      <w:color w:val="auto"/>
                      <w:sz w:val="21"/>
                      <w:szCs w:val="21"/>
                      <w:u w:val="none"/>
                    </w:rPr>
                  </w:pPr>
                  <w:r>
                    <w:rPr>
                      <w:rFonts w:hint="eastAsia"/>
                      <w:color w:val="auto"/>
                      <w:lang w:val="en-US" w:eastAsia="zh-CN"/>
                    </w:rPr>
                    <w:t>腐蚀性液体</w:t>
                  </w:r>
                </w:p>
              </w:tc>
              <w:tc>
                <w:tcPr>
                  <w:tcW w:w="679" w:type="pct"/>
                  <w:tcBorders>
                    <w:top w:val="single" w:color="auto" w:sz="6" w:space="0"/>
                    <w:left w:val="single" w:color="auto" w:sz="6" w:space="0"/>
                    <w:bottom w:val="single" w:color="auto" w:sz="6" w:space="0"/>
                    <w:right w:val="single" w:color="auto" w:sz="6" w:space="0"/>
                  </w:tcBorders>
                  <w:noWrap w:val="0"/>
                  <w:vAlign w:val="center"/>
                </w:tcPr>
                <w:p>
                  <w:pPr>
                    <w:pStyle w:val="37"/>
                    <w:rPr>
                      <w:rFonts w:hint="default"/>
                      <w:i w:val="0"/>
                      <w:iCs w:val="0"/>
                      <w:color w:val="auto"/>
                      <w:sz w:val="21"/>
                      <w:szCs w:val="21"/>
                      <w:u w:val="none"/>
                    </w:rPr>
                  </w:pPr>
                  <w:r>
                    <w:rPr>
                      <w:rFonts w:hint="eastAsia" w:ascii="宋体" w:hAnsi="宋体" w:eastAsia="宋体" w:cs="宋体"/>
                      <w:bCs/>
                      <w:color w:val="auto"/>
                      <w:sz w:val="21"/>
                      <w:szCs w:val="21"/>
                      <w:lang w:val="en-US" w:eastAsia="zh-CN"/>
                    </w:rPr>
                    <w:t>罐储</w:t>
                  </w:r>
                </w:p>
              </w:tc>
              <w:tc>
                <w:tcPr>
                  <w:tcW w:w="629" w:type="pct"/>
                  <w:tcBorders>
                    <w:top w:val="single" w:color="auto" w:sz="6" w:space="0"/>
                    <w:left w:val="single" w:color="auto" w:sz="6" w:space="0"/>
                    <w:bottom w:val="single" w:color="auto" w:sz="6" w:space="0"/>
                    <w:right w:val="single" w:color="auto" w:sz="6" w:space="0"/>
                  </w:tcBorders>
                  <w:noWrap w:val="0"/>
                  <w:vAlign w:val="center"/>
                </w:tcPr>
                <w:p>
                  <w:pPr>
                    <w:pStyle w:val="37"/>
                    <w:rPr>
                      <w:rFonts w:hint="default"/>
                      <w:i w:val="0"/>
                      <w:iCs w:val="0"/>
                      <w:color w:val="auto"/>
                      <w:sz w:val="21"/>
                      <w:szCs w:val="21"/>
                      <w:u w:val="none"/>
                      <w:lang w:val="en-US" w:eastAsia="zh-CN"/>
                    </w:rPr>
                  </w:pPr>
                  <w:r>
                    <w:rPr>
                      <w:rFonts w:hint="eastAsia"/>
                      <w:i w:val="0"/>
                      <w:iCs w:val="0"/>
                      <w:color w:val="auto"/>
                      <w:sz w:val="21"/>
                      <w:szCs w:val="21"/>
                      <w:u w:val="none"/>
                      <w:lang w:val="en-US" w:eastAsia="zh-CN"/>
                    </w:rPr>
                    <w:t>1.064</w:t>
                  </w:r>
                </w:p>
              </w:tc>
              <w:tc>
                <w:tcPr>
                  <w:tcW w:w="530" w:type="pct"/>
                  <w:tcBorders>
                    <w:top w:val="single" w:color="auto" w:sz="6" w:space="0"/>
                    <w:left w:val="single" w:color="auto" w:sz="6" w:space="0"/>
                    <w:bottom w:val="single" w:color="auto" w:sz="6" w:space="0"/>
                    <w:right w:val="single" w:color="auto" w:sz="6" w:space="0"/>
                  </w:tcBorders>
                  <w:noWrap w:val="0"/>
                  <w:vAlign w:val="center"/>
                </w:tcPr>
                <w:p>
                  <w:pPr>
                    <w:pStyle w:val="37"/>
                    <w:rPr>
                      <w:rFonts w:hint="default"/>
                      <w:i w:val="0"/>
                      <w:iCs w:val="0"/>
                      <w:color w:val="auto"/>
                      <w:sz w:val="21"/>
                      <w:szCs w:val="21"/>
                      <w:u w:val="none"/>
                      <w:lang w:val="en-US" w:eastAsia="zh-CN"/>
                    </w:rPr>
                  </w:pPr>
                  <w:r>
                    <w:rPr>
                      <w:rFonts w:hint="eastAsia"/>
                      <w:i w:val="0"/>
                      <w:iCs w:val="0"/>
                      <w:color w:val="auto"/>
                      <w:sz w:val="21"/>
                      <w:szCs w:val="21"/>
                      <w:u w:val="none"/>
                      <w:lang w:val="en-US" w:eastAsia="zh-CN"/>
                    </w:rPr>
                    <w:t>10t</w:t>
                  </w:r>
                </w:p>
              </w:tc>
              <w:tc>
                <w:tcPr>
                  <w:tcW w:w="618" w:type="pct"/>
                  <w:tcBorders>
                    <w:top w:val="single" w:color="auto" w:sz="6" w:space="0"/>
                    <w:left w:val="single" w:color="auto" w:sz="6" w:space="0"/>
                    <w:bottom w:val="single" w:color="auto" w:sz="6" w:space="0"/>
                    <w:right w:val="single" w:color="auto" w:sz="12" w:space="0"/>
                  </w:tcBorders>
                  <w:noWrap w:val="0"/>
                  <w:vAlign w:val="center"/>
                </w:tcPr>
                <w:p>
                  <w:pPr>
                    <w:pStyle w:val="37"/>
                    <w:rPr>
                      <w:rFonts w:hint="default"/>
                      <w:i w:val="0"/>
                      <w:iCs w:val="0"/>
                      <w:color w:val="auto"/>
                      <w:sz w:val="21"/>
                      <w:szCs w:val="21"/>
                      <w:u w:val="none"/>
                      <w:lang w:val="en-US" w:eastAsia="zh-CN"/>
                    </w:rPr>
                  </w:pPr>
                  <w:r>
                    <w:rPr>
                      <w:rFonts w:hint="eastAsia"/>
                      <w:i w:val="0"/>
                      <w:iCs w:val="0"/>
                      <w:color w:val="auto"/>
                      <w:sz w:val="21"/>
                      <w:szCs w:val="21"/>
                      <w:u w:val="none"/>
                      <w:lang w:val="en-US" w:eastAsia="zh-CN"/>
                    </w:rPr>
                    <w:t>0.1064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306" w:type="pct"/>
                  <w:tcBorders>
                    <w:top w:val="single" w:color="auto" w:sz="6" w:space="0"/>
                    <w:left w:val="single" w:color="auto" w:sz="12" w:space="0"/>
                    <w:bottom w:val="single" w:color="auto" w:sz="6" w:space="0"/>
                    <w:right w:val="single" w:color="auto" w:sz="6" w:space="0"/>
                  </w:tcBorders>
                  <w:noWrap w:val="0"/>
                  <w:vAlign w:val="center"/>
                </w:tcPr>
                <w:p>
                  <w:pPr>
                    <w:pStyle w:val="37"/>
                    <w:rPr>
                      <w:rFonts w:hint="default"/>
                      <w:i w:val="0"/>
                      <w:iCs w:val="0"/>
                      <w:color w:val="auto"/>
                      <w:sz w:val="21"/>
                      <w:szCs w:val="21"/>
                      <w:u w:val="none"/>
                      <w:lang w:val="en-US" w:eastAsia="zh-CN"/>
                    </w:rPr>
                  </w:pPr>
                  <w:r>
                    <w:rPr>
                      <w:rFonts w:hint="eastAsia"/>
                      <w:i w:val="0"/>
                      <w:iCs w:val="0"/>
                      <w:color w:val="auto"/>
                      <w:sz w:val="21"/>
                      <w:szCs w:val="21"/>
                      <w:u w:val="none"/>
                      <w:lang w:val="en-US" w:eastAsia="zh-CN"/>
                    </w:rPr>
                    <w:t>3</w:t>
                  </w:r>
                </w:p>
              </w:tc>
              <w:tc>
                <w:tcPr>
                  <w:tcW w:w="587" w:type="pct"/>
                  <w:tcBorders>
                    <w:top w:val="single" w:color="auto" w:sz="6" w:space="0"/>
                    <w:left w:val="single" w:color="auto" w:sz="6" w:space="0"/>
                    <w:bottom w:val="single" w:color="auto" w:sz="6" w:space="0"/>
                    <w:right w:val="single" w:color="auto" w:sz="6" w:space="0"/>
                  </w:tcBorders>
                  <w:noWrap w:val="0"/>
                  <w:vAlign w:val="center"/>
                </w:tcPr>
                <w:p>
                  <w:pPr>
                    <w:pStyle w:val="37"/>
                    <w:rPr>
                      <w:rFonts w:hint="default"/>
                      <w:i w:val="0"/>
                      <w:iCs w:val="0"/>
                      <w:color w:val="auto"/>
                      <w:sz w:val="21"/>
                      <w:szCs w:val="21"/>
                      <w:u w:val="none"/>
                      <w:lang w:val="en-US" w:eastAsia="zh-CN"/>
                    </w:rPr>
                  </w:pPr>
                  <w:r>
                    <w:rPr>
                      <w:rFonts w:hint="eastAsia"/>
                      <w:i w:val="0"/>
                      <w:iCs w:val="0"/>
                      <w:color w:val="auto"/>
                      <w:sz w:val="21"/>
                      <w:szCs w:val="21"/>
                      <w:u w:val="none"/>
                      <w:lang w:val="en-US" w:eastAsia="zh-CN"/>
                    </w:rPr>
                    <w:t>氨水</w:t>
                  </w:r>
                </w:p>
              </w:tc>
              <w:tc>
                <w:tcPr>
                  <w:tcW w:w="1649" w:type="pct"/>
                  <w:tcBorders>
                    <w:top w:val="single" w:color="auto" w:sz="6" w:space="0"/>
                    <w:left w:val="single" w:color="auto" w:sz="6" w:space="0"/>
                    <w:bottom w:val="single" w:color="auto" w:sz="6" w:space="0"/>
                    <w:right w:val="single" w:color="auto" w:sz="6" w:space="0"/>
                  </w:tcBorders>
                  <w:noWrap w:val="0"/>
                  <w:vAlign w:val="center"/>
                </w:tcPr>
                <w:p>
                  <w:pPr>
                    <w:pStyle w:val="37"/>
                    <w:rPr>
                      <w:rFonts w:hint="default"/>
                      <w:i w:val="0"/>
                      <w:iCs w:val="0"/>
                      <w:color w:val="auto"/>
                      <w:sz w:val="21"/>
                      <w:szCs w:val="21"/>
                      <w:u w:val="none"/>
                    </w:rPr>
                  </w:pPr>
                  <w:r>
                    <w:rPr>
                      <w:rFonts w:hint="eastAsia"/>
                      <w:color w:val="auto"/>
                      <w:lang w:val="en-US" w:eastAsia="zh-CN"/>
                    </w:rPr>
                    <w:t>腐蚀性液体</w:t>
                  </w:r>
                </w:p>
              </w:tc>
              <w:tc>
                <w:tcPr>
                  <w:tcW w:w="679" w:type="pct"/>
                  <w:tcBorders>
                    <w:top w:val="single" w:color="auto" w:sz="6" w:space="0"/>
                    <w:left w:val="single" w:color="auto" w:sz="6" w:space="0"/>
                    <w:bottom w:val="single" w:color="auto" w:sz="6" w:space="0"/>
                    <w:right w:val="single" w:color="auto" w:sz="6" w:space="0"/>
                  </w:tcBorders>
                  <w:noWrap w:val="0"/>
                  <w:vAlign w:val="center"/>
                </w:tcPr>
                <w:p>
                  <w:pPr>
                    <w:pStyle w:val="37"/>
                    <w:rPr>
                      <w:rFonts w:hint="default"/>
                      <w:i w:val="0"/>
                      <w:iCs w:val="0"/>
                      <w:color w:val="auto"/>
                      <w:sz w:val="21"/>
                      <w:szCs w:val="21"/>
                      <w:u w:val="none"/>
                    </w:rPr>
                  </w:pPr>
                  <w:r>
                    <w:rPr>
                      <w:rFonts w:hint="eastAsia" w:ascii="宋体" w:hAnsi="宋体" w:eastAsia="宋体" w:cs="宋体"/>
                      <w:bCs/>
                      <w:color w:val="auto"/>
                      <w:sz w:val="21"/>
                      <w:szCs w:val="21"/>
                      <w:lang w:val="en-US" w:eastAsia="zh-CN"/>
                    </w:rPr>
                    <w:t>罐储</w:t>
                  </w:r>
                </w:p>
              </w:tc>
              <w:tc>
                <w:tcPr>
                  <w:tcW w:w="629" w:type="pct"/>
                  <w:tcBorders>
                    <w:top w:val="single" w:color="auto" w:sz="6" w:space="0"/>
                    <w:left w:val="single" w:color="auto" w:sz="6" w:space="0"/>
                    <w:bottom w:val="single" w:color="auto" w:sz="6" w:space="0"/>
                    <w:right w:val="single" w:color="auto" w:sz="6" w:space="0"/>
                  </w:tcBorders>
                  <w:noWrap w:val="0"/>
                  <w:vAlign w:val="center"/>
                </w:tcPr>
                <w:p>
                  <w:pPr>
                    <w:pStyle w:val="37"/>
                    <w:rPr>
                      <w:rFonts w:hint="default"/>
                      <w:i w:val="0"/>
                      <w:iCs w:val="0"/>
                      <w:color w:val="auto"/>
                      <w:sz w:val="21"/>
                      <w:szCs w:val="21"/>
                      <w:u w:val="none"/>
                      <w:lang w:val="en-US" w:eastAsia="zh-CN"/>
                    </w:rPr>
                  </w:pPr>
                  <w:r>
                    <w:rPr>
                      <w:rFonts w:hint="eastAsia"/>
                      <w:i w:val="0"/>
                      <w:iCs w:val="0"/>
                      <w:color w:val="auto"/>
                      <w:sz w:val="21"/>
                      <w:szCs w:val="21"/>
                      <w:u w:val="none"/>
                      <w:lang w:val="en-US" w:eastAsia="zh-CN"/>
                    </w:rPr>
                    <w:t>0.182t</w:t>
                  </w:r>
                </w:p>
              </w:tc>
              <w:tc>
                <w:tcPr>
                  <w:tcW w:w="530" w:type="pct"/>
                  <w:tcBorders>
                    <w:top w:val="single" w:color="auto" w:sz="6" w:space="0"/>
                    <w:left w:val="single" w:color="auto" w:sz="6" w:space="0"/>
                    <w:bottom w:val="single" w:color="auto" w:sz="6" w:space="0"/>
                    <w:right w:val="single" w:color="auto" w:sz="6" w:space="0"/>
                  </w:tcBorders>
                  <w:noWrap w:val="0"/>
                  <w:vAlign w:val="center"/>
                </w:tcPr>
                <w:p>
                  <w:pPr>
                    <w:pStyle w:val="37"/>
                    <w:rPr>
                      <w:rFonts w:hint="default"/>
                      <w:i w:val="0"/>
                      <w:iCs w:val="0"/>
                      <w:color w:val="auto"/>
                      <w:sz w:val="21"/>
                      <w:szCs w:val="21"/>
                      <w:u w:val="none"/>
                      <w:lang w:val="en-US" w:eastAsia="zh-CN"/>
                    </w:rPr>
                  </w:pPr>
                  <w:r>
                    <w:rPr>
                      <w:rFonts w:hint="eastAsia"/>
                      <w:i w:val="0"/>
                      <w:iCs w:val="0"/>
                      <w:color w:val="auto"/>
                      <w:sz w:val="21"/>
                      <w:szCs w:val="21"/>
                      <w:u w:val="none"/>
                      <w:lang w:val="en-US" w:eastAsia="zh-CN"/>
                    </w:rPr>
                    <w:t>10t</w:t>
                  </w:r>
                </w:p>
              </w:tc>
              <w:tc>
                <w:tcPr>
                  <w:tcW w:w="618" w:type="pct"/>
                  <w:tcBorders>
                    <w:top w:val="single" w:color="auto" w:sz="6" w:space="0"/>
                    <w:left w:val="single" w:color="auto" w:sz="6" w:space="0"/>
                    <w:bottom w:val="single" w:color="auto" w:sz="6" w:space="0"/>
                    <w:right w:val="single" w:color="auto" w:sz="12" w:space="0"/>
                  </w:tcBorders>
                  <w:noWrap w:val="0"/>
                  <w:vAlign w:val="center"/>
                </w:tcPr>
                <w:p>
                  <w:pPr>
                    <w:pStyle w:val="37"/>
                    <w:rPr>
                      <w:rFonts w:hint="default"/>
                      <w:i w:val="0"/>
                      <w:iCs w:val="0"/>
                      <w:color w:val="auto"/>
                      <w:sz w:val="21"/>
                      <w:szCs w:val="21"/>
                      <w:u w:val="none"/>
                      <w:lang w:val="en-US" w:eastAsia="zh-CN"/>
                    </w:rPr>
                  </w:pPr>
                  <w:r>
                    <w:rPr>
                      <w:rFonts w:hint="eastAsia"/>
                      <w:i w:val="0"/>
                      <w:iCs w:val="0"/>
                      <w:color w:val="auto"/>
                      <w:sz w:val="21"/>
                      <w:szCs w:val="21"/>
                      <w:u w:val="none"/>
                      <w:lang w:val="en-US" w:eastAsia="zh-CN"/>
                    </w:rPr>
                    <w:t>0.0182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4381" w:type="pct"/>
                  <w:gridSpan w:val="6"/>
                  <w:tcBorders>
                    <w:top w:val="single" w:color="auto" w:sz="6" w:space="0"/>
                    <w:left w:val="single" w:color="auto" w:sz="12" w:space="0"/>
                    <w:bottom w:val="single" w:color="auto" w:sz="6" w:space="0"/>
                    <w:right w:val="single" w:color="auto" w:sz="6" w:space="0"/>
                  </w:tcBorders>
                  <w:noWrap w:val="0"/>
                  <w:vAlign w:val="center"/>
                </w:tcPr>
                <w:p>
                  <w:pPr>
                    <w:pStyle w:val="37"/>
                    <w:rPr>
                      <w:rFonts w:hint="default"/>
                      <w:i w:val="0"/>
                      <w:iCs w:val="0"/>
                      <w:color w:val="auto"/>
                      <w:sz w:val="21"/>
                      <w:szCs w:val="21"/>
                      <w:u w:val="none"/>
                    </w:rPr>
                  </w:pPr>
                  <w:r>
                    <w:rPr>
                      <w:rFonts w:hint="default"/>
                      <w:i w:val="0"/>
                      <w:iCs w:val="0"/>
                      <w:color w:val="auto"/>
                      <w:sz w:val="21"/>
                      <w:szCs w:val="21"/>
                      <w:u w:val="none"/>
                    </w:rPr>
                    <w:t>合计</w:t>
                  </w:r>
                </w:p>
              </w:tc>
              <w:tc>
                <w:tcPr>
                  <w:tcW w:w="618" w:type="pct"/>
                  <w:tcBorders>
                    <w:top w:val="single" w:color="auto" w:sz="6" w:space="0"/>
                    <w:left w:val="single" w:color="auto" w:sz="6" w:space="0"/>
                    <w:bottom w:val="single" w:color="auto" w:sz="6" w:space="0"/>
                    <w:right w:val="single" w:color="auto" w:sz="12" w:space="0"/>
                  </w:tcBorders>
                  <w:noWrap w:val="0"/>
                  <w:vAlign w:val="center"/>
                </w:tcPr>
                <w:p>
                  <w:pPr>
                    <w:pStyle w:val="37"/>
                    <w:rPr>
                      <w:rFonts w:hint="default" w:eastAsia="宋体"/>
                      <w:i w:val="0"/>
                      <w:iCs w:val="0"/>
                      <w:color w:val="auto"/>
                      <w:sz w:val="21"/>
                      <w:szCs w:val="21"/>
                      <w:u w:val="none"/>
                      <w:lang w:val="en-US" w:eastAsia="zh-CN"/>
                    </w:rPr>
                  </w:pPr>
                  <w:r>
                    <w:rPr>
                      <w:rFonts w:hint="eastAsia"/>
                      <w:i w:val="0"/>
                      <w:iCs w:val="0"/>
                      <w:color w:val="auto"/>
                      <w:sz w:val="21"/>
                      <w:szCs w:val="21"/>
                      <w:u w:val="none"/>
                      <w:lang w:val="en-US" w:eastAsia="zh-CN"/>
                    </w:rPr>
                    <w:t>0.2499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000" w:type="pct"/>
                  <w:gridSpan w:val="7"/>
                  <w:tcBorders>
                    <w:top w:val="single" w:color="auto" w:sz="6" w:space="0"/>
                    <w:left w:val="single" w:color="auto" w:sz="12" w:space="0"/>
                    <w:bottom w:val="single" w:color="auto" w:sz="12" w:space="0"/>
                    <w:right w:val="single" w:color="auto" w:sz="12" w:space="0"/>
                  </w:tcBorders>
                  <w:noWrap w:val="0"/>
                  <w:vAlign w:val="center"/>
                </w:tcPr>
                <w:p>
                  <w:pPr>
                    <w:pStyle w:val="37"/>
                    <w:rPr>
                      <w:rFonts w:hint="default"/>
                      <w:i w:val="0"/>
                      <w:iCs w:val="0"/>
                      <w:color w:val="auto"/>
                      <w:sz w:val="21"/>
                      <w:szCs w:val="21"/>
                      <w:u w:val="none"/>
                    </w:rPr>
                  </w:pPr>
                  <w:r>
                    <w:rPr>
                      <w:rFonts w:hint="default"/>
                      <w:i w:val="0"/>
                      <w:iCs w:val="0"/>
                      <w:color w:val="auto"/>
                      <w:sz w:val="21"/>
                      <w:szCs w:val="21"/>
                      <w:u w:val="none"/>
                    </w:rPr>
                    <w:t>注：临界量Qi参照《企业突发环境事件风险分级方法》（HJ941-2018）附录A里所列的临界值，均以纯物质来计。本项目最大储存量以储罐容积的85%再乘以相应溶液的密度计算</w:t>
                  </w:r>
                </w:p>
              </w:tc>
            </w:tr>
          </w:tbl>
          <w:p>
            <w:pPr>
              <w:pStyle w:val="36"/>
              <w:bidi w:val="0"/>
              <w:rPr>
                <w:rFonts w:hint="default"/>
              </w:rPr>
            </w:pPr>
            <w:r>
              <w:rPr>
                <w:rFonts w:hint="default"/>
              </w:rPr>
              <w:t>本项目危险物质的数量与临界量比值Q=0.</w:t>
            </w:r>
            <w:r>
              <w:rPr>
                <w:rFonts w:hint="eastAsia"/>
                <w:lang w:val="en-US" w:eastAsia="zh-CN"/>
              </w:rPr>
              <w:t>2499</w:t>
            </w:r>
            <w:r>
              <w:rPr>
                <w:rFonts w:hint="default"/>
              </w:rPr>
              <w:t>，本项目危险物质数量与临界量比值Q=0.</w:t>
            </w:r>
            <w:r>
              <w:rPr>
                <w:rFonts w:hint="eastAsia"/>
                <w:lang w:val="en-US" w:eastAsia="zh-CN"/>
              </w:rPr>
              <w:t>2499</w:t>
            </w:r>
            <w:r>
              <w:rPr>
                <w:rFonts w:hint="default"/>
              </w:rPr>
              <w:t>＜1，风险潜势为</w:t>
            </w:r>
            <w:r>
              <w:rPr>
                <w:rFonts w:hint="default"/>
              </w:rPr>
              <w:fldChar w:fldCharType="begin"/>
            </w:r>
            <w:r>
              <w:rPr>
                <w:rFonts w:hint="default"/>
              </w:rPr>
              <w:instrText xml:space="preserve"> = 1 \* ROMAN </w:instrText>
            </w:r>
            <w:r>
              <w:rPr>
                <w:rFonts w:hint="default"/>
              </w:rPr>
              <w:fldChar w:fldCharType="separate"/>
            </w:r>
            <w:r>
              <w:rPr>
                <w:rFonts w:hint="default"/>
              </w:rPr>
              <w:t>I</w:t>
            </w:r>
            <w:r>
              <w:rPr>
                <w:rFonts w:hint="default"/>
              </w:rPr>
              <w:fldChar w:fldCharType="end"/>
            </w:r>
            <w:r>
              <w:rPr>
                <w:rFonts w:hint="default"/>
              </w:rPr>
              <w:t>。</w:t>
            </w:r>
          </w:p>
          <w:p>
            <w:pPr>
              <w:pStyle w:val="36"/>
              <w:bidi w:val="0"/>
              <w:rPr>
                <w:b/>
                <w:bCs/>
              </w:rPr>
            </w:pPr>
            <w:r>
              <w:rPr>
                <w:b/>
                <w:bCs/>
              </w:rPr>
              <w:t>2</w:t>
            </w:r>
            <w:r>
              <w:rPr>
                <w:rFonts w:hint="eastAsia"/>
                <w:b/>
                <w:bCs/>
                <w:lang w:eastAsia="zh-CN"/>
              </w:rPr>
              <w:t>、</w:t>
            </w:r>
            <w:r>
              <w:rPr>
                <w:b/>
                <w:bCs/>
              </w:rPr>
              <w:t>环境风险识别</w:t>
            </w:r>
          </w:p>
          <w:p>
            <w:pPr>
              <w:pStyle w:val="36"/>
              <w:bidi w:val="0"/>
            </w:pPr>
            <w:r>
              <w:t>本项目发生事故风险的过程包括生产使用过程，生产过程中建议实行安全检查制度，对各类安全设施，消防器材进行各种日常的、定期的、专业的防火安全检查，并将发现的问题定人、限期落实整改。</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u w:val="none"/>
                <w:lang w:eastAsia="zh-CN"/>
              </w:rPr>
            </w:pPr>
            <w:r>
              <w:rPr>
                <w:rFonts w:hint="default" w:ascii="Times New Roman" w:hAnsi="Times New Roman" w:cs="Times New Roman"/>
                <w:color w:val="auto"/>
                <w:sz w:val="24"/>
                <w:u w:val="none"/>
                <w:lang w:val="en-US" w:eastAsia="zh-CN"/>
              </w:rPr>
              <w:t>（1）</w:t>
            </w:r>
            <w:r>
              <w:rPr>
                <w:rFonts w:hint="default" w:ascii="Times New Roman" w:hAnsi="Times New Roman" w:cs="Times New Roman"/>
                <w:color w:val="auto"/>
                <w:sz w:val="24"/>
                <w:u w:val="none"/>
              </w:rPr>
              <w:t>环境风险</w:t>
            </w:r>
            <w:r>
              <w:rPr>
                <w:rFonts w:hint="default" w:ascii="Times New Roman" w:hAnsi="Times New Roman" w:cs="Times New Roman"/>
                <w:color w:val="auto"/>
                <w:sz w:val="24"/>
                <w:u w:val="none"/>
                <w:lang w:eastAsia="zh-CN"/>
              </w:rPr>
              <w:t>源识别：</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u w:val="none"/>
                <w:lang w:eastAsia="zh-CN"/>
              </w:rPr>
            </w:pPr>
            <w:r>
              <w:rPr>
                <w:rFonts w:hint="default" w:ascii="Times New Roman" w:hAnsi="Times New Roman" w:cs="Times New Roman"/>
                <w:color w:val="auto"/>
                <w:sz w:val="24"/>
                <w:u w:val="none"/>
              </w:rPr>
              <w:t>项目营运期</w:t>
            </w:r>
            <w:r>
              <w:rPr>
                <w:rFonts w:hint="eastAsia" w:ascii="Times New Roman" w:hAnsi="Times New Roman" w:cs="Times New Roman"/>
                <w:color w:val="auto"/>
                <w:sz w:val="24"/>
                <w:u w:val="none"/>
                <w:lang w:val="en-US" w:eastAsia="zh-CN"/>
              </w:rPr>
              <w:t>使用的原料盐酸、氢氧化钠、氨水等</w:t>
            </w:r>
            <w:r>
              <w:rPr>
                <w:rFonts w:hint="default" w:ascii="Times New Roman" w:hAnsi="Times New Roman" w:cs="Times New Roman"/>
                <w:color w:val="auto"/>
                <w:sz w:val="24"/>
                <w:u w:val="none"/>
              </w:rPr>
              <w:t>，</w:t>
            </w:r>
            <w:r>
              <w:rPr>
                <w:rFonts w:hint="default" w:ascii="Times New Roman" w:hAnsi="Times New Roman" w:cs="Times New Roman"/>
                <w:color w:val="auto"/>
                <w:sz w:val="24"/>
                <w:u w:val="none"/>
                <w:lang w:eastAsia="zh-CN"/>
              </w:rPr>
              <w:t>它们</w:t>
            </w:r>
            <w:r>
              <w:rPr>
                <w:rFonts w:hint="default" w:ascii="Times New Roman" w:hAnsi="Times New Roman" w:cs="Times New Roman"/>
                <w:color w:val="auto"/>
                <w:sz w:val="24"/>
                <w:u w:val="none"/>
              </w:rPr>
              <w:t>泄漏到环境中可能污染地表水环境、土壤环境</w:t>
            </w:r>
            <w:r>
              <w:rPr>
                <w:rFonts w:hint="eastAsia" w:ascii="Times New Roman" w:hAnsi="Times New Roman" w:cs="Times New Roman"/>
                <w:color w:val="auto"/>
                <w:sz w:val="24"/>
                <w:u w:val="none"/>
                <w:lang w:eastAsia="zh-CN"/>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w:t>
            </w:r>
            <w:r>
              <w:rPr>
                <w:rFonts w:hint="default" w:ascii="Times New Roman" w:hAnsi="Times New Roman" w:cs="Times New Roman"/>
              </w:rPr>
              <w:t>污染物及环保设施风险识别：</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lang w:eastAsia="zh-CN"/>
              </w:rPr>
            </w:pPr>
            <w:r>
              <w:rPr>
                <w:rFonts w:hint="eastAsia" w:ascii="Times New Roman" w:hAnsi="Times New Roman" w:eastAsia="宋体" w:cs="Times New Roman"/>
                <w:bCs/>
                <w:color w:val="auto"/>
                <w:sz w:val="24"/>
                <w:szCs w:val="24"/>
                <w:u w:val="none"/>
                <w:lang w:val="en-US" w:eastAsia="zh-CN"/>
              </w:rPr>
              <w:t>项目运营期</w:t>
            </w:r>
            <w:r>
              <w:rPr>
                <w:rFonts w:hint="default" w:ascii="Times New Roman" w:hAnsi="Times New Roman" w:eastAsia="宋体" w:cs="Times New Roman"/>
                <w:bCs/>
                <w:color w:val="auto"/>
                <w:sz w:val="24"/>
                <w:szCs w:val="24"/>
                <w:u w:val="none"/>
              </w:rPr>
              <w:t>潜在的危险主要为火灾风险</w:t>
            </w:r>
            <w:r>
              <w:rPr>
                <w:rFonts w:hint="eastAsia" w:ascii="Times New Roman" w:hAnsi="Times New Roman" w:eastAsia="宋体" w:cs="Times New Roman"/>
                <w:bCs/>
                <w:color w:val="auto"/>
                <w:sz w:val="24"/>
                <w:szCs w:val="24"/>
                <w:u w:val="none"/>
                <w:lang w:val="en-US" w:eastAsia="zh-CN"/>
              </w:rPr>
              <w:t>和危险化学品泄漏风险</w:t>
            </w:r>
            <w:r>
              <w:rPr>
                <w:rFonts w:hint="default" w:ascii="Times New Roman" w:hAnsi="Times New Roman" w:eastAsia="宋体" w:cs="Times New Roman"/>
                <w:bCs/>
                <w:color w:val="auto"/>
                <w:sz w:val="24"/>
                <w:szCs w:val="24"/>
                <w:u w:val="none"/>
              </w:rPr>
              <w:t>，</w:t>
            </w:r>
            <w:r>
              <w:rPr>
                <w:rFonts w:hint="eastAsia" w:ascii="Times New Roman" w:hAnsi="Times New Roman" w:eastAsia="宋体" w:cs="Times New Roman"/>
                <w:bCs/>
                <w:color w:val="auto"/>
                <w:sz w:val="24"/>
                <w:szCs w:val="24"/>
                <w:u w:val="none"/>
                <w:lang w:val="en-US" w:eastAsia="zh-CN"/>
              </w:rPr>
              <w:t>易燃物质燃烧</w:t>
            </w:r>
            <w:r>
              <w:rPr>
                <w:rFonts w:hint="default" w:ascii="Times New Roman" w:hAnsi="Times New Roman" w:eastAsia="宋体" w:cs="Times New Roman"/>
                <w:bCs/>
                <w:color w:val="auto"/>
                <w:sz w:val="24"/>
                <w:szCs w:val="24"/>
                <w:u w:val="none"/>
              </w:rPr>
              <w:t>伴随大量的CO及有毒有害的</w:t>
            </w:r>
            <w:r>
              <w:rPr>
                <w:rFonts w:hint="eastAsia" w:ascii="Times New Roman" w:hAnsi="Times New Roman" w:eastAsia="宋体" w:cs="Times New Roman"/>
                <w:bCs/>
                <w:color w:val="auto"/>
                <w:sz w:val="24"/>
                <w:szCs w:val="24"/>
                <w:u w:val="none"/>
                <w:lang w:val="en-US" w:eastAsia="zh-CN"/>
              </w:rPr>
              <w:t>气体</w:t>
            </w:r>
            <w:r>
              <w:rPr>
                <w:rFonts w:hint="default" w:ascii="Times New Roman" w:hAnsi="Times New Roman" w:eastAsia="宋体" w:cs="Times New Roman"/>
                <w:bCs/>
                <w:color w:val="auto"/>
                <w:sz w:val="24"/>
                <w:szCs w:val="24"/>
                <w:u w:val="none"/>
              </w:rPr>
              <w:t>产生，将威胁作业人员的生命安全，造成重大生命、财产损失，并对周围环境产生影响。</w:t>
            </w:r>
            <w:r>
              <w:rPr>
                <w:rFonts w:hint="eastAsia" w:ascii="Times New Roman" w:hAnsi="Times New Roman" w:eastAsia="宋体" w:cs="Times New Roman"/>
                <w:bCs/>
                <w:color w:val="auto"/>
                <w:sz w:val="24"/>
                <w:szCs w:val="24"/>
                <w:u w:val="none"/>
                <w:lang w:val="en-US" w:eastAsia="zh-CN"/>
              </w:rPr>
              <w:t>危险化学品</w:t>
            </w:r>
            <w:r>
              <w:rPr>
                <w:rFonts w:hint="default" w:ascii="Times New Roman" w:hAnsi="Times New Roman" w:cs="Times New Roman"/>
                <w:color w:val="auto"/>
                <w:sz w:val="24"/>
                <w:u w:val="none"/>
              </w:rPr>
              <w:t>泄漏到环境中可能污染地表水环境、土壤环境</w:t>
            </w:r>
            <w:r>
              <w:rPr>
                <w:rFonts w:hint="default" w:ascii="Times New Roman" w:hAnsi="Times New Roman" w:eastAsia="宋体" w:cs="Times New Roman"/>
                <w:color w:val="auto"/>
                <w:sz w:val="24"/>
                <w:szCs w:val="24"/>
                <w:u w:val="none"/>
              </w:rPr>
              <w:t>。</w:t>
            </w:r>
            <w:r>
              <w:rPr>
                <w:rFonts w:hint="default" w:ascii="Times New Roman" w:hAnsi="Times New Roman" w:eastAsia="宋体" w:cs="Times New Roman"/>
                <w:bCs/>
                <w:color w:val="auto"/>
                <w:sz w:val="24"/>
                <w:szCs w:val="24"/>
                <w:u w:val="none"/>
              </w:rPr>
              <w:t>项目生产设施风险识别见下表</w:t>
            </w:r>
            <w:r>
              <w:rPr>
                <w:rFonts w:hint="eastAsia" w:ascii="Times New Roman" w:hAnsi="Times New Roman" w:eastAsia="宋体" w:cs="Times New Roman"/>
                <w:bCs/>
                <w:color w:val="auto"/>
                <w:sz w:val="24"/>
                <w:szCs w:val="24"/>
                <w:u w:val="none"/>
                <w:lang w:eastAsia="zh-CN"/>
              </w:rPr>
              <w:t>：</w:t>
            </w:r>
          </w:p>
          <w:p>
            <w:pPr>
              <w:pStyle w:val="82"/>
              <w:keepNext w:val="0"/>
              <w:keepLines w:val="0"/>
              <w:pageBreakBefore w:val="0"/>
              <w:widowControl w:val="0"/>
              <w:kinsoku/>
              <w:wordWrap/>
              <w:overflowPunct/>
              <w:topLinePunct w:val="0"/>
              <w:autoSpaceDE/>
              <w:autoSpaceDN/>
              <w:bidi w:val="0"/>
              <w:adjustRightInd/>
              <w:snapToGrid/>
              <w:spacing w:before="0" w:beforeLines="0"/>
              <w:textAlignment w:val="auto"/>
              <w:rPr>
                <w:rFonts w:hint="default" w:ascii="Times New Roman" w:hAnsi="Times New Roman" w:cs="Times New Roman"/>
                <w:lang w:val="en-US" w:eastAsia="zh-CN"/>
              </w:rPr>
            </w:pPr>
            <w:bookmarkStart w:id="15" w:name="_Ref303289206"/>
            <w:r>
              <w:rPr>
                <w:rFonts w:hint="default" w:ascii="Times New Roman" w:hAnsi="Times New Roman" w:cs="Times New Roman"/>
                <w:lang w:val="en-US" w:eastAsia="zh-CN"/>
              </w:rPr>
              <w:t>表</w:t>
            </w:r>
            <w:bookmarkEnd w:id="15"/>
            <w:r>
              <w:rPr>
                <w:rFonts w:hint="default" w:ascii="Times New Roman" w:hAnsi="Times New Roman" w:cs="Times New Roman"/>
                <w:lang w:val="en-US" w:eastAsia="zh-CN"/>
              </w:rPr>
              <w:t>4-</w:t>
            </w:r>
            <w:r>
              <w:rPr>
                <w:rFonts w:hint="eastAsia" w:cs="Times New Roman"/>
                <w:lang w:val="en-US" w:eastAsia="zh-CN"/>
              </w:rPr>
              <w:t>10</w:t>
            </w:r>
            <w:r>
              <w:rPr>
                <w:rFonts w:hint="default" w:ascii="Times New Roman" w:hAnsi="Times New Roman" w:cs="Times New Roman"/>
                <w:lang w:val="en-US" w:eastAsia="zh-CN"/>
              </w:rPr>
              <w:t xml:space="preserve"> 项目生产设施环境风险因素识别</w:t>
            </w:r>
          </w:p>
          <w:tbl>
            <w:tblPr>
              <w:tblStyle w:val="22"/>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91"/>
              <w:gridCol w:w="3353"/>
              <w:gridCol w:w="354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91" w:type="dxa"/>
                  <w:tcBorders>
                    <w:tl2br w:val="nil"/>
                    <w:tr2bl w:val="nil"/>
                  </w:tcBorders>
                  <w:noWrap w:val="0"/>
                  <w:vAlign w:val="center"/>
                </w:tcPr>
                <w:p>
                  <w:pPr>
                    <w:pStyle w:val="37"/>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序号</w:t>
                  </w:r>
                </w:p>
              </w:tc>
              <w:tc>
                <w:tcPr>
                  <w:tcW w:w="3353" w:type="dxa"/>
                  <w:tcBorders>
                    <w:tl2br w:val="nil"/>
                    <w:tr2bl w:val="nil"/>
                  </w:tcBorders>
                  <w:noWrap w:val="0"/>
                  <w:vAlign w:val="center"/>
                </w:tcPr>
                <w:p>
                  <w:pPr>
                    <w:pStyle w:val="37"/>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生产场所</w:t>
                  </w:r>
                </w:p>
              </w:tc>
              <w:tc>
                <w:tcPr>
                  <w:tcW w:w="3544" w:type="dxa"/>
                  <w:tcBorders>
                    <w:tl2br w:val="nil"/>
                    <w:tr2bl w:val="nil"/>
                  </w:tcBorders>
                  <w:noWrap w:val="0"/>
                  <w:vAlign w:val="center"/>
                </w:tcPr>
                <w:p>
                  <w:pPr>
                    <w:pStyle w:val="37"/>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主要危险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91" w:type="dxa"/>
                  <w:tcBorders>
                    <w:tl2br w:val="nil"/>
                    <w:tr2bl w:val="nil"/>
                  </w:tcBorders>
                  <w:noWrap w:val="0"/>
                  <w:vAlign w:val="center"/>
                </w:tcPr>
                <w:p>
                  <w:pPr>
                    <w:pStyle w:val="37"/>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3353" w:type="dxa"/>
                  <w:tcBorders>
                    <w:tl2br w:val="nil"/>
                    <w:tr2bl w:val="nil"/>
                  </w:tcBorders>
                  <w:noWrap w:val="0"/>
                  <w:vAlign w:val="center"/>
                </w:tcPr>
                <w:p>
                  <w:pPr>
                    <w:pStyle w:val="37"/>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储存场所</w:t>
                  </w:r>
                </w:p>
              </w:tc>
              <w:tc>
                <w:tcPr>
                  <w:tcW w:w="3544" w:type="dxa"/>
                  <w:tcBorders>
                    <w:tl2br w:val="nil"/>
                    <w:tr2bl w:val="nil"/>
                  </w:tcBorders>
                  <w:noWrap w:val="0"/>
                  <w:vAlign w:val="center"/>
                </w:tcPr>
                <w:p>
                  <w:pPr>
                    <w:pStyle w:val="37"/>
                    <w:rPr>
                      <w:rFonts w:hint="default" w:ascii="Times New Roman" w:hAnsi="Times New Roman" w:cs="Times New Roman"/>
                      <w:color w:val="auto"/>
                      <w:u w:val="none"/>
                      <w:lang w:val="en-US" w:eastAsia="zh-CN"/>
                    </w:rPr>
                  </w:pPr>
                  <w:r>
                    <w:rPr>
                      <w:rFonts w:hint="eastAsia" w:ascii="Times New Roman" w:hAnsi="Times New Roman" w:cs="Times New Roman"/>
                      <w:color w:val="auto"/>
                      <w:kern w:val="2"/>
                      <w:szCs w:val="24"/>
                      <w:u w:val="none"/>
                      <w:lang w:val="en-US" w:eastAsia="zh-CN"/>
                    </w:rPr>
                    <w:t>危险化学品泄漏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91" w:type="dxa"/>
                  <w:tcBorders>
                    <w:tl2br w:val="nil"/>
                    <w:tr2bl w:val="nil"/>
                  </w:tcBorders>
                  <w:noWrap w:val="0"/>
                  <w:vAlign w:val="center"/>
                </w:tcPr>
                <w:p>
                  <w:pPr>
                    <w:pStyle w:val="37"/>
                    <w:rPr>
                      <w:rFonts w:hint="default" w:ascii="Times New Roman" w:hAnsi="Times New Roman" w:cs="Times New Roman"/>
                      <w:color w:val="auto"/>
                      <w:u w:val="none"/>
                      <w:lang w:val="en-US" w:eastAsia="zh-CN"/>
                    </w:rPr>
                  </w:pPr>
                  <w:r>
                    <w:rPr>
                      <w:rFonts w:hint="eastAsia" w:cs="Times New Roman"/>
                      <w:color w:val="auto"/>
                      <w:u w:val="none"/>
                      <w:lang w:val="en-US" w:eastAsia="zh-CN"/>
                    </w:rPr>
                    <w:t>2</w:t>
                  </w:r>
                </w:p>
              </w:tc>
              <w:tc>
                <w:tcPr>
                  <w:tcW w:w="3353" w:type="dxa"/>
                  <w:tcBorders>
                    <w:tl2br w:val="nil"/>
                    <w:tr2bl w:val="nil"/>
                  </w:tcBorders>
                  <w:noWrap w:val="0"/>
                  <w:vAlign w:val="center"/>
                </w:tcPr>
                <w:p>
                  <w:pPr>
                    <w:pStyle w:val="37"/>
                    <w:rPr>
                      <w:rFonts w:hint="default" w:ascii="Times New Roman" w:hAnsi="Times New Roman" w:cs="Times New Roman"/>
                      <w:color w:val="auto"/>
                      <w:u w:val="none"/>
                      <w:lang w:val="en-US" w:eastAsia="zh-CN"/>
                    </w:rPr>
                  </w:pPr>
                  <w:r>
                    <w:rPr>
                      <w:rFonts w:hint="eastAsia" w:cs="Times New Roman"/>
                      <w:color w:val="auto"/>
                      <w:u w:val="none"/>
                      <w:lang w:val="en-US" w:eastAsia="zh-CN"/>
                    </w:rPr>
                    <w:t>生产车间、储存场所</w:t>
                  </w:r>
                </w:p>
              </w:tc>
              <w:tc>
                <w:tcPr>
                  <w:tcW w:w="3544" w:type="dxa"/>
                  <w:tcBorders>
                    <w:tl2br w:val="nil"/>
                    <w:tr2bl w:val="nil"/>
                  </w:tcBorders>
                  <w:noWrap w:val="0"/>
                  <w:vAlign w:val="center"/>
                </w:tcPr>
                <w:p>
                  <w:pPr>
                    <w:pStyle w:val="37"/>
                    <w:rPr>
                      <w:rFonts w:hint="eastAsia" w:ascii="Times New Roman" w:hAnsi="Times New Roman" w:cs="Times New Roman"/>
                      <w:color w:val="auto"/>
                      <w:kern w:val="2"/>
                      <w:szCs w:val="24"/>
                      <w:u w:val="none"/>
                      <w:lang w:val="en-US" w:eastAsia="zh-CN"/>
                    </w:rPr>
                  </w:pPr>
                  <w:r>
                    <w:rPr>
                      <w:rFonts w:hint="default" w:ascii="Times New Roman" w:hAnsi="Times New Roman" w:cs="Times New Roman"/>
                      <w:color w:val="auto"/>
                      <w:u w:val="none"/>
                      <w:lang w:val="en-US" w:eastAsia="zh-CN"/>
                    </w:rPr>
                    <w:t>火灾造成对环境的次生危害</w:t>
                  </w:r>
                  <w:r>
                    <w:rPr>
                      <w:rFonts w:hint="default" w:ascii="Times New Roman" w:hAnsi="Times New Roman" w:cs="Times New Roman"/>
                      <w:color w:val="auto"/>
                      <w:kern w:val="2"/>
                      <w:szCs w:val="24"/>
                      <w:u w:val="none"/>
                      <w:lang w:val="en-US" w:eastAsia="zh-CN"/>
                    </w:rPr>
                    <w:t>、爆炸</w:t>
                  </w:r>
                </w:p>
              </w:tc>
            </w:tr>
          </w:tbl>
          <w:p>
            <w:pPr>
              <w:widowControl w:val="0"/>
              <w:spacing w:line="360" w:lineRule="auto"/>
              <w:ind w:firstLine="480" w:firstLineChars="200"/>
              <w:jc w:val="both"/>
              <w:rPr>
                <w:rFonts w:hint="default" w:ascii="Times New Roman" w:hAnsi="Times New Roman" w:eastAsia="宋体" w:cs="Times New Roman"/>
                <w:color w:val="auto"/>
                <w:kern w:val="2"/>
                <w:sz w:val="24"/>
                <w:szCs w:val="24"/>
                <w:u w:val="none"/>
                <w:lang w:val="en-US" w:eastAsia="zh-CN" w:bidi="ar-SA"/>
              </w:rPr>
            </w:pPr>
            <w:r>
              <w:rPr>
                <w:rFonts w:hint="default" w:ascii="Times New Roman" w:hAnsi="Times New Roman" w:eastAsia="宋体" w:cs="Times New Roman"/>
                <w:color w:val="auto"/>
                <w:kern w:val="2"/>
                <w:sz w:val="24"/>
                <w:szCs w:val="24"/>
                <w:u w:val="none"/>
                <w:lang w:val="en-US" w:eastAsia="zh-CN" w:bidi="ar-SA"/>
              </w:rPr>
              <w:t>重大危险源辨识：根据《危险化学品重大危险源辨识》（18218-2009），本项目生产、加工、运输、使用或贮存中涉及的物料无重大危险源。</w:t>
            </w:r>
          </w:p>
          <w:p>
            <w:pPr>
              <w:widowControl w:val="0"/>
              <w:spacing w:line="360" w:lineRule="auto"/>
              <w:ind w:firstLine="480" w:firstLineChars="200"/>
              <w:jc w:val="both"/>
              <w:rPr>
                <w:rFonts w:hint="default" w:ascii="Times New Roman" w:hAnsi="Times New Roman" w:eastAsia="宋体" w:cs="Times New Roman"/>
                <w:color w:val="auto"/>
                <w:kern w:val="2"/>
                <w:sz w:val="24"/>
                <w:szCs w:val="24"/>
                <w:u w:val="none"/>
                <w:lang w:val="en-US" w:eastAsia="zh-CN" w:bidi="ar-SA"/>
              </w:rPr>
            </w:pPr>
            <w:r>
              <w:rPr>
                <w:rFonts w:hint="default" w:ascii="Times New Roman" w:hAnsi="Times New Roman" w:eastAsia="宋体" w:cs="Times New Roman"/>
                <w:color w:val="auto"/>
                <w:kern w:val="2"/>
                <w:sz w:val="24"/>
                <w:szCs w:val="24"/>
                <w:u w:val="none"/>
                <w:lang w:val="en-US" w:eastAsia="zh-CN" w:bidi="ar-SA"/>
              </w:rPr>
              <w:t>（3）环境风险发生原因分析</w:t>
            </w:r>
          </w:p>
          <w:p>
            <w:pPr>
              <w:pStyle w:val="82"/>
              <w:keepNext w:val="0"/>
              <w:keepLines w:val="0"/>
              <w:pageBreakBefore w:val="0"/>
              <w:widowControl w:val="0"/>
              <w:kinsoku/>
              <w:wordWrap/>
              <w:overflowPunct/>
              <w:topLinePunct w:val="0"/>
              <w:autoSpaceDE/>
              <w:autoSpaceDN/>
              <w:bidi w:val="0"/>
              <w:adjustRightInd/>
              <w:snapToGrid/>
              <w:spacing w:before="0" w:beforeLine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表4-1</w:t>
            </w:r>
            <w:r>
              <w:rPr>
                <w:rFonts w:hint="eastAsia" w:cs="Times New Roman"/>
                <w:lang w:val="en-US" w:eastAsia="zh-CN"/>
              </w:rPr>
              <w:t>1</w:t>
            </w:r>
            <w:r>
              <w:rPr>
                <w:rFonts w:hint="default" w:ascii="Times New Roman" w:hAnsi="Times New Roman" w:cs="Times New Roman"/>
                <w:lang w:val="en-US" w:eastAsia="zh-CN"/>
              </w:rPr>
              <w:t xml:space="preserve"> 项目环境风险发生原因</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1"/>
              <w:gridCol w:w="1728"/>
              <w:gridCol w:w="1457"/>
              <w:gridCol w:w="39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951" w:type="dxa"/>
                  <w:shd w:val="clear" w:color="auto" w:fill="auto"/>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序号</w:t>
                  </w:r>
                </w:p>
              </w:tc>
              <w:tc>
                <w:tcPr>
                  <w:tcW w:w="1728" w:type="dxa"/>
                  <w:shd w:val="clear" w:color="auto" w:fill="auto"/>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生产场所</w:t>
                  </w:r>
                </w:p>
              </w:tc>
              <w:tc>
                <w:tcPr>
                  <w:tcW w:w="1457" w:type="dxa"/>
                  <w:shd w:val="clear" w:color="auto" w:fill="auto"/>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主要危险</w:t>
                  </w:r>
                </w:p>
              </w:tc>
              <w:tc>
                <w:tcPr>
                  <w:tcW w:w="3952" w:type="dxa"/>
                  <w:shd w:val="clear" w:color="auto" w:fill="auto"/>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可能原因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1" w:type="dxa"/>
                  <w:shd w:val="clear" w:color="auto" w:fill="auto"/>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728" w:type="dxa"/>
                  <w:shd w:val="clear" w:color="auto" w:fill="auto"/>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color w:val="auto"/>
                      <w:sz w:val="21"/>
                      <w:szCs w:val="21"/>
                      <w:u w:val="none"/>
                      <w:lang w:val="en-US" w:eastAsia="zh-CN"/>
                    </w:rPr>
                    <w:t>储存场所</w:t>
                  </w:r>
                </w:p>
              </w:tc>
              <w:tc>
                <w:tcPr>
                  <w:tcW w:w="1457" w:type="dxa"/>
                  <w:shd w:val="clear" w:color="auto" w:fill="auto"/>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泄漏</w:t>
                  </w:r>
                </w:p>
              </w:tc>
              <w:tc>
                <w:tcPr>
                  <w:tcW w:w="3952" w:type="dxa"/>
                  <w:shd w:val="clear" w:color="auto" w:fill="auto"/>
                  <w:noWrap w:val="0"/>
                  <w:vAlign w:val="center"/>
                </w:tcPr>
                <w:p>
                  <w:pPr>
                    <w:pStyle w:val="3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危险化学品发生泄漏，对周边环境造成影响</w:t>
                  </w:r>
                </w:p>
              </w:tc>
            </w:tr>
          </w:tbl>
          <w:p>
            <w:pPr>
              <w:pStyle w:val="36"/>
              <w:bidi w:val="0"/>
              <w:rPr>
                <w:b/>
                <w:bCs/>
              </w:rPr>
            </w:pPr>
            <w:r>
              <w:rPr>
                <w:rFonts w:hint="eastAsia"/>
                <w:b/>
                <w:bCs/>
                <w:lang w:val="en-US" w:eastAsia="zh-CN"/>
              </w:rPr>
              <w:t>3</w:t>
            </w:r>
            <w:r>
              <w:rPr>
                <w:b/>
                <w:bCs/>
              </w:rPr>
              <w:t>、环境风险分析</w:t>
            </w:r>
          </w:p>
          <w:p>
            <w:pPr>
              <w:pStyle w:val="36"/>
              <w:bidi w:val="0"/>
              <w:rPr>
                <w:rFonts w:hint="default"/>
              </w:rPr>
            </w:pPr>
            <w:r>
              <w:rPr>
                <w:rFonts w:hint="default"/>
              </w:rPr>
              <w:t>（1）突发事故产生的环境影响及应急处理措施</w:t>
            </w:r>
          </w:p>
          <w:p>
            <w:pPr>
              <w:pStyle w:val="36"/>
              <w:bidi w:val="0"/>
              <w:rPr>
                <w:rFonts w:hint="default"/>
              </w:rPr>
            </w:pPr>
            <w:r>
              <w:rPr>
                <w:rFonts w:hint="default"/>
              </w:rPr>
              <w:t>本项目突发环境事件主要为</w:t>
            </w:r>
            <w:r>
              <w:rPr>
                <w:rFonts w:hint="eastAsia"/>
                <w:lang w:val="en-US" w:eastAsia="zh-CN"/>
              </w:rPr>
              <w:t>危险化学品泄漏事件</w:t>
            </w:r>
            <w:r>
              <w:rPr>
                <w:rFonts w:hint="default"/>
              </w:rPr>
              <w:t>等引起的环境问题，以及由此发生的伴生事故及污染。突发环境风险事件的危害对象主要为人和厂区外部大气环境、水环境、土壤和生态环境等。</w:t>
            </w:r>
          </w:p>
          <w:p>
            <w:pPr>
              <w:pStyle w:val="36"/>
              <w:rPr>
                <w:rFonts w:hint="default" w:ascii="Times New Roman" w:hAnsi="Times New Roman" w:cs="Times New Roman"/>
                <w:color w:val="auto"/>
                <w:u w:val="none"/>
              </w:rPr>
            </w:pPr>
            <w:r>
              <w:rPr>
                <w:rFonts w:hint="default"/>
                <w:color w:val="auto"/>
                <w:u w:val="none"/>
              </w:rPr>
              <w:t>1）</w:t>
            </w:r>
            <w:r>
              <w:rPr>
                <w:rFonts w:hint="default" w:ascii="Times New Roman" w:hAnsi="Times New Roman" w:cs="Times New Roman"/>
                <w:color w:val="auto"/>
                <w:u w:val="none"/>
              </w:rPr>
              <w:t>危险化学品防范措施</w:t>
            </w:r>
          </w:p>
          <w:p>
            <w:pPr>
              <w:pStyle w:val="36"/>
              <w:rPr>
                <w:rFonts w:hint="default" w:ascii="Times New Roman" w:hAnsi="Times New Roman" w:cs="Times New Roman"/>
                <w:color w:val="auto"/>
                <w:u w:val="none"/>
              </w:rPr>
            </w:pPr>
            <w:r>
              <w:rPr>
                <w:rFonts w:hint="default" w:ascii="Times New Roman" w:hAnsi="Times New Roman" w:cs="Times New Roman"/>
                <w:color w:val="auto"/>
                <w:u w:val="none"/>
              </w:rPr>
              <w:t>本项目在生产过程中将使用到常见</w:t>
            </w:r>
            <w:r>
              <w:rPr>
                <w:rFonts w:hint="eastAsia" w:ascii="Times New Roman" w:hAnsi="Times New Roman" w:cs="Times New Roman"/>
                <w:color w:val="auto"/>
                <w:u w:val="none"/>
                <w:lang w:val="en-US" w:eastAsia="zh-CN"/>
              </w:rPr>
              <w:t>危险化学品</w:t>
            </w:r>
            <w:r>
              <w:rPr>
                <w:rFonts w:hint="default" w:ascii="Times New Roman" w:hAnsi="Times New Roman" w:cs="Times New Roman"/>
                <w:color w:val="auto"/>
                <w:u w:val="none"/>
              </w:rPr>
              <w:t>，如</w:t>
            </w:r>
            <w:r>
              <w:rPr>
                <w:rFonts w:hint="eastAsia" w:ascii="Times New Roman" w:hAnsi="Times New Roman" w:cs="Times New Roman"/>
                <w:color w:val="auto"/>
                <w:u w:val="none"/>
                <w:lang w:val="en-US" w:eastAsia="zh-CN"/>
              </w:rPr>
              <w:t>盐酸、氢氧化钠、氨水</w:t>
            </w:r>
            <w:r>
              <w:rPr>
                <w:rFonts w:hint="default" w:ascii="Times New Roman" w:hAnsi="Times New Roman" w:cs="Times New Roman"/>
                <w:color w:val="auto"/>
                <w:u w:val="none"/>
              </w:rPr>
              <w:t>等，所有危险化学品集中存储于仓库的原料存储间，不存在重大风险源。原料存储间管理要求如下：</w:t>
            </w:r>
          </w:p>
          <w:p>
            <w:pPr>
              <w:pStyle w:val="36"/>
              <w:rPr>
                <w:rFonts w:hint="eastAsia" w:ascii="Times New Roman" w:hAnsi="Times New Roman" w:eastAsia="宋体" w:cs="Times New Roman"/>
                <w:color w:val="auto"/>
                <w:u w:val="none"/>
                <w:lang w:eastAsia="zh-CN"/>
              </w:rPr>
            </w:pPr>
            <w:r>
              <w:rPr>
                <w:rFonts w:hint="default" w:ascii="Times New Roman" w:hAnsi="Times New Roman" w:cs="Times New Roman"/>
                <w:color w:val="auto"/>
                <w:u w:val="none"/>
              </w:rPr>
              <w:t>①贮存区应有与生产规模相适应的面积和空间用于存放物料</w:t>
            </w:r>
            <w:r>
              <w:rPr>
                <w:rFonts w:hint="eastAsia" w:ascii="Times New Roman" w:hAnsi="Times New Roman" w:cs="Times New Roman"/>
                <w:color w:val="auto"/>
                <w:u w:val="none"/>
                <w:lang w:eastAsia="zh-CN"/>
              </w:rPr>
              <w:t>。</w:t>
            </w:r>
          </w:p>
          <w:p>
            <w:pPr>
              <w:pStyle w:val="36"/>
              <w:rPr>
                <w:rFonts w:hint="default" w:ascii="Times New Roman" w:hAnsi="Times New Roman" w:cs="Times New Roman"/>
                <w:color w:val="auto"/>
                <w:u w:val="none"/>
              </w:rPr>
            </w:pPr>
            <w:r>
              <w:rPr>
                <w:rFonts w:hint="default" w:ascii="Times New Roman" w:hAnsi="Times New Roman" w:cs="Times New Roman"/>
                <w:color w:val="auto"/>
                <w:u w:val="none"/>
              </w:rPr>
              <w:t>②</w:t>
            </w:r>
            <w:r>
              <w:rPr>
                <w:rFonts w:hint="eastAsia" w:ascii="Times New Roman" w:hAnsi="Times New Roman" w:cs="Times New Roman"/>
                <w:color w:val="auto"/>
                <w:u w:val="none"/>
                <w:lang w:val="en-US" w:eastAsia="zh-CN"/>
              </w:rPr>
              <w:t>危险化学品</w:t>
            </w:r>
            <w:r>
              <w:rPr>
                <w:rFonts w:hint="default" w:ascii="Times New Roman" w:hAnsi="Times New Roman" w:cs="Times New Roman"/>
                <w:color w:val="auto"/>
                <w:u w:val="none"/>
              </w:rPr>
              <w:t>应指定专人保管，并有帐目。在固体</w:t>
            </w:r>
            <w:r>
              <w:rPr>
                <w:rFonts w:hint="eastAsia" w:ascii="Times New Roman" w:hAnsi="Times New Roman" w:cs="Times New Roman"/>
                <w:color w:val="auto"/>
                <w:u w:val="none"/>
                <w:lang w:val="en-US" w:eastAsia="zh-CN"/>
              </w:rPr>
              <w:t>化学品</w:t>
            </w:r>
            <w:r>
              <w:rPr>
                <w:rFonts w:hint="default" w:ascii="Times New Roman" w:hAnsi="Times New Roman" w:cs="Times New Roman"/>
                <w:color w:val="auto"/>
                <w:u w:val="none"/>
              </w:rPr>
              <w:t>和液体</w:t>
            </w:r>
            <w:r>
              <w:rPr>
                <w:rFonts w:hint="eastAsia" w:ascii="Times New Roman" w:hAnsi="Times New Roman" w:cs="Times New Roman"/>
                <w:color w:val="auto"/>
                <w:u w:val="none"/>
                <w:lang w:val="en-US" w:eastAsia="zh-CN"/>
              </w:rPr>
              <w:t>化学品</w:t>
            </w:r>
            <w:r>
              <w:rPr>
                <w:rFonts w:hint="default" w:ascii="Times New Roman" w:hAnsi="Times New Roman" w:cs="Times New Roman"/>
                <w:color w:val="auto"/>
                <w:u w:val="none"/>
              </w:rPr>
              <w:t>及化学性质不同或灭火方法相抵触的</w:t>
            </w:r>
            <w:r>
              <w:rPr>
                <w:rFonts w:hint="eastAsia" w:ascii="Times New Roman" w:hAnsi="Times New Roman" w:cs="Times New Roman"/>
                <w:color w:val="auto"/>
                <w:u w:val="none"/>
                <w:lang w:val="en-US" w:eastAsia="zh-CN"/>
              </w:rPr>
              <w:t>化学品</w:t>
            </w:r>
            <w:r>
              <w:rPr>
                <w:rFonts w:hint="default" w:ascii="Times New Roman" w:hAnsi="Times New Roman" w:cs="Times New Roman"/>
                <w:color w:val="auto"/>
                <w:u w:val="none"/>
              </w:rPr>
              <w:t>应分</w:t>
            </w:r>
            <w:r>
              <w:rPr>
                <w:rFonts w:hint="eastAsia" w:ascii="Times New Roman" w:hAnsi="Times New Roman" w:cs="Times New Roman"/>
                <w:color w:val="auto"/>
                <w:u w:val="none"/>
                <w:lang w:val="en-US" w:eastAsia="zh-CN"/>
              </w:rPr>
              <w:t>开</w:t>
            </w:r>
            <w:r>
              <w:rPr>
                <w:rFonts w:hint="default" w:ascii="Times New Roman" w:hAnsi="Times New Roman" w:cs="Times New Roman"/>
                <w:color w:val="auto"/>
                <w:u w:val="none"/>
              </w:rPr>
              <w:t>存放。</w:t>
            </w:r>
          </w:p>
          <w:p>
            <w:pPr>
              <w:pStyle w:val="36"/>
              <w:rPr>
                <w:rFonts w:hint="default" w:ascii="Times New Roman" w:hAnsi="Times New Roman" w:cs="Times New Roman"/>
                <w:color w:val="auto"/>
                <w:u w:val="none"/>
              </w:rPr>
            </w:pPr>
            <w:r>
              <w:rPr>
                <w:rFonts w:hint="default" w:ascii="Times New Roman" w:hAnsi="Times New Roman" w:cs="Times New Roman"/>
                <w:color w:val="auto"/>
                <w:u w:val="none"/>
              </w:rPr>
              <w:t>③</w:t>
            </w:r>
            <w:r>
              <w:rPr>
                <w:rFonts w:hint="eastAsia" w:ascii="Times New Roman" w:hAnsi="Times New Roman" w:cs="Times New Roman"/>
                <w:color w:val="auto"/>
                <w:u w:val="none"/>
                <w:lang w:val="en-US" w:eastAsia="zh-CN"/>
              </w:rPr>
              <w:t>危险</w:t>
            </w:r>
            <w:r>
              <w:rPr>
                <w:rFonts w:hint="default" w:ascii="Times New Roman" w:hAnsi="Times New Roman" w:cs="Times New Roman"/>
                <w:color w:val="auto"/>
                <w:u w:val="none"/>
              </w:rPr>
              <w:t>化学品必须根据化质分类存放，易燃、易爆、剧毒学性、强腐蚀品不得混放。易燃易爆物应远离火源</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易挥发试剂应贮放在有通风设备的房间内。</w:t>
            </w:r>
          </w:p>
          <w:p>
            <w:pPr>
              <w:pStyle w:val="36"/>
              <w:rPr>
                <w:rFonts w:hint="default" w:ascii="Times New Roman" w:hAnsi="Times New Roman" w:cs="Times New Roman"/>
                <w:color w:val="auto"/>
                <w:u w:val="none"/>
              </w:rPr>
            </w:pPr>
            <w:r>
              <w:rPr>
                <w:rFonts w:hint="default" w:ascii="Times New Roman" w:hAnsi="Times New Roman" w:cs="Times New Roman"/>
                <w:color w:val="auto"/>
                <w:u w:val="none"/>
              </w:rPr>
              <w:t>④</w:t>
            </w:r>
            <w:r>
              <w:rPr>
                <w:rFonts w:hint="eastAsia" w:ascii="Times New Roman" w:hAnsi="Times New Roman" w:cs="Times New Roman"/>
                <w:color w:val="auto"/>
                <w:u w:val="none"/>
                <w:lang w:val="en-US" w:eastAsia="zh-CN"/>
              </w:rPr>
              <w:t>危险</w:t>
            </w:r>
            <w:r>
              <w:rPr>
                <w:rFonts w:hint="default" w:ascii="Times New Roman" w:hAnsi="Times New Roman" w:cs="Times New Roman"/>
                <w:color w:val="auto"/>
                <w:u w:val="none"/>
              </w:rPr>
              <w:t>化学品的采购和提运按公安部门和交通运输部门的有关规定办理。</w:t>
            </w:r>
            <w:r>
              <w:rPr>
                <w:rFonts w:hint="eastAsia" w:ascii="Times New Roman" w:hAnsi="Times New Roman" w:cs="Times New Roman"/>
                <w:color w:val="auto"/>
                <w:u w:val="none"/>
                <w:lang w:val="en-US" w:eastAsia="zh-CN"/>
              </w:rPr>
              <w:t>危险</w:t>
            </w:r>
            <w:r>
              <w:rPr>
                <w:rFonts w:hint="default" w:ascii="Times New Roman" w:hAnsi="Times New Roman" w:cs="Times New Roman"/>
                <w:color w:val="auto"/>
                <w:u w:val="none"/>
              </w:rPr>
              <w:t>化学品要单独存放，由双人双锁专人管理。</w:t>
            </w:r>
          </w:p>
          <w:p>
            <w:pPr>
              <w:pStyle w:val="36"/>
              <w:rPr>
                <w:rFonts w:hint="default" w:ascii="Times New Roman" w:hAnsi="Times New Roman" w:cs="Times New Roman"/>
                <w:color w:val="auto"/>
                <w:u w:val="none"/>
              </w:rPr>
            </w:pPr>
            <w:r>
              <w:rPr>
                <w:rFonts w:hint="default" w:ascii="Times New Roman" w:hAnsi="Times New Roman" w:cs="Times New Roman"/>
                <w:color w:val="auto"/>
                <w:u w:val="none"/>
              </w:rPr>
              <w:t>⑤要经常检查</w:t>
            </w:r>
            <w:r>
              <w:rPr>
                <w:rFonts w:hint="eastAsia" w:ascii="Times New Roman" w:hAnsi="Times New Roman" w:cs="Times New Roman"/>
                <w:color w:val="auto"/>
                <w:u w:val="none"/>
                <w:lang w:val="en-US" w:eastAsia="zh-CN"/>
              </w:rPr>
              <w:t>危险</w:t>
            </w:r>
            <w:r>
              <w:rPr>
                <w:rFonts w:hint="default" w:ascii="Times New Roman" w:hAnsi="Times New Roman" w:cs="Times New Roman"/>
                <w:color w:val="auto"/>
                <w:u w:val="none"/>
              </w:rPr>
              <w:t>化学品，防止因变质、分解造成自燃、自爆事故。</w:t>
            </w:r>
          </w:p>
          <w:p>
            <w:pPr>
              <w:pStyle w:val="36"/>
              <w:rPr>
                <w:rFonts w:hint="default" w:ascii="Times New Roman" w:hAnsi="Times New Roman" w:cs="Times New Roman"/>
                <w:color w:val="auto"/>
                <w:u w:val="none"/>
              </w:rPr>
            </w:pPr>
            <w:r>
              <w:rPr>
                <w:rFonts w:hint="default" w:ascii="Times New Roman" w:hAnsi="Times New Roman" w:cs="Times New Roman"/>
                <w:color w:val="auto"/>
                <w:u w:val="none"/>
              </w:rPr>
              <w:t>2）危险化学品应急处置措施</w:t>
            </w:r>
          </w:p>
          <w:p>
            <w:pPr>
              <w:pStyle w:val="36"/>
              <w:rPr>
                <w:rFonts w:hint="default" w:ascii="Times New Roman" w:hAnsi="Times New Roman" w:cs="Times New Roman"/>
                <w:color w:val="auto"/>
                <w:u w:val="none"/>
              </w:rPr>
            </w:pPr>
            <w:r>
              <w:rPr>
                <w:rFonts w:hint="default" w:ascii="Times New Roman" w:hAnsi="Times New Roman" w:cs="Times New Roman"/>
                <w:color w:val="auto"/>
                <w:u w:val="none"/>
              </w:rPr>
              <w:t>①隔离事故区域、限值无关人员出入；</w:t>
            </w:r>
          </w:p>
          <w:p>
            <w:pPr>
              <w:pStyle w:val="36"/>
              <w:rPr>
                <w:rFonts w:hint="default" w:ascii="Times New Roman" w:hAnsi="Times New Roman" w:cs="Times New Roman"/>
                <w:color w:val="auto"/>
                <w:u w:val="none"/>
              </w:rPr>
            </w:pPr>
            <w:r>
              <w:rPr>
                <w:rFonts w:hint="default" w:ascii="Times New Roman" w:hAnsi="Times New Roman" w:cs="Times New Roman"/>
                <w:color w:val="auto"/>
                <w:u w:val="none"/>
              </w:rPr>
              <w:t>②应急人员必须戴好防毒面具（全面罩），穿好防护服（防毒服）对扩散出来的危险化学品进行清理，禁止直接接触泄漏物；</w:t>
            </w:r>
          </w:p>
          <w:p>
            <w:pPr>
              <w:pStyle w:val="36"/>
              <w:rPr>
                <w:rFonts w:hint="default" w:ascii="Times New Roman" w:hAnsi="Times New Roman" w:cs="Times New Roman"/>
                <w:color w:val="auto"/>
                <w:u w:val="none"/>
              </w:rPr>
            </w:pPr>
            <w:r>
              <w:rPr>
                <w:rFonts w:hint="default" w:ascii="Times New Roman" w:hAnsi="Times New Roman" w:cs="Times New Roman"/>
                <w:color w:val="auto"/>
                <w:u w:val="none"/>
              </w:rPr>
              <w:t>③洒漏在地面的液体危险物质由责任部门（相关方由相关负责部门监督）用棉纱清除，棉纱放在危废收集容器内，作为危废处置；</w:t>
            </w:r>
          </w:p>
          <w:p>
            <w:pPr>
              <w:pStyle w:val="36"/>
              <w:rPr>
                <w:rFonts w:hint="default" w:ascii="Times New Roman" w:hAnsi="Times New Roman" w:cs="Times New Roman"/>
                <w:color w:val="auto"/>
                <w:u w:val="none"/>
              </w:rPr>
            </w:pPr>
            <w:r>
              <w:rPr>
                <w:rFonts w:hint="default" w:ascii="Times New Roman" w:hAnsi="Times New Roman" w:cs="Times New Roman"/>
                <w:color w:val="auto"/>
                <w:u w:val="none"/>
              </w:rPr>
              <w:t>④洒漏的固体危险物质，立即进行妥善收集；</w:t>
            </w:r>
          </w:p>
          <w:p>
            <w:pPr>
              <w:pStyle w:val="36"/>
              <w:rPr>
                <w:rFonts w:hint="default" w:ascii="Times New Roman" w:hAnsi="Times New Roman" w:cs="Times New Roman"/>
                <w:color w:val="auto"/>
                <w:u w:val="none"/>
              </w:rPr>
            </w:pPr>
            <w:r>
              <w:rPr>
                <w:rFonts w:hint="default" w:ascii="Times New Roman" w:hAnsi="Times New Roman" w:cs="Times New Roman"/>
                <w:color w:val="auto"/>
                <w:u w:val="none"/>
              </w:rPr>
              <w:t>⑤对被危险化学品污染的场地用清水处理，并将处理水进行收集处理；危险化学品清理完成后需对受污染的地表水进行监测，并根据污染程度采取修复措施。</w:t>
            </w:r>
          </w:p>
          <w:p>
            <w:pPr>
              <w:pStyle w:val="36"/>
              <w:rPr>
                <w:rFonts w:hint="default" w:ascii="Times New Roman" w:hAnsi="Times New Roman" w:cs="Times New Roman"/>
                <w:color w:val="auto"/>
                <w:u w:val="none"/>
              </w:rPr>
            </w:pPr>
            <w:r>
              <w:rPr>
                <w:rFonts w:hint="default" w:ascii="Times New Roman" w:hAnsi="Times New Roman" w:cs="Times New Roman"/>
                <w:color w:val="auto"/>
                <w:u w:val="none"/>
              </w:rPr>
              <w:t>⑥如原料发生外漏事故，则应避免扬尘，用清洁的铲子收集于干燥、洁净、有盖的容器中，转移回收至原料库；收集处理后对被污染的场地进行专门处理。</w:t>
            </w:r>
          </w:p>
          <w:p>
            <w:pPr>
              <w:pStyle w:val="36"/>
              <w:rPr>
                <w:rFonts w:hint="default" w:ascii="Times New Roman" w:hAnsi="Times New Roman" w:cs="Times New Roman"/>
                <w:color w:val="auto"/>
                <w:u w:val="none"/>
              </w:rPr>
            </w:pPr>
            <w:r>
              <w:rPr>
                <w:rFonts w:hint="default" w:ascii="Times New Roman" w:hAnsi="Times New Roman" w:cs="Times New Roman"/>
                <w:color w:val="auto"/>
                <w:u w:val="none"/>
              </w:rPr>
              <w:t>⑦意外事故受伤就地隔离治疗，密切观察接触者，必要时请医院医生协助救治，由办公室负责；</w:t>
            </w:r>
          </w:p>
          <w:p>
            <w:pPr>
              <w:pStyle w:val="36"/>
              <w:rPr>
                <w:rFonts w:hint="default" w:ascii="Times New Roman" w:hAnsi="Times New Roman" w:cs="Times New Roman"/>
                <w:color w:val="auto"/>
                <w:u w:val="none"/>
              </w:rPr>
            </w:pPr>
            <w:r>
              <w:rPr>
                <w:rFonts w:hint="default" w:ascii="Times New Roman" w:hAnsi="Times New Roman" w:cs="Times New Roman"/>
                <w:color w:val="auto"/>
                <w:u w:val="none"/>
              </w:rPr>
              <w:t>⑧危废仓应急设施有：消防沙、碎步或棉纱等。</w:t>
            </w:r>
          </w:p>
          <w:p>
            <w:pPr>
              <w:pStyle w:val="36"/>
              <w:rPr>
                <w:rFonts w:hint="default"/>
                <w:color w:val="auto"/>
                <w:u w:val="none"/>
              </w:rPr>
            </w:pPr>
            <w:r>
              <w:rPr>
                <w:rFonts w:hint="default" w:ascii="Times New Roman" w:hAnsi="Times New Roman" w:cs="Times New Roman"/>
                <w:color w:val="auto"/>
                <w:u w:val="none"/>
              </w:rPr>
              <w:t>一般情况下，本项目发生上述风险事故几率较小，为进一步减少风险产生的几率，避免风险情况的出现，</w:t>
            </w:r>
            <w:r>
              <w:rPr>
                <w:rFonts w:hint="eastAsia" w:ascii="Times New Roman" w:hAnsi="Times New Roman" w:cs="Times New Roman"/>
                <w:color w:val="auto"/>
                <w:u w:val="none"/>
                <w:lang w:val="en-US" w:eastAsia="zh-CN"/>
              </w:rPr>
              <w:t>原料仓库</w:t>
            </w:r>
            <w:r>
              <w:rPr>
                <w:rFonts w:hint="default" w:ascii="Times New Roman" w:hAnsi="Times New Roman" w:cs="Times New Roman"/>
                <w:color w:val="auto"/>
                <w:u w:val="none"/>
              </w:rPr>
              <w:t>应加强风险管理，提高风险防范意识，预防员工中毒相关预案，减轻风险情况造成的危害程度。本项目</w:t>
            </w:r>
            <w:r>
              <w:rPr>
                <w:rFonts w:hint="eastAsia" w:ascii="Times New Roman" w:hAnsi="Times New Roman" w:cs="Times New Roman"/>
                <w:color w:val="auto"/>
                <w:u w:val="none"/>
                <w:lang w:val="en-US" w:eastAsia="zh-CN"/>
              </w:rPr>
              <w:t>危险化学品</w:t>
            </w:r>
            <w:r>
              <w:rPr>
                <w:rFonts w:hint="default" w:ascii="Times New Roman" w:hAnsi="Times New Roman" w:cs="Times New Roman"/>
                <w:color w:val="auto"/>
                <w:u w:val="none"/>
              </w:rPr>
              <w:t>使用量小，本身不需大量储存，风险发生概率低。</w:t>
            </w:r>
          </w:p>
          <w:p>
            <w:pPr>
              <w:pStyle w:val="36"/>
              <w:bidi w:val="0"/>
              <w:rPr>
                <w:b/>
                <w:bCs/>
              </w:rPr>
            </w:pPr>
            <w:r>
              <w:rPr>
                <w:rFonts w:hint="eastAsia"/>
                <w:b/>
                <w:bCs/>
                <w:lang w:val="en-US" w:eastAsia="zh-CN"/>
              </w:rPr>
              <w:t>4</w:t>
            </w:r>
            <w:r>
              <w:rPr>
                <w:b/>
                <w:bCs/>
              </w:rPr>
              <w:t>、分析结论</w:t>
            </w:r>
          </w:p>
          <w:p>
            <w:pPr>
              <w:pStyle w:val="36"/>
              <w:bidi w:val="0"/>
            </w:pPr>
            <w:r>
              <w:rPr>
                <w:rFonts w:hint="default" w:ascii="Times New Roman" w:hAnsi="Times New Roman" w:cs="Times New Roman"/>
                <w:b w:val="0"/>
                <w:bCs/>
                <w:color w:val="auto"/>
                <w:kern w:val="0"/>
                <w:u w:val="none"/>
                <w:lang w:eastAsia="zh-CN"/>
              </w:rPr>
              <w:t>根据上述分析，</w:t>
            </w:r>
            <w:r>
              <w:t>在做好上述各项防范措施后，项目生产过程的环境风险是可控的。</w:t>
            </w:r>
          </w:p>
          <w:p>
            <w:pPr>
              <w:pStyle w:val="36"/>
              <w:bidi w:val="0"/>
              <w:rPr>
                <w:b/>
                <w:bCs/>
                <w:u w:val="single"/>
              </w:rPr>
            </w:pPr>
            <w:r>
              <w:rPr>
                <w:rFonts w:hint="eastAsia"/>
                <w:b/>
                <w:bCs/>
                <w:u w:val="single"/>
                <w:lang w:val="en-US" w:eastAsia="zh-CN"/>
              </w:rPr>
              <w:t>七</w:t>
            </w:r>
            <w:r>
              <w:rPr>
                <w:b/>
                <w:bCs/>
                <w:u w:val="single"/>
              </w:rPr>
              <w:t>、环境监测计划</w:t>
            </w:r>
          </w:p>
          <w:p>
            <w:pPr>
              <w:pStyle w:val="36"/>
              <w:bidi w:val="0"/>
              <w:rPr>
                <w:color w:val="000000"/>
                <w:u w:val="single"/>
              </w:rPr>
            </w:pPr>
            <w:r>
              <w:rPr>
                <w:u w:val="single"/>
              </w:rPr>
              <w:t xml:space="preserve">根据《排污单位自行监测技术指南 </w:t>
            </w:r>
            <w:r>
              <w:rPr>
                <w:rFonts w:hint="eastAsia"/>
                <w:u w:val="single"/>
                <w:lang w:val="en-US" w:eastAsia="zh-CN"/>
              </w:rPr>
              <w:t>总则</w:t>
            </w:r>
            <w:r>
              <w:rPr>
                <w:u w:val="single"/>
              </w:rPr>
              <w:t>》（HJ</w:t>
            </w:r>
            <w:r>
              <w:rPr>
                <w:rFonts w:hint="eastAsia"/>
                <w:u w:val="single"/>
                <w:lang w:val="en-US" w:eastAsia="zh-CN"/>
              </w:rPr>
              <w:t>819</w:t>
            </w:r>
            <w:r>
              <w:rPr>
                <w:u w:val="single"/>
              </w:rPr>
              <w:t>-</w:t>
            </w:r>
            <w:r>
              <w:rPr>
                <w:rFonts w:hint="eastAsia"/>
                <w:u w:val="single"/>
                <w:lang w:val="en-US" w:eastAsia="zh-CN"/>
              </w:rPr>
              <w:t>2017</w:t>
            </w:r>
            <w:r>
              <w:rPr>
                <w:u w:val="single"/>
              </w:rPr>
              <w:t>）规定，为了解项目对环境的影响及环境质量变化趋势，应建立污染源分类技术档案和监测档案，为环境污染治理提供必要的依据。环境监测计划安排如下。</w:t>
            </w:r>
          </w:p>
          <w:p>
            <w:pPr>
              <w:pStyle w:val="33"/>
              <w:rPr>
                <w:color w:val="FF0000"/>
                <w:u w:val="single"/>
              </w:rPr>
            </w:pPr>
            <w:r>
              <w:rPr>
                <w:color w:val="000000"/>
                <w:u w:val="single"/>
              </w:rPr>
              <w:t>表4-</w:t>
            </w:r>
            <w:r>
              <w:rPr>
                <w:rFonts w:hint="eastAsia"/>
                <w:color w:val="000000"/>
                <w:u w:val="single"/>
                <w:lang w:val="en-US" w:eastAsia="zh-CN"/>
              </w:rPr>
              <w:t>12</w:t>
            </w:r>
            <w:r>
              <w:rPr>
                <w:color w:val="000000"/>
                <w:u w:val="single"/>
              </w:rPr>
              <w:t xml:space="preserve"> 环境监测计划</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Layout w:type="fixed"/>
              <w:tblCellMar>
                <w:top w:w="0" w:type="dxa"/>
                <w:left w:w="108" w:type="dxa"/>
                <w:bottom w:w="0" w:type="dxa"/>
                <w:right w:w="108" w:type="dxa"/>
              </w:tblCellMar>
            </w:tblPr>
            <w:tblGrid>
              <w:gridCol w:w="1395"/>
              <w:gridCol w:w="1937"/>
              <w:gridCol w:w="3335"/>
              <w:gridCol w:w="14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40" w:hRule="exact"/>
                <w:jc w:val="center"/>
              </w:trPr>
              <w:tc>
                <w:tcPr>
                  <w:tcW w:w="862" w:type="pct"/>
                  <w:noWrap w:val="0"/>
                  <w:vAlign w:val="center"/>
                </w:tcPr>
                <w:p>
                  <w:pPr>
                    <w:pStyle w:val="37"/>
                    <w:rPr>
                      <w:rFonts w:hint="default"/>
                      <w:color w:val="auto"/>
                      <w:u w:val="single" w:color="auto"/>
                    </w:rPr>
                  </w:pPr>
                  <w:r>
                    <w:rPr>
                      <w:rFonts w:hint="default"/>
                      <w:color w:val="auto"/>
                      <w:u w:val="single" w:color="auto"/>
                    </w:rPr>
                    <w:t>监测项目</w:t>
                  </w:r>
                </w:p>
              </w:tc>
              <w:tc>
                <w:tcPr>
                  <w:tcW w:w="1197" w:type="pct"/>
                  <w:noWrap w:val="0"/>
                  <w:vAlign w:val="center"/>
                </w:tcPr>
                <w:p>
                  <w:pPr>
                    <w:pStyle w:val="37"/>
                    <w:rPr>
                      <w:rFonts w:hint="default"/>
                      <w:color w:val="auto"/>
                      <w:u w:val="single" w:color="auto"/>
                    </w:rPr>
                  </w:pPr>
                  <w:r>
                    <w:rPr>
                      <w:rFonts w:hint="default"/>
                      <w:color w:val="auto"/>
                      <w:u w:val="single" w:color="auto"/>
                    </w:rPr>
                    <w:t>监测点位</w:t>
                  </w:r>
                </w:p>
              </w:tc>
              <w:tc>
                <w:tcPr>
                  <w:tcW w:w="2061" w:type="pct"/>
                  <w:noWrap w:val="0"/>
                  <w:vAlign w:val="center"/>
                </w:tcPr>
                <w:p>
                  <w:pPr>
                    <w:pStyle w:val="37"/>
                    <w:rPr>
                      <w:rFonts w:hint="default"/>
                      <w:color w:val="auto"/>
                      <w:u w:val="single" w:color="auto"/>
                    </w:rPr>
                  </w:pPr>
                  <w:r>
                    <w:rPr>
                      <w:rFonts w:hint="default"/>
                      <w:color w:val="auto"/>
                      <w:u w:val="single" w:color="auto"/>
                    </w:rPr>
                    <w:t>监测因子</w:t>
                  </w:r>
                </w:p>
              </w:tc>
              <w:tc>
                <w:tcPr>
                  <w:tcW w:w="878" w:type="pct"/>
                  <w:noWrap w:val="0"/>
                  <w:vAlign w:val="center"/>
                </w:tcPr>
                <w:p>
                  <w:pPr>
                    <w:pStyle w:val="37"/>
                    <w:rPr>
                      <w:rFonts w:hint="default"/>
                      <w:color w:val="auto"/>
                      <w:u w:val="single" w:color="auto"/>
                    </w:rPr>
                  </w:pPr>
                  <w:r>
                    <w:rPr>
                      <w:rFonts w:hint="default"/>
                      <w:color w:val="auto"/>
                      <w:u w:val="single" w:color="auto"/>
                    </w:rPr>
                    <w:t>监测频次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40" w:hRule="atLeast"/>
                <w:jc w:val="center"/>
              </w:trPr>
              <w:tc>
                <w:tcPr>
                  <w:tcW w:w="862" w:type="pct"/>
                  <w:vMerge w:val="restart"/>
                  <w:noWrap w:val="0"/>
                  <w:vAlign w:val="center"/>
                </w:tcPr>
                <w:p>
                  <w:pPr>
                    <w:pStyle w:val="37"/>
                    <w:rPr>
                      <w:rFonts w:hint="default" w:eastAsia="宋体"/>
                      <w:color w:val="auto"/>
                      <w:u w:val="single" w:color="auto"/>
                      <w:lang w:val="en-US" w:eastAsia="zh-CN"/>
                    </w:rPr>
                  </w:pPr>
                  <w:r>
                    <w:rPr>
                      <w:rFonts w:hint="eastAsia"/>
                      <w:color w:val="auto"/>
                      <w:u w:val="single" w:color="auto"/>
                      <w:lang w:val="en-US" w:eastAsia="zh-CN"/>
                    </w:rPr>
                    <w:t>废水</w:t>
                  </w:r>
                </w:p>
              </w:tc>
              <w:tc>
                <w:tcPr>
                  <w:tcW w:w="1197" w:type="pct"/>
                  <w:vMerge w:val="restart"/>
                  <w:noWrap w:val="0"/>
                  <w:vAlign w:val="center"/>
                </w:tcPr>
                <w:p>
                  <w:pPr>
                    <w:pStyle w:val="37"/>
                    <w:rPr>
                      <w:rFonts w:hint="default" w:eastAsia="宋体"/>
                      <w:color w:val="auto"/>
                      <w:u w:val="single" w:color="auto"/>
                      <w:lang w:val="en-US" w:eastAsia="zh-CN"/>
                    </w:rPr>
                  </w:pPr>
                  <w:r>
                    <w:rPr>
                      <w:rFonts w:hint="default" w:ascii="Times New Roman" w:hAnsi="Times New Roman" w:eastAsia="宋体" w:cs="Times New Roman"/>
                      <w:sz w:val="21"/>
                      <w:szCs w:val="21"/>
                      <w:u w:val="single" w:color="auto"/>
                      <w:lang w:eastAsia="zh-CN"/>
                    </w:rPr>
                    <w:t>厂区废水总排口</w:t>
                  </w:r>
                </w:p>
              </w:tc>
              <w:tc>
                <w:tcPr>
                  <w:tcW w:w="2061" w:type="pct"/>
                  <w:noWrap w:val="0"/>
                  <w:vAlign w:val="center"/>
                </w:tcPr>
                <w:p>
                  <w:pPr>
                    <w:pStyle w:val="37"/>
                    <w:rPr>
                      <w:rFonts w:hint="default" w:eastAsia="宋体"/>
                      <w:color w:val="auto"/>
                      <w:u w:val="single" w:color="auto"/>
                      <w:vertAlign w:val="baseline"/>
                      <w:lang w:val="en-US" w:eastAsia="zh-CN"/>
                    </w:rPr>
                  </w:pPr>
                  <w:r>
                    <w:rPr>
                      <w:rFonts w:hint="eastAsia"/>
                      <w:color w:val="auto"/>
                      <w:u w:val="single" w:color="auto"/>
                      <w:vertAlign w:val="baseline"/>
                      <w:lang w:val="en-US" w:eastAsia="zh-CN"/>
                    </w:rPr>
                    <w:t>氯化物</w:t>
                  </w:r>
                </w:p>
              </w:tc>
              <w:tc>
                <w:tcPr>
                  <w:tcW w:w="878" w:type="pct"/>
                  <w:noWrap w:val="0"/>
                  <w:vAlign w:val="center"/>
                </w:tcPr>
                <w:p>
                  <w:pPr>
                    <w:pStyle w:val="37"/>
                    <w:rPr>
                      <w:rFonts w:hint="default" w:eastAsia="宋体"/>
                      <w:color w:val="FF0000"/>
                      <w:u w:val="single" w:color="auto"/>
                      <w:lang w:val="en-US" w:eastAsia="zh-CN"/>
                    </w:rPr>
                  </w:pPr>
                  <w:r>
                    <w:rPr>
                      <w:rFonts w:hint="eastAsia"/>
                      <w:color w:val="FF0000"/>
                      <w:u w:val="single" w:color="auto"/>
                      <w:lang w:val="en-US" w:eastAsia="zh-CN"/>
                    </w:rPr>
                    <w:t>一季度一次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40" w:hRule="atLeast"/>
                <w:jc w:val="center"/>
              </w:trPr>
              <w:tc>
                <w:tcPr>
                  <w:tcW w:w="862" w:type="pct"/>
                  <w:vMerge w:val="continue"/>
                  <w:noWrap w:val="0"/>
                  <w:vAlign w:val="center"/>
                </w:tcPr>
                <w:p>
                  <w:pPr>
                    <w:pStyle w:val="37"/>
                    <w:rPr>
                      <w:rFonts w:hint="eastAsia"/>
                      <w:color w:val="auto"/>
                      <w:u w:val="single" w:color="auto"/>
                      <w:lang w:val="en-US" w:eastAsia="zh-CN"/>
                    </w:rPr>
                  </w:pPr>
                </w:p>
              </w:tc>
              <w:tc>
                <w:tcPr>
                  <w:tcW w:w="1197" w:type="pct"/>
                  <w:vMerge w:val="continue"/>
                  <w:noWrap w:val="0"/>
                  <w:vAlign w:val="center"/>
                </w:tcPr>
                <w:p>
                  <w:pPr>
                    <w:pStyle w:val="37"/>
                    <w:rPr>
                      <w:rFonts w:hint="default" w:ascii="Times New Roman" w:hAnsi="Times New Roman" w:eastAsia="宋体" w:cs="Times New Roman"/>
                      <w:sz w:val="21"/>
                      <w:szCs w:val="21"/>
                      <w:u w:val="single" w:color="auto"/>
                      <w:lang w:eastAsia="zh-CN"/>
                    </w:rPr>
                  </w:pPr>
                </w:p>
              </w:tc>
              <w:tc>
                <w:tcPr>
                  <w:tcW w:w="2061" w:type="pct"/>
                  <w:noWrap w:val="0"/>
                  <w:vAlign w:val="center"/>
                </w:tcPr>
                <w:p>
                  <w:pPr>
                    <w:pStyle w:val="37"/>
                    <w:rPr>
                      <w:rFonts w:hint="eastAsia"/>
                      <w:color w:val="auto"/>
                      <w:u w:val="single" w:color="auto"/>
                      <w:vertAlign w:val="baseline"/>
                      <w:lang w:val="en-US" w:eastAsia="zh-CN"/>
                    </w:rPr>
                  </w:pPr>
                  <w:r>
                    <w:rPr>
                      <w:rFonts w:hint="eastAsia"/>
                      <w:color w:val="auto"/>
                      <w:u w:val="single" w:color="auto"/>
                      <w:vertAlign w:val="baseline"/>
                      <w:lang w:val="en-US" w:eastAsia="zh-CN"/>
                    </w:rPr>
                    <w:t>pH</w:t>
                  </w:r>
                </w:p>
              </w:tc>
              <w:tc>
                <w:tcPr>
                  <w:tcW w:w="878" w:type="pct"/>
                  <w:noWrap w:val="0"/>
                  <w:vAlign w:val="center"/>
                </w:tcPr>
                <w:p>
                  <w:pPr>
                    <w:pStyle w:val="37"/>
                    <w:rPr>
                      <w:rFonts w:hint="default"/>
                      <w:color w:val="FF0000"/>
                      <w:u w:val="single" w:color="auto"/>
                      <w:lang w:val="en-US" w:eastAsia="zh-CN"/>
                    </w:rPr>
                  </w:pPr>
                  <w:r>
                    <w:rPr>
                      <w:rFonts w:hint="eastAsia"/>
                      <w:color w:val="FF0000"/>
                      <w:u w:val="single" w:color="auto"/>
                      <w:lang w:val="en-US" w:eastAsia="zh-CN"/>
                    </w:rPr>
                    <w:t>自动监测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775" w:hRule="exact"/>
                <w:jc w:val="center"/>
              </w:trPr>
              <w:tc>
                <w:tcPr>
                  <w:tcW w:w="862" w:type="pct"/>
                  <w:noWrap w:val="0"/>
                  <w:vAlign w:val="center"/>
                </w:tcPr>
                <w:p>
                  <w:pPr>
                    <w:pStyle w:val="37"/>
                    <w:rPr>
                      <w:rFonts w:hint="default"/>
                      <w:color w:val="auto"/>
                      <w:u w:val="single" w:color="auto"/>
                    </w:rPr>
                  </w:pPr>
                  <w:r>
                    <w:rPr>
                      <w:rFonts w:hint="default"/>
                      <w:color w:val="auto"/>
                      <w:u w:val="single" w:color="auto"/>
                    </w:rPr>
                    <w:t>噪声</w:t>
                  </w:r>
                </w:p>
              </w:tc>
              <w:tc>
                <w:tcPr>
                  <w:tcW w:w="1197" w:type="pct"/>
                  <w:noWrap w:val="0"/>
                  <w:vAlign w:val="center"/>
                </w:tcPr>
                <w:p>
                  <w:pPr>
                    <w:pStyle w:val="37"/>
                    <w:rPr>
                      <w:rFonts w:hint="default"/>
                      <w:color w:val="auto"/>
                      <w:u w:val="single" w:color="auto"/>
                    </w:rPr>
                  </w:pPr>
                  <w:r>
                    <w:rPr>
                      <w:rFonts w:hint="default" w:ascii="Times New Roman" w:hAnsi="Times New Roman" w:eastAsia="宋体" w:cs="Times New Roman"/>
                      <w:sz w:val="21"/>
                      <w:szCs w:val="21"/>
                      <w:u w:val="single" w:color="auto"/>
                      <w:lang w:eastAsia="zh-CN"/>
                    </w:rPr>
                    <w:t>厂区东、南、西、北面厂界</w:t>
                  </w:r>
                </w:p>
              </w:tc>
              <w:tc>
                <w:tcPr>
                  <w:tcW w:w="2061" w:type="pct"/>
                  <w:noWrap w:val="0"/>
                  <w:vAlign w:val="center"/>
                </w:tcPr>
                <w:p>
                  <w:pPr>
                    <w:pStyle w:val="37"/>
                    <w:rPr>
                      <w:rFonts w:hint="default"/>
                      <w:color w:val="auto"/>
                      <w:u w:val="single" w:color="auto"/>
                    </w:rPr>
                  </w:pPr>
                  <w:r>
                    <w:rPr>
                      <w:rFonts w:hint="default"/>
                      <w:color w:val="auto"/>
                      <w:u w:val="single" w:color="auto"/>
                    </w:rPr>
                    <w:t>连续等效A声级</w:t>
                  </w:r>
                </w:p>
              </w:tc>
              <w:tc>
                <w:tcPr>
                  <w:tcW w:w="878" w:type="pct"/>
                  <w:noWrap w:val="0"/>
                  <w:vAlign w:val="center"/>
                </w:tcPr>
                <w:p>
                  <w:pPr>
                    <w:pStyle w:val="37"/>
                    <w:rPr>
                      <w:rFonts w:hint="default" w:eastAsia="宋体"/>
                      <w:color w:val="FF0000"/>
                      <w:u w:val="single" w:color="auto"/>
                      <w:lang w:val="en-US" w:eastAsia="zh-CN"/>
                    </w:rPr>
                  </w:pPr>
                  <w:r>
                    <w:rPr>
                      <w:rFonts w:hint="eastAsia"/>
                      <w:color w:val="FF0000"/>
                      <w:u w:val="single" w:color="auto"/>
                      <w:lang w:val="en-US" w:eastAsia="zh-CN"/>
                    </w:rPr>
                    <w:t>一季度一次</w:t>
                  </w:r>
                </w:p>
              </w:tc>
            </w:tr>
          </w:tbl>
          <w:p>
            <w:pPr>
              <w:pStyle w:val="36"/>
              <w:bidi w:val="0"/>
              <w:rPr>
                <w:rFonts w:hint="eastAsia" w:cs="Times New Roman"/>
                <w:b/>
                <w:bCs/>
                <w:color w:val="auto"/>
                <w:sz w:val="24"/>
                <w:szCs w:val="24"/>
                <w:u w:val="none"/>
                <w:lang w:val="en-US" w:eastAsia="zh-CN"/>
              </w:rPr>
            </w:pPr>
            <w:r>
              <w:rPr>
                <w:rFonts w:hint="eastAsia" w:cs="Times New Roman"/>
                <w:b/>
                <w:bCs/>
                <w:color w:val="auto"/>
                <w:sz w:val="24"/>
                <w:szCs w:val="24"/>
                <w:u w:val="none"/>
                <w:lang w:val="en-US" w:eastAsia="zh-CN"/>
              </w:rPr>
              <w:t>八、环保投资</w:t>
            </w:r>
          </w:p>
          <w:p>
            <w:pPr>
              <w:pStyle w:val="36"/>
              <w:bidi w:val="0"/>
              <w:rPr>
                <w:rFonts w:hint="default"/>
                <w:b w:val="0"/>
                <w:bCs w:val="0"/>
                <w:color w:val="auto"/>
                <w:u w:val="none"/>
              </w:rPr>
            </w:pPr>
            <w:r>
              <w:rPr>
                <w:rFonts w:hint="default"/>
                <w:b w:val="0"/>
                <w:bCs w:val="0"/>
                <w:color w:val="auto"/>
                <w:u w:val="none"/>
                <w:lang w:eastAsia="zh-CN"/>
              </w:rPr>
              <w:t>本</w:t>
            </w:r>
            <w:r>
              <w:rPr>
                <w:rFonts w:hint="default"/>
                <w:b w:val="0"/>
                <w:bCs w:val="0"/>
                <w:color w:val="auto"/>
                <w:u w:val="none"/>
              </w:rPr>
              <w:t>项目总投资约</w:t>
            </w:r>
            <w:r>
              <w:rPr>
                <w:rFonts w:hint="eastAsia"/>
                <w:b w:val="0"/>
                <w:bCs w:val="0"/>
                <w:color w:val="auto"/>
                <w:u w:val="none"/>
                <w:lang w:val="en-US" w:eastAsia="zh-CN"/>
              </w:rPr>
              <w:t>650</w:t>
            </w:r>
            <w:r>
              <w:rPr>
                <w:rFonts w:hint="default"/>
                <w:b w:val="0"/>
                <w:bCs w:val="0"/>
                <w:color w:val="auto"/>
                <w:u w:val="none"/>
              </w:rPr>
              <w:t>万元，环保投资</w:t>
            </w:r>
            <w:r>
              <w:rPr>
                <w:rFonts w:hint="eastAsia"/>
                <w:b w:val="0"/>
                <w:bCs w:val="0"/>
                <w:color w:val="auto"/>
                <w:u w:val="none"/>
                <w:lang w:val="en-US" w:eastAsia="zh-CN"/>
              </w:rPr>
              <w:t>22</w:t>
            </w:r>
            <w:r>
              <w:rPr>
                <w:rFonts w:hint="default"/>
                <w:b w:val="0"/>
                <w:bCs w:val="0"/>
                <w:color w:val="auto"/>
                <w:u w:val="none"/>
              </w:rPr>
              <w:t>万元，占项目建设投资的比例为</w:t>
            </w:r>
            <w:r>
              <w:rPr>
                <w:rFonts w:hint="eastAsia"/>
                <w:b w:val="0"/>
                <w:bCs w:val="0"/>
                <w:color w:val="auto"/>
                <w:u w:val="none"/>
                <w:lang w:val="en-US" w:eastAsia="zh-CN"/>
              </w:rPr>
              <w:t>3.4</w:t>
            </w:r>
            <w:r>
              <w:rPr>
                <w:rFonts w:hint="default"/>
                <w:b w:val="0"/>
                <w:bCs w:val="0"/>
                <w:color w:val="auto"/>
                <w:u w:val="none"/>
                <w:lang w:val="en-US" w:eastAsia="zh-CN"/>
              </w:rPr>
              <w:t>%</w:t>
            </w:r>
            <w:r>
              <w:rPr>
                <w:rFonts w:hint="default"/>
                <w:b w:val="0"/>
                <w:bCs w:val="0"/>
                <w:color w:val="auto"/>
                <w:u w:val="none"/>
                <w:lang w:eastAsia="zh-CN"/>
              </w:rPr>
              <w:t>，具体环保措施及投资情况见下表</w:t>
            </w:r>
            <w:r>
              <w:rPr>
                <w:rFonts w:hint="default"/>
                <w:b w:val="0"/>
                <w:bCs w:val="0"/>
                <w:color w:val="auto"/>
                <w:u w:val="none"/>
              </w:rPr>
              <w:t>。</w:t>
            </w:r>
          </w:p>
          <w:p>
            <w:pPr>
              <w:pStyle w:val="32"/>
              <w:bidi w:val="0"/>
            </w:pPr>
            <w:r>
              <w:t>表</w:t>
            </w:r>
            <w:r>
              <w:rPr>
                <w:rFonts w:hint="eastAsia"/>
                <w:lang w:val="en-US" w:eastAsia="zh-CN"/>
              </w:rPr>
              <w:t>4</w:t>
            </w:r>
            <w:r>
              <w:rPr>
                <w:rFonts w:hint="default"/>
              </w:rPr>
              <w:t>-</w:t>
            </w:r>
            <w:r>
              <w:rPr>
                <w:rFonts w:hint="eastAsia"/>
                <w:lang w:val="en-US" w:eastAsia="zh-CN"/>
              </w:rPr>
              <w:t xml:space="preserve">13 </w:t>
            </w:r>
            <w:r>
              <w:t>项目</w:t>
            </w:r>
            <w:r>
              <w:rPr>
                <w:rFonts w:hint="default"/>
              </w:rPr>
              <w:t>环保设施投资估算表</w:t>
            </w:r>
          </w:p>
          <w:tbl>
            <w:tblPr>
              <w:tblStyle w:val="22"/>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37"/>
              <w:gridCol w:w="1352"/>
              <w:gridCol w:w="1511"/>
              <w:gridCol w:w="3068"/>
              <w:gridCol w:w="833"/>
              <w:gridCol w:w="88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0" w:type="pct"/>
                  <w:tcBorders>
                    <w:tl2br w:val="nil"/>
                    <w:tr2bl w:val="nil"/>
                  </w:tcBorders>
                  <w:noWrap w:val="0"/>
                  <w:vAlign w:val="center"/>
                </w:tcPr>
                <w:p>
                  <w:pPr>
                    <w:pStyle w:val="37"/>
                    <w:rPr>
                      <w:rFonts w:hint="default" w:ascii="Times New Roman" w:hAnsi="Times New Roman" w:cs="Times New Roman"/>
                      <w:b w:val="0"/>
                      <w:bCs w:val="0"/>
                      <w:color w:val="auto"/>
                      <w:u w:val="single"/>
                    </w:rPr>
                  </w:pPr>
                  <w:r>
                    <w:rPr>
                      <w:rFonts w:hint="default" w:ascii="Times New Roman" w:hAnsi="Times New Roman" w:cs="Times New Roman"/>
                      <w:b w:val="0"/>
                      <w:bCs w:val="0"/>
                      <w:color w:val="auto"/>
                      <w:u w:val="single"/>
                    </w:rPr>
                    <w:t>序号</w:t>
                  </w:r>
                </w:p>
              </w:tc>
              <w:tc>
                <w:tcPr>
                  <w:tcW w:w="835" w:type="pct"/>
                  <w:tcBorders>
                    <w:tl2br w:val="nil"/>
                    <w:tr2bl w:val="nil"/>
                  </w:tcBorders>
                  <w:noWrap w:val="0"/>
                  <w:vAlign w:val="center"/>
                </w:tcPr>
                <w:p>
                  <w:pPr>
                    <w:pStyle w:val="37"/>
                    <w:rPr>
                      <w:rFonts w:hint="default" w:ascii="Times New Roman" w:hAnsi="Times New Roman" w:cs="Times New Roman"/>
                      <w:b w:val="0"/>
                      <w:bCs w:val="0"/>
                      <w:color w:val="auto"/>
                      <w:u w:val="single"/>
                    </w:rPr>
                  </w:pPr>
                  <w:r>
                    <w:rPr>
                      <w:rFonts w:hint="default" w:ascii="Times New Roman" w:hAnsi="Times New Roman" w:cs="Times New Roman"/>
                      <w:b w:val="0"/>
                      <w:bCs w:val="0"/>
                      <w:color w:val="auto"/>
                      <w:u w:val="single"/>
                    </w:rPr>
                    <w:t>环境工程项目</w:t>
                  </w:r>
                </w:p>
              </w:tc>
              <w:tc>
                <w:tcPr>
                  <w:tcW w:w="934" w:type="pct"/>
                  <w:tcBorders>
                    <w:tl2br w:val="nil"/>
                    <w:tr2bl w:val="nil"/>
                  </w:tcBorders>
                  <w:noWrap w:val="0"/>
                  <w:vAlign w:val="center"/>
                </w:tcPr>
                <w:p>
                  <w:pPr>
                    <w:pStyle w:val="37"/>
                    <w:rPr>
                      <w:rFonts w:hint="default" w:ascii="Times New Roman" w:hAnsi="Times New Roman" w:cs="Times New Roman"/>
                      <w:b w:val="0"/>
                      <w:bCs w:val="0"/>
                      <w:color w:val="auto"/>
                      <w:u w:val="single"/>
                    </w:rPr>
                  </w:pPr>
                  <w:r>
                    <w:rPr>
                      <w:rFonts w:hint="default" w:ascii="Times New Roman" w:hAnsi="Times New Roman" w:cs="Times New Roman"/>
                      <w:b w:val="0"/>
                      <w:bCs w:val="0"/>
                      <w:color w:val="auto"/>
                      <w:u w:val="single"/>
                    </w:rPr>
                    <w:t>污染物类别</w:t>
                  </w:r>
                </w:p>
              </w:tc>
              <w:tc>
                <w:tcPr>
                  <w:tcW w:w="1896" w:type="pct"/>
                  <w:tcBorders>
                    <w:tl2br w:val="nil"/>
                    <w:tr2bl w:val="nil"/>
                  </w:tcBorders>
                  <w:noWrap w:val="0"/>
                  <w:vAlign w:val="center"/>
                </w:tcPr>
                <w:p>
                  <w:pPr>
                    <w:pStyle w:val="37"/>
                    <w:rPr>
                      <w:rFonts w:hint="default" w:ascii="Times New Roman" w:hAnsi="Times New Roman" w:cs="Times New Roman"/>
                      <w:b w:val="0"/>
                      <w:bCs w:val="0"/>
                      <w:color w:val="auto"/>
                      <w:u w:val="single"/>
                    </w:rPr>
                  </w:pPr>
                  <w:r>
                    <w:rPr>
                      <w:rFonts w:hint="default" w:ascii="Times New Roman" w:hAnsi="Times New Roman" w:cs="Times New Roman"/>
                      <w:b w:val="0"/>
                      <w:bCs w:val="0"/>
                      <w:color w:val="auto"/>
                      <w:u w:val="single"/>
                    </w:rPr>
                    <w:t>环保措施</w:t>
                  </w:r>
                </w:p>
              </w:tc>
              <w:tc>
                <w:tcPr>
                  <w:tcW w:w="514" w:type="pct"/>
                  <w:tcBorders>
                    <w:tl2br w:val="nil"/>
                    <w:tr2bl w:val="nil"/>
                  </w:tcBorders>
                  <w:noWrap w:val="0"/>
                  <w:vAlign w:val="center"/>
                </w:tcPr>
                <w:p>
                  <w:pPr>
                    <w:pStyle w:val="37"/>
                    <w:rPr>
                      <w:rFonts w:hint="default" w:ascii="Times New Roman" w:hAnsi="Times New Roman" w:cs="Times New Roman"/>
                      <w:b w:val="0"/>
                      <w:bCs w:val="0"/>
                      <w:color w:val="auto"/>
                      <w:u w:val="single"/>
                    </w:rPr>
                  </w:pPr>
                  <w:r>
                    <w:rPr>
                      <w:rFonts w:hint="default" w:ascii="Times New Roman" w:hAnsi="Times New Roman" w:cs="Times New Roman"/>
                      <w:b w:val="0"/>
                      <w:bCs w:val="0"/>
                      <w:color w:val="auto"/>
                      <w:u w:val="single"/>
                    </w:rPr>
                    <w:t>投资额</w:t>
                  </w:r>
                </w:p>
                <w:p>
                  <w:pPr>
                    <w:pStyle w:val="37"/>
                    <w:rPr>
                      <w:rFonts w:hint="default" w:ascii="Times New Roman" w:hAnsi="Times New Roman" w:cs="Times New Roman"/>
                      <w:b w:val="0"/>
                      <w:bCs w:val="0"/>
                      <w:color w:val="auto"/>
                      <w:u w:val="single"/>
                    </w:rPr>
                  </w:pPr>
                  <w:r>
                    <w:rPr>
                      <w:rFonts w:hint="default" w:ascii="Times New Roman" w:hAnsi="Times New Roman" w:cs="Times New Roman"/>
                      <w:b w:val="0"/>
                      <w:bCs w:val="0"/>
                      <w:color w:val="auto"/>
                      <w:u w:val="single"/>
                    </w:rPr>
                    <w:t>(万元)</w:t>
                  </w:r>
                </w:p>
              </w:tc>
              <w:tc>
                <w:tcPr>
                  <w:tcW w:w="548" w:type="pct"/>
                  <w:tcBorders>
                    <w:tl2br w:val="nil"/>
                    <w:tr2bl w:val="nil"/>
                  </w:tcBorders>
                  <w:noWrap w:val="0"/>
                  <w:vAlign w:val="center"/>
                </w:tcPr>
                <w:p>
                  <w:pPr>
                    <w:pStyle w:val="37"/>
                    <w:rPr>
                      <w:rFonts w:hint="default" w:ascii="Times New Roman" w:hAnsi="Times New Roman" w:cs="Times New Roman"/>
                      <w:b w:val="0"/>
                      <w:bCs w:val="0"/>
                      <w:color w:val="auto"/>
                      <w:u w:val="single"/>
                    </w:rPr>
                  </w:pPr>
                  <w:r>
                    <w:rPr>
                      <w:rFonts w:hint="default" w:ascii="Times New Roman" w:hAnsi="Times New Roman" w:cs="Times New Roman"/>
                      <w:b w:val="0"/>
                      <w:bCs w:val="0"/>
                      <w:color w:val="auto"/>
                      <w:u w:val="single"/>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0" w:type="pct"/>
                  <w:tcBorders>
                    <w:tl2br w:val="nil"/>
                    <w:tr2bl w:val="nil"/>
                  </w:tcBorders>
                  <w:noWrap w:val="0"/>
                  <w:vAlign w:val="center"/>
                </w:tcPr>
                <w:p>
                  <w:pPr>
                    <w:pStyle w:val="37"/>
                    <w:rPr>
                      <w:rFonts w:hint="default" w:cs="Times New Roman"/>
                      <w:b w:val="0"/>
                      <w:bCs w:val="0"/>
                      <w:color w:val="auto"/>
                      <w:u w:val="single"/>
                      <w:lang w:val="en-US" w:eastAsia="zh-CN"/>
                    </w:rPr>
                  </w:pPr>
                  <w:r>
                    <w:rPr>
                      <w:rFonts w:hint="eastAsia" w:cs="Times New Roman"/>
                      <w:b w:val="0"/>
                      <w:bCs w:val="0"/>
                      <w:color w:val="auto"/>
                      <w:u w:val="single"/>
                      <w:lang w:val="en-US" w:eastAsia="zh-CN"/>
                    </w:rPr>
                    <w:t>1</w:t>
                  </w:r>
                </w:p>
              </w:tc>
              <w:tc>
                <w:tcPr>
                  <w:tcW w:w="835" w:type="pct"/>
                  <w:tcBorders>
                    <w:tl2br w:val="nil"/>
                    <w:tr2bl w:val="nil"/>
                  </w:tcBorders>
                  <w:noWrap w:val="0"/>
                  <w:vAlign w:val="center"/>
                </w:tcPr>
                <w:p>
                  <w:pPr>
                    <w:pStyle w:val="37"/>
                    <w:rPr>
                      <w:rFonts w:hint="default" w:ascii="Times New Roman" w:hAnsi="Times New Roman" w:eastAsia="宋体" w:cs="Times New Roman"/>
                      <w:b w:val="0"/>
                      <w:bCs w:val="0"/>
                      <w:color w:val="auto"/>
                      <w:u w:val="single"/>
                      <w:lang w:val="en-US" w:eastAsia="zh-CN"/>
                    </w:rPr>
                  </w:pPr>
                  <w:r>
                    <w:rPr>
                      <w:rFonts w:hint="eastAsia" w:cs="Times New Roman"/>
                      <w:b w:val="0"/>
                      <w:bCs w:val="0"/>
                      <w:color w:val="auto"/>
                      <w:u w:val="single"/>
                      <w:lang w:val="en-US" w:eastAsia="zh-CN"/>
                    </w:rPr>
                    <w:t>废水治理工程</w:t>
                  </w:r>
                </w:p>
              </w:tc>
              <w:tc>
                <w:tcPr>
                  <w:tcW w:w="934" w:type="pct"/>
                  <w:tcBorders>
                    <w:tl2br w:val="nil"/>
                    <w:tr2bl w:val="nil"/>
                  </w:tcBorders>
                  <w:noWrap w:val="0"/>
                  <w:vAlign w:val="center"/>
                </w:tcPr>
                <w:p>
                  <w:pPr>
                    <w:pStyle w:val="37"/>
                    <w:rPr>
                      <w:rFonts w:hint="default" w:cs="Times New Roman"/>
                      <w:b w:val="0"/>
                      <w:bCs w:val="0"/>
                      <w:color w:val="auto"/>
                      <w:u w:val="single"/>
                      <w:lang w:val="en-US" w:eastAsia="zh-CN"/>
                    </w:rPr>
                  </w:pPr>
                  <w:r>
                    <w:rPr>
                      <w:rFonts w:hint="eastAsia" w:cs="Times New Roman"/>
                      <w:b w:val="0"/>
                      <w:bCs w:val="0"/>
                      <w:color w:val="auto"/>
                      <w:u w:val="single"/>
                      <w:lang w:val="en-US" w:eastAsia="zh-CN"/>
                    </w:rPr>
                    <w:t>生产废水</w:t>
                  </w:r>
                </w:p>
              </w:tc>
              <w:tc>
                <w:tcPr>
                  <w:tcW w:w="1896" w:type="pct"/>
                  <w:tcBorders>
                    <w:tl2br w:val="nil"/>
                    <w:tr2bl w:val="nil"/>
                  </w:tcBorders>
                  <w:noWrap w:val="0"/>
                  <w:vAlign w:val="center"/>
                </w:tcPr>
                <w:p>
                  <w:pPr>
                    <w:pStyle w:val="37"/>
                    <w:rPr>
                      <w:rFonts w:hint="default" w:cs="Times New Roman"/>
                      <w:b w:val="0"/>
                      <w:bCs w:val="0"/>
                      <w:color w:val="auto"/>
                      <w:u w:val="single"/>
                      <w:lang w:val="en-US" w:eastAsia="zh-CN"/>
                    </w:rPr>
                  </w:pPr>
                  <w:r>
                    <w:rPr>
                      <w:rFonts w:hint="eastAsia" w:cs="Times New Roman"/>
                      <w:b w:val="0"/>
                      <w:bCs w:val="0"/>
                      <w:color w:val="auto"/>
                      <w:u w:val="single"/>
                      <w:lang w:val="en-US" w:eastAsia="zh-CN"/>
                    </w:rPr>
                    <w:t>污水收集池、反洗水调节池、中和池</w:t>
                  </w:r>
                </w:p>
              </w:tc>
              <w:tc>
                <w:tcPr>
                  <w:tcW w:w="514" w:type="pct"/>
                  <w:tcBorders>
                    <w:tl2br w:val="nil"/>
                    <w:tr2bl w:val="nil"/>
                  </w:tcBorders>
                  <w:noWrap w:val="0"/>
                  <w:vAlign w:val="center"/>
                </w:tcPr>
                <w:p>
                  <w:pPr>
                    <w:pStyle w:val="37"/>
                    <w:rPr>
                      <w:rFonts w:hint="default" w:cs="Times New Roman"/>
                      <w:b w:val="0"/>
                      <w:bCs w:val="0"/>
                      <w:color w:val="auto"/>
                      <w:u w:val="single"/>
                      <w:lang w:val="en-US" w:eastAsia="zh-CN"/>
                    </w:rPr>
                  </w:pPr>
                  <w:r>
                    <w:rPr>
                      <w:rFonts w:hint="eastAsia" w:cs="Times New Roman"/>
                      <w:b w:val="0"/>
                      <w:bCs w:val="0"/>
                      <w:color w:val="auto"/>
                      <w:u w:val="single"/>
                      <w:lang w:val="en-US" w:eastAsia="zh-CN"/>
                    </w:rPr>
                    <w:t>/</w:t>
                  </w:r>
                </w:p>
              </w:tc>
              <w:tc>
                <w:tcPr>
                  <w:tcW w:w="548" w:type="pct"/>
                  <w:tcBorders>
                    <w:tl2br w:val="nil"/>
                    <w:tr2bl w:val="nil"/>
                  </w:tcBorders>
                  <w:noWrap w:val="0"/>
                  <w:vAlign w:val="center"/>
                </w:tcPr>
                <w:p>
                  <w:pPr>
                    <w:pStyle w:val="37"/>
                    <w:rPr>
                      <w:rFonts w:hint="default" w:ascii="Times New Roman" w:hAnsi="Times New Roman" w:eastAsia="宋体" w:cs="Times New Roman"/>
                      <w:b w:val="0"/>
                      <w:bCs w:val="0"/>
                      <w:color w:val="auto"/>
                      <w:u w:val="single"/>
                      <w:lang w:val="en-US" w:eastAsia="zh-CN"/>
                    </w:rPr>
                  </w:pPr>
                  <w:r>
                    <w:rPr>
                      <w:rFonts w:hint="eastAsia" w:cs="Times New Roman"/>
                      <w:b w:val="0"/>
                      <w:bCs w:val="0"/>
                      <w:color w:val="auto"/>
                      <w:u w:val="single"/>
                      <w:lang w:val="en-US" w:eastAsia="zh-CN"/>
                    </w:rPr>
                    <w:t>依托现有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0" w:type="pct"/>
                  <w:vMerge w:val="restart"/>
                  <w:tcBorders>
                    <w:tl2br w:val="nil"/>
                    <w:tr2bl w:val="nil"/>
                  </w:tcBorders>
                  <w:noWrap w:val="0"/>
                  <w:vAlign w:val="center"/>
                </w:tcPr>
                <w:p>
                  <w:pPr>
                    <w:pStyle w:val="37"/>
                    <w:rPr>
                      <w:rFonts w:hint="eastAsia" w:ascii="Times New Roman" w:hAnsi="Times New Roman" w:eastAsia="宋体" w:cs="Times New Roman"/>
                      <w:b w:val="0"/>
                      <w:bCs w:val="0"/>
                      <w:color w:val="auto"/>
                      <w:u w:val="single"/>
                      <w:lang w:eastAsia="zh-CN"/>
                    </w:rPr>
                  </w:pPr>
                  <w:r>
                    <w:rPr>
                      <w:rFonts w:hint="eastAsia" w:cs="Times New Roman"/>
                      <w:b w:val="0"/>
                      <w:bCs w:val="0"/>
                      <w:color w:val="auto"/>
                      <w:u w:val="single"/>
                      <w:lang w:val="en-US" w:eastAsia="zh-CN"/>
                    </w:rPr>
                    <w:t>2</w:t>
                  </w:r>
                </w:p>
              </w:tc>
              <w:tc>
                <w:tcPr>
                  <w:tcW w:w="835" w:type="pct"/>
                  <w:vMerge w:val="restart"/>
                  <w:tcBorders>
                    <w:tl2br w:val="nil"/>
                    <w:tr2bl w:val="nil"/>
                  </w:tcBorders>
                  <w:noWrap w:val="0"/>
                  <w:vAlign w:val="center"/>
                </w:tcPr>
                <w:p>
                  <w:pPr>
                    <w:pStyle w:val="37"/>
                    <w:rPr>
                      <w:rFonts w:hint="default" w:ascii="Times New Roman" w:hAnsi="Times New Roman" w:cs="Times New Roman"/>
                      <w:b w:val="0"/>
                      <w:bCs w:val="0"/>
                      <w:color w:val="auto"/>
                      <w:u w:val="single"/>
                    </w:rPr>
                  </w:pPr>
                  <w:r>
                    <w:rPr>
                      <w:rFonts w:hint="default" w:ascii="Times New Roman" w:hAnsi="Times New Roman" w:cs="Times New Roman"/>
                      <w:b w:val="0"/>
                      <w:bCs w:val="0"/>
                      <w:color w:val="auto"/>
                      <w:u w:val="single"/>
                    </w:rPr>
                    <w:t>固废处置工程</w:t>
                  </w:r>
                </w:p>
              </w:tc>
              <w:tc>
                <w:tcPr>
                  <w:tcW w:w="934" w:type="pct"/>
                  <w:vMerge w:val="restart"/>
                  <w:tcBorders>
                    <w:tl2br w:val="nil"/>
                    <w:tr2bl w:val="nil"/>
                  </w:tcBorders>
                  <w:noWrap w:val="0"/>
                  <w:vAlign w:val="center"/>
                </w:tcPr>
                <w:p>
                  <w:pPr>
                    <w:pStyle w:val="37"/>
                    <w:rPr>
                      <w:rFonts w:hint="default" w:ascii="Times New Roman" w:hAnsi="Times New Roman" w:eastAsia="宋体" w:cs="Times New Roman"/>
                      <w:b w:val="0"/>
                      <w:bCs w:val="0"/>
                      <w:color w:val="auto"/>
                      <w:u w:val="single"/>
                      <w:lang w:val="en-US" w:eastAsia="zh-CN"/>
                    </w:rPr>
                  </w:pPr>
                  <w:r>
                    <w:rPr>
                      <w:rFonts w:hint="eastAsia" w:ascii="Times New Roman" w:hAnsi="Times New Roman" w:eastAsia="宋体" w:cs="Times New Roman"/>
                      <w:b w:val="0"/>
                      <w:bCs w:val="0"/>
                      <w:color w:val="auto"/>
                      <w:u w:val="single"/>
                      <w:lang w:val="en-US" w:eastAsia="zh-CN"/>
                    </w:rPr>
                    <w:t>一般固废</w:t>
                  </w:r>
                </w:p>
              </w:tc>
              <w:tc>
                <w:tcPr>
                  <w:tcW w:w="1896" w:type="pct"/>
                  <w:tcBorders>
                    <w:tl2br w:val="nil"/>
                    <w:tr2bl w:val="nil"/>
                  </w:tcBorders>
                  <w:noWrap w:val="0"/>
                  <w:vAlign w:val="center"/>
                </w:tcPr>
                <w:p>
                  <w:pPr>
                    <w:pStyle w:val="37"/>
                    <w:rPr>
                      <w:rFonts w:hint="default" w:ascii="Times New Roman" w:hAnsi="Times New Roman" w:eastAsia="宋体" w:cs="Times New Roman"/>
                      <w:b w:val="0"/>
                      <w:bCs w:val="0"/>
                      <w:color w:val="auto"/>
                      <w:u w:val="single"/>
                      <w:lang w:val="en-US" w:eastAsia="zh-CN"/>
                    </w:rPr>
                  </w:pPr>
                  <w:r>
                    <w:rPr>
                      <w:rFonts w:hint="eastAsia" w:ascii="宋体" w:hAnsi="宋体" w:eastAsia="宋体" w:cs="宋体"/>
                      <w:b w:val="0"/>
                      <w:bCs/>
                      <w:color w:val="auto"/>
                      <w:sz w:val="21"/>
                      <w:szCs w:val="21"/>
                      <w:u w:val="single"/>
                      <w:lang w:val="en-US" w:eastAsia="zh-CN"/>
                    </w:rPr>
                    <w:t>污泥处理设备</w:t>
                  </w:r>
                </w:p>
              </w:tc>
              <w:tc>
                <w:tcPr>
                  <w:tcW w:w="514" w:type="pct"/>
                  <w:tcBorders>
                    <w:tl2br w:val="nil"/>
                    <w:tr2bl w:val="nil"/>
                  </w:tcBorders>
                  <w:noWrap w:val="0"/>
                  <w:vAlign w:val="center"/>
                </w:tcPr>
                <w:p>
                  <w:pPr>
                    <w:pStyle w:val="37"/>
                    <w:rPr>
                      <w:rFonts w:hint="default" w:ascii="Times New Roman" w:hAnsi="Times New Roman" w:eastAsia="宋体" w:cs="Times New Roman"/>
                      <w:b w:val="0"/>
                      <w:bCs w:val="0"/>
                      <w:color w:val="auto"/>
                      <w:u w:val="single"/>
                      <w:lang w:val="en-US" w:eastAsia="zh-CN"/>
                    </w:rPr>
                  </w:pPr>
                  <w:r>
                    <w:rPr>
                      <w:rFonts w:hint="eastAsia" w:cs="Times New Roman"/>
                      <w:b w:val="0"/>
                      <w:bCs w:val="0"/>
                      <w:color w:val="auto"/>
                      <w:u w:val="single"/>
                      <w:lang w:val="en-US" w:eastAsia="zh-CN"/>
                    </w:rPr>
                    <w:t>20</w:t>
                  </w:r>
                </w:p>
              </w:tc>
              <w:tc>
                <w:tcPr>
                  <w:tcW w:w="548" w:type="pct"/>
                  <w:tcBorders>
                    <w:tl2br w:val="nil"/>
                    <w:tr2bl w:val="nil"/>
                  </w:tcBorders>
                  <w:noWrap w:val="0"/>
                  <w:vAlign w:val="center"/>
                </w:tcPr>
                <w:p>
                  <w:pPr>
                    <w:pStyle w:val="37"/>
                    <w:bidi w:val="0"/>
                    <w:rPr>
                      <w:rFonts w:hint="eastAsia" w:ascii="Times New Roman" w:hAnsi="Times New Roman" w:eastAsia="宋体" w:cs="Times New Roman"/>
                      <w:b w:val="0"/>
                      <w:bCs w:val="0"/>
                      <w:color w:val="auto"/>
                      <w:u w:val="single"/>
                      <w:lang w:val="en-US" w:eastAsia="zh-CN"/>
                    </w:rPr>
                  </w:pPr>
                  <w:r>
                    <w:rPr>
                      <w:rFonts w:hint="default" w:ascii="Times New Roman" w:hAnsi="Times New Roman" w:cs="Times New Roman"/>
                      <w:b w:val="0"/>
                      <w:bCs w:val="0"/>
                      <w:color w:val="auto"/>
                      <w:u w:val="single"/>
                      <w:lang w:eastAsia="zh-CN"/>
                    </w:rPr>
                    <w:t>新建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270" w:type="pct"/>
                  <w:vMerge w:val="continue"/>
                  <w:tcBorders>
                    <w:tl2br w:val="nil"/>
                    <w:tr2bl w:val="nil"/>
                  </w:tcBorders>
                  <w:noWrap w:val="0"/>
                  <w:vAlign w:val="center"/>
                </w:tcPr>
                <w:p>
                  <w:pPr>
                    <w:pStyle w:val="37"/>
                    <w:rPr>
                      <w:rFonts w:hint="eastAsia" w:cs="Times New Roman"/>
                      <w:b w:val="0"/>
                      <w:bCs w:val="0"/>
                      <w:color w:val="auto"/>
                      <w:u w:val="single"/>
                      <w:lang w:val="en-US" w:eastAsia="zh-CN"/>
                    </w:rPr>
                  </w:pPr>
                </w:p>
              </w:tc>
              <w:tc>
                <w:tcPr>
                  <w:tcW w:w="835" w:type="pct"/>
                  <w:vMerge w:val="continue"/>
                  <w:tcBorders>
                    <w:tl2br w:val="nil"/>
                    <w:tr2bl w:val="nil"/>
                  </w:tcBorders>
                  <w:noWrap w:val="0"/>
                  <w:vAlign w:val="center"/>
                </w:tcPr>
                <w:p>
                  <w:pPr>
                    <w:pStyle w:val="37"/>
                    <w:rPr>
                      <w:rFonts w:hint="default" w:ascii="Times New Roman" w:hAnsi="Times New Roman" w:cs="Times New Roman"/>
                      <w:b w:val="0"/>
                      <w:bCs w:val="0"/>
                      <w:color w:val="auto"/>
                      <w:u w:val="single"/>
                    </w:rPr>
                  </w:pPr>
                </w:p>
              </w:tc>
              <w:tc>
                <w:tcPr>
                  <w:tcW w:w="934" w:type="pct"/>
                  <w:vMerge w:val="continue"/>
                  <w:tcBorders>
                    <w:tl2br w:val="nil"/>
                    <w:tr2bl w:val="nil"/>
                  </w:tcBorders>
                  <w:noWrap w:val="0"/>
                  <w:vAlign w:val="center"/>
                </w:tcPr>
                <w:p>
                  <w:pPr>
                    <w:pStyle w:val="37"/>
                    <w:rPr>
                      <w:rFonts w:hint="eastAsia" w:ascii="Times New Roman" w:hAnsi="Times New Roman" w:eastAsia="宋体" w:cs="Times New Roman"/>
                      <w:b w:val="0"/>
                      <w:bCs w:val="0"/>
                      <w:color w:val="auto"/>
                      <w:u w:val="single"/>
                      <w:lang w:val="en-US" w:eastAsia="zh-CN"/>
                    </w:rPr>
                  </w:pPr>
                </w:p>
              </w:tc>
              <w:tc>
                <w:tcPr>
                  <w:tcW w:w="1896" w:type="pct"/>
                  <w:tcBorders>
                    <w:tl2br w:val="nil"/>
                    <w:tr2bl w:val="nil"/>
                  </w:tcBorders>
                  <w:noWrap w:val="0"/>
                  <w:vAlign w:val="center"/>
                </w:tcPr>
                <w:p>
                  <w:pPr>
                    <w:pStyle w:val="37"/>
                    <w:rPr>
                      <w:rFonts w:hint="default" w:ascii="宋体" w:hAnsi="宋体" w:eastAsia="宋体" w:cs="宋体"/>
                      <w:b w:val="0"/>
                      <w:bCs/>
                      <w:color w:val="auto"/>
                      <w:sz w:val="21"/>
                      <w:szCs w:val="21"/>
                      <w:u w:val="single"/>
                      <w:lang w:val="en-US" w:eastAsia="zh-CN"/>
                    </w:rPr>
                  </w:pPr>
                  <w:r>
                    <w:rPr>
                      <w:rFonts w:hint="eastAsia" w:ascii="宋体" w:hAnsi="宋体" w:cs="宋体"/>
                      <w:b w:val="0"/>
                      <w:bCs/>
                      <w:color w:val="auto"/>
                      <w:sz w:val="21"/>
                      <w:szCs w:val="21"/>
                      <w:u w:val="single"/>
                      <w:lang w:val="en-US" w:eastAsia="zh-CN"/>
                    </w:rPr>
                    <w:t>危废暂存间</w:t>
                  </w:r>
                </w:p>
              </w:tc>
              <w:tc>
                <w:tcPr>
                  <w:tcW w:w="514" w:type="pct"/>
                  <w:tcBorders>
                    <w:tl2br w:val="nil"/>
                    <w:tr2bl w:val="nil"/>
                  </w:tcBorders>
                  <w:noWrap w:val="0"/>
                  <w:vAlign w:val="center"/>
                </w:tcPr>
                <w:p>
                  <w:pPr>
                    <w:pStyle w:val="37"/>
                    <w:rPr>
                      <w:rFonts w:hint="default" w:cs="Times New Roman"/>
                      <w:b w:val="0"/>
                      <w:bCs w:val="0"/>
                      <w:color w:val="auto"/>
                      <w:u w:val="single"/>
                      <w:lang w:val="en-US" w:eastAsia="zh-CN"/>
                    </w:rPr>
                  </w:pPr>
                  <w:r>
                    <w:rPr>
                      <w:rFonts w:hint="eastAsia" w:cs="Times New Roman"/>
                      <w:b w:val="0"/>
                      <w:bCs w:val="0"/>
                      <w:color w:val="auto"/>
                      <w:u w:val="single"/>
                      <w:lang w:val="en-US" w:eastAsia="zh-CN"/>
                    </w:rPr>
                    <w:t>依托</w:t>
                  </w:r>
                </w:p>
              </w:tc>
              <w:tc>
                <w:tcPr>
                  <w:tcW w:w="548" w:type="pct"/>
                  <w:vMerge w:val="restart"/>
                  <w:tcBorders>
                    <w:tl2br w:val="nil"/>
                    <w:tr2bl w:val="nil"/>
                  </w:tcBorders>
                  <w:noWrap w:val="0"/>
                  <w:vAlign w:val="center"/>
                </w:tcPr>
                <w:p>
                  <w:pPr>
                    <w:pStyle w:val="37"/>
                    <w:bidi w:val="0"/>
                    <w:rPr>
                      <w:rFonts w:hint="default" w:ascii="Times New Roman" w:hAnsi="Times New Roman" w:cs="Times New Roman"/>
                      <w:b w:val="0"/>
                      <w:bCs w:val="0"/>
                      <w:color w:val="auto"/>
                      <w:u w:val="single"/>
                      <w:lang w:val="en-US" w:eastAsia="zh-CN"/>
                    </w:rPr>
                  </w:pPr>
                  <w:r>
                    <w:rPr>
                      <w:rFonts w:hint="eastAsia" w:cs="Times New Roman"/>
                      <w:b w:val="0"/>
                      <w:bCs w:val="0"/>
                      <w:color w:val="auto"/>
                      <w:u w:val="singl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0" w:type="pct"/>
                  <w:vMerge w:val="continue"/>
                  <w:tcBorders>
                    <w:tl2br w:val="nil"/>
                    <w:tr2bl w:val="nil"/>
                  </w:tcBorders>
                  <w:noWrap w:val="0"/>
                  <w:vAlign w:val="center"/>
                </w:tcPr>
                <w:p>
                  <w:pPr>
                    <w:pStyle w:val="37"/>
                    <w:rPr>
                      <w:rFonts w:hint="eastAsia" w:cs="Times New Roman"/>
                      <w:b w:val="0"/>
                      <w:bCs w:val="0"/>
                      <w:color w:val="auto"/>
                      <w:u w:val="single"/>
                      <w:lang w:val="en-US" w:eastAsia="zh-CN"/>
                    </w:rPr>
                  </w:pPr>
                </w:p>
              </w:tc>
              <w:tc>
                <w:tcPr>
                  <w:tcW w:w="835" w:type="pct"/>
                  <w:vMerge w:val="continue"/>
                  <w:tcBorders>
                    <w:tl2br w:val="nil"/>
                    <w:tr2bl w:val="nil"/>
                  </w:tcBorders>
                  <w:noWrap w:val="0"/>
                  <w:vAlign w:val="center"/>
                </w:tcPr>
                <w:p>
                  <w:pPr>
                    <w:pStyle w:val="37"/>
                    <w:rPr>
                      <w:rFonts w:hint="default" w:ascii="Times New Roman" w:hAnsi="Times New Roman" w:cs="Times New Roman"/>
                      <w:b w:val="0"/>
                      <w:bCs w:val="0"/>
                      <w:color w:val="auto"/>
                      <w:u w:val="single"/>
                    </w:rPr>
                  </w:pPr>
                </w:p>
              </w:tc>
              <w:tc>
                <w:tcPr>
                  <w:tcW w:w="934" w:type="pct"/>
                  <w:vMerge w:val="continue"/>
                  <w:tcBorders>
                    <w:tl2br w:val="nil"/>
                    <w:tr2bl w:val="nil"/>
                  </w:tcBorders>
                  <w:noWrap w:val="0"/>
                  <w:vAlign w:val="center"/>
                </w:tcPr>
                <w:p>
                  <w:pPr>
                    <w:pStyle w:val="37"/>
                    <w:rPr>
                      <w:rFonts w:hint="eastAsia" w:ascii="Times New Roman" w:hAnsi="Times New Roman" w:eastAsia="宋体" w:cs="Times New Roman"/>
                      <w:b w:val="0"/>
                      <w:bCs w:val="0"/>
                      <w:color w:val="auto"/>
                      <w:u w:val="single"/>
                      <w:lang w:val="en-US" w:eastAsia="zh-CN"/>
                    </w:rPr>
                  </w:pPr>
                </w:p>
              </w:tc>
              <w:tc>
                <w:tcPr>
                  <w:tcW w:w="1896" w:type="pct"/>
                  <w:tcBorders>
                    <w:tl2br w:val="nil"/>
                    <w:tr2bl w:val="nil"/>
                  </w:tcBorders>
                  <w:noWrap w:val="0"/>
                  <w:vAlign w:val="center"/>
                </w:tcPr>
                <w:p>
                  <w:pPr>
                    <w:pStyle w:val="37"/>
                    <w:rPr>
                      <w:rFonts w:hint="eastAsia" w:ascii="Times New Roman" w:hAnsi="Times New Roman" w:cs="Times New Roman"/>
                      <w:b w:val="0"/>
                      <w:bCs w:val="0"/>
                      <w:color w:val="auto"/>
                      <w:u w:val="single"/>
                      <w:lang w:val="en-US" w:eastAsia="zh-CN"/>
                    </w:rPr>
                  </w:pPr>
                  <w:r>
                    <w:rPr>
                      <w:rFonts w:hint="eastAsia" w:ascii="Times New Roman" w:hAnsi="Times New Roman" w:cs="Times New Roman"/>
                      <w:b w:val="0"/>
                      <w:bCs w:val="0"/>
                      <w:color w:val="auto"/>
                      <w:u w:val="single"/>
                      <w:lang w:val="en-US" w:eastAsia="zh-CN"/>
                    </w:rPr>
                    <w:t>一般</w:t>
                  </w:r>
                  <w:r>
                    <w:rPr>
                      <w:rFonts w:hint="default" w:ascii="Times New Roman" w:hAnsi="Times New Roman" w:cs="Times New Roman"/>
                      <w:b w:val="0"/>
                      <w:bCs w:val="0"/>
                      <w:color w:val="auto"/>
                      <w:u w:val="single"/>
                      <w:lang w:eastAsia="zh-CN"/>
                    </w:rPr>
                    <w:t>固废暂存</w:t>
                  </w:r>
                  <w:r>
                    <w:rPr>
                      <w:rFonts w:hint="eastAsia" w:ascii="Times New Roman" w:hAnsi="Times New Roman" w:cs="Times New Roman"/>
                      <w:b w:val="0"/>
                      <w:bCs w:val="0"/>
                      <w:color w:val="auto"/>
                      <w:u w:val="single"/>
                      <w:lang w:val="en-US" w:eastAsia="zh-CN"/>
                    </w:rPr>
                    <w:t>区</w:t>
                  </w:r>
                </w:p>
              </w:tc>
              <w:tc>
                <w:tcPr>
                  <w:tcW w:w="514" w:type="pct"/>
                  <w:tcBorders>
                    <w:tl2br w:val="nil"/>
                    <w:tr2bl w:val="nil"/>
                  </w:tcBorders>
                  <w:noWrap w:val="0"/>
                  <w:vAlign w:val="center"/>
                </w:tcPr>
                <w:p>
                  <w:pPr>
                    <w:pStyle w:val="37"/>
                    <w:rPr>
                      <w:rFonts w:hint="eastAsia" w:cs="Times New Roman"/>
                      <w:b w:val="0"/>
                      <w:bCs w:val="0"/>
                      <w:color w:val="auto"/>
                      <w:u w:val="single"/>
                      <w:lang w:val="en-US" w:eastAsia="zh-CN"/>
                    </w:rPr>
                  </w:pPr>
                  <w:r>
                    <w:rPr>
                      <w:rFonts w:hint="eastAsia" w:cs="Times New Roman"/>
                      <w:b w:val="0"/>
                      <w:bCs w:val="0"/>
                      <w:color w:val="auto"/>
                      <w:u w:val="single"/>
                      <w:lang w:val="en-US" w:eastAsia="zh-CN"/>
                    </w:rPr>
                    <w:t>依托</w:t>
                  </w:r>
                </w:p>
              </w:tc>
              <w:tc>
                <w:tcPr>
                  <w:tcW w:w="548" w:type="pct"/>
                  <w:vMerge w:val="continue"/>
                  <w:tcBorders>
                    <w:tl2br w:val="nil"/>
                    <w:tr2bl w:val="nil"/>
                  </w:tcBorders>
                  <w:noWrap w:val="0"/>
                  <w:vAlign w:val="center"/>
                </w:tcPr>
                <w:p>
                  <w:pPr>
                    <w:pStyle w:val="37"/>
                    <w:bidi w:val="0"/>
                    <w:rPr>
                      <w:rFonts w:hint="default" w:ascii="Times New Roman" w:hAnsi="Times New Roman" w:cs="Times New Roman"/>
                      <w:b w:val="0"/>
                      <w:bCs w:val="0"/>
                      <w:color w:val="auto"/>
                      <w:u w:val="single"/>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0" w:type="pct"/>
                  <w:tcBorders>
                    <w:tl2br w:val="nil"/>
                    <w:tr2bl w:val="nil"/>
                  </w:tcBorders>
                  <w:noWrap w:val="0"/>
                  <w:vAlign w:val="center"/>
                </w:tcPr>
                <w:p>
                  <w:pPr>
                    <w:pStyle w:val="37"/>
                    <w:bidi w:val="0"/>
                    <w:rPr>
                      <w:rFonts w:hint="eastAsia" w:ascii="Times New Roman" w:hAnsi="Times New Roman" w:eastAsia="宋体" w:cs="Times New Roman"/>
                      <w:b w:val="0"/>
                      <w:bCs w:val="0"/>
                      <w:color w:val="auto"/>
                      <w:u w:val="single"/>
                      <w:lang w:eastAsia="zh-CN"/>
                    </w:rPr>
                  </w:pPr>
                  <w:r>
                    <w:rPr>
                      <w:rFonts w:hint="eastAsia" w:cs="Times New Roman"/>
                      <w:b w:val="0"/>
                      <w:bCs w:val="0"/>
                      <w:color w:val="auto"/>
                      <w:u w:val="single"/>
                      <w:lang w:val="en-US" w:eastAsia="zh-CN"/>
                    </w:rPr>
                    <w:t>3</w:t>
                  </w:r>
                </w:p>
              </w:tc>
              <w:tc>
                <w:tcPr>
                  <w:tcW w:w="835" w:type="pct"/>
                  <w:tcBorders>
                    <w:tl2br w:val="nil"/>
                    <w:tr2bl w:val="nil"/>
                  </w:tcBorders>
                  <w:noWrap w:val="0"/>
                  <w:vAlign w:val="center"/>
                </w:tcPr>
                <w:p>
                  <w:pPr>
                    <w:pStyle w:val="37"/>
                    <w:bidi w:val="0"/>
                    <w:rPr>
                      <w:rFonts w:hint="default" w:ascii="Times New Roman" w:hAnsi="Times New Roman" w:cs="Times New Roman"/>
                      <w:b w:val="0"/>
                      <w:bCs w:val="0"/>
                      <w:color w:val="auto"/>
                      <w:u w:val="single"/>
                    </w:rPr>
                  </w:pPr>
                  <w:r>
                    <w:rPr>
                      <w:rFonts w:hint="default" w:ascii="Times New Roman" w:hAnsi="Times New Roman" w:cs="Times New Roman"/>
                      <w:b w:val="0"/>
                      <w:bCs w:val="0"/>
                      <w:color w:val="auto"/>
                      <w:u w:val="single"/>
                    </w:rPr>
                    <w:t>噪声治理工程</w:t>
                  </w:r>
                </w:p>
              </w:tc>
              <w:tc>
                <w:tcPr>
                  <w:tcW w:w="934" w:type="pct"/>
                  <w:tcBorders>
                    <w:tl2br w:val="nil"/>
                    <w:tr2bl w:val="nil"/>
                  </w:tcBorders>
                  <w:noWrap w:val="0"/>
                  <w:vAlign w:val="center"/>
                </w:tcPr>
                <w:p>
                  <w:pPr>
                    <w:pStyle w:val="37"/>
                    <w:bidi w:val="0"/>
                    <w:rPr>
                      <w:rFonts w:hint="default" w:ascii="Times New Roman" w:hAnsi="Times New Roman" w:cs="Times New Roman"/>
                      <w:b w:val="0"/>
                      <w:bCs w:val="0"/>
                      <w:color w:val="auto"/>
                      <w:u w:val="single"/>
                    </w:rPr>
                  </w:pPr>
                  <w:r>
                    <w:rPr>
                      <w:rFonts w:hint="default" w:ascii="Times New Roman" w:hAnsi="Times New Roman" w:cs="Times New Roman"/>
                      <w:b w:val="0"/>
                      <w:bCs w:val="0"/>
                      <w:color w:val="auto"/>
                      <w:u w:val="single"/>
                    </w:rPr>
                    <w:t>生产设备噪声</w:t>
                  </w:r>
                </w:p>
              </w:tc>
              <w:tc>
                <w:tcPr>
                  <w:tcW w:w="1896" w:type="pct"/>
                  <w:tcBorders>
                    <w:tl2br w:val="nil"/>
                    <w:tr2bl w:val="nil"/>
                  </w:tcBorders>
                  <w:noWrap w:val="0"/>
                  <w:vAlign w:val="center"/>
                </w:tcPr>
                <w:p>
                  <w:pPr>
                    <w:pStyle w:val="37"/>
                    <w:bidi w:val="0"/>
                    <w:rPr>
                      <w:rFonts w:hint="default" w:ascii="Times New Roman" w:hAnsi="Times New Roman" w:cs="Times New Roman"/>
                      <w:b w:val="0"/>
                      <w:bCs w:val="0"/>
                      <w:color w:val="auto"/>
                      <w:u w:val="single"/>
                    </w:rPr>
                  </w:pPr>
                  <w:r>
                    <w:rPr>
                      <w:rFonts w:hint="default" w:ascii="Times New Roman" w:hAnsi="Times New Roman" w:cs="Times New Roman"/>
                      <w:b w:val="0"/>
                      <w:bCs w:val="0"/>
                      <w:color w:val="auto"/>
                      <w:u w:val="single"/>
                    </w:rPr>
                    <w:t>隔声、加强厂区绿化</w:t>
                  </w:r>
                </w:p>
              </w:tc>
              <w:tc>
                <w:tcPr>
                  <w:tcW w:w="514" w:type="pct"/>
                  <w:tcBorders>
                    <w:tl2br w:val="nil"/>
                    <w:tr2bl w:val="nil"/>
                  </w:tcBorders>
                  <w:noWrap w:val="0"/>
                  <w:vAlign w:val="center"/>
                </w:tcPr>
                <w:p>
                  <w:pPr>
                    <w:pStyle w:val="37"/>
                    <w:bidi w:val="0"/>
                    <w:rPr>
                      <w:rFonts w:hint="default" w:ascii="Times New Roman" w:hAnsi="Times New Roman" w:cs="Times New Roman"/>
                      <w:b w:val="0"/>
                      <w:bCs w:val="0"/>
                      <w:color w:val="auto"/>
                      <w:u w:val="single"/>
                      <w:lang w:val="en-US" w:eastAsia="zh-CN"/>
                    </w:rPr>
                  </w:pPr>
                  <w:r>
                    <w:rPr>
                      <w:rFonts w:hint="eastAsia" w:cs="Times New Roman"/>
                      <w:b w:val="0"/>
                      <w:bCs w:val="0"/>
                      <w:color w:val="auto"/>
                      <w:u w:val="single"/>
                      <w:lang w:val="en-US" w:eastAsia="zh-CN"/>
                    </w:rPr>
                    <w:t>2</w:t>
                  </w:r>
                </w:p>
              </w:tc>
              <w:tc>
                <w:tcPr>
                  <w:tcW w:w="548" w:type="pct"/>
                  <w:tcBorders>
                    <w:tl2br w:val="nil"/>
                    <w:tr2bl w:val="nil"/>
                  </w:tcBorders>
                  <w:noWrap w:val="0"/>
                  <w:vAlign w:val="center"/>
                </w:tcPr>
                <w:p>
                  <w:pPr>
                    <w:pStyle w:val="37"/>
                    <w:bidi w:val="0"/>
                    <w:rPr>
                      <w:rFonts w:hint="default" w:ascii="Times New Roman" w:hAnsi="Times New Roman" w:cs="Times New Roman"/>
                      <w:b w:val="0"/>
                      <w:bCs w:val="0"/>
                      <w:color w:val="auto"/>
                      <w:u w:val="single"/>
                    </w:rPr>
                  </w:pPr>
                  <w:r>
                    <w:rPr>
                      <w:rFonts w:hint="default" w:ascii="Times New Roman" w:hAnsi="Times New Roman" w:cs="Times New Roman"/>
                      <w:b w:val="0"/>
                      <w:bCs w:val="0"/>
                      <w:color w:val="auto"/>
                      <w:u w:val="single"/>
                      <w:lang w:eastAsia="zh-CN"/>
                    </w:rPr>
                    <w:t>新建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5" w:type="pct"/>
                  <w:gridSpan w:val="2"/>
                  <w:tcBorders>
                    <w:tl2br w:val="nil"/>
                    <w:tr2bl w:val="nil"/>
                  </w:tcBorders>
                  <w:noWrap w:val="0"/>
                  <w:vAlign w:val="center"/>
                </w:tcPr>
                <w:p>
                  <w:pPr>
                    <w:pStyle w:val="37"/>
                    <w:bidi w:val="0"/>
                    <w:rPr>
                      <w:rFonts w:hint="default" w:ascii="Times New Roman" w:hAnsi="Times New Roman" w:cs="Times New Roman"/>
                      <w:b w:val="0"/>
                      <w:bCs w:val="0"/>
                      <w:color w:val="auto"/>
                      <w:u w:val="single"/>
                    </w:rPr>
                  </w:pPr>
                  <w:r>
                    <w:rPr>
                      <w:rFonts w:hint="default" w:ascii="Times New Roman" w:hAnsi="Times New Roman" w:cs="Times New Roman"/>
                      <w:b w:val="0"/>
                      <w:bCs w:val="0"/>
                      <w:color w:val="auto"/>
                      <w:u w:val="single"/>
                    </w:rPr>
                    <w:t>合计</w:t>
                  </w:r>
                </w:p>
              </w:tc>
              <w:tc>
                <w:tcPr>
                  <w:tcW w:w="934" w:type="pct"/>
                  <w:tcBorders>
                    <w:tl2br w:val="nil"/>
                    <w:tr2bl w:val="nil"/>
                  </w:tcBorders>
                  <w:noWrap w:val="0"/>
                  <w:vAlign w:val="center"/>
                </w:tcPr>
                <w:p>
                  <w:pPr>
                    <w:pStyle w:val="37"/>
                    <w:bidi w:val="0"/>
                    <w:rPr>
                      <w:rFonts w:hint="default" w:ascii="Times New Roman" w:hAnsi="Times New Roman" w:cs="Times New Roman"/>
                      <w:b w:val="0"/>
                      <w:bCs w:val="0"/>
                      <w:color w:val="auto"/>
                      <w:u w:val="single"/>
                    </w:rPr>
                  </w:pPr>
                  <w:r>
                    <w:rPr>
                      <w:rFonts w:hint="default" w:ascii="Times New Roman" w:hAnsi="Times New Roman" w:cs="Times New Roman"/>
                      <w:b w:val="0"/>
                      <w:bCs w:val="0"/>
                      <w:color w:val="auto"/>
                      <w:u w:val="single"/>
                    </w:rPr>
                    <w:t>--</w:t>
                  </w:r>
                </w:p>
              </w:tc>
              <w:tc>
                <w:tcPr>
                  <w:tcW w:w="1896" w:type="pct"/>
                  <w:tcBorders>
                    <w:tl2br w:val="nil"/>
                    <w:tr2bl w:val="nil"/>
                  </w:tcBorders>
                  <w:noWrap w:val="0"/>
                  <w:vAlign w:val="center"/>
                </w:tcPr>
                <w:p>
                  <w:pPr>
                    <w:pStyle w:val="37"/>
                    <w:bidi w:val="0"/>
                    <w:rPr>
                      <w:rFonts w:hint="default" w:ascii="Times New Roman" w:hAnsi="Times New Roman" w:cs="Times New Roman"/>
                      <w:b w:val="0"/>
                      <w:bCs w:val="0"/>
                      <w:color w:val="auto"/>
                      <w:u w:val="single"/>
                    </w:rPr>
                  </w:pPr>
                  <w:r>
                    <w:rPr>
                      <w:rFonts w:hint="default" w:ascii="Times New Roman" w:hAnsi="Times New Roman" w:cs="Times New Roman"/>
                      <w:b w:val="0"/>
                      <w:bCs w:val="0"/>
                      <w:color w:val="auto"/>
                      <w:u w:val="single"/>
                    </w:rPr>
                    <w:t>--</w:t>
                  </w:r>
                </w:p>
              </w:tc>
              <w:tc>
                <w:tcPr>
                  <w:tcW w:w="514" w:type="pct"/>
                  <w:tcBorders>
                    <w:tl2br w:val="nil"/>
                    <w:tr2bl w:val="nil"/>
                  </w:tcBorders>
                  <w:noWrap w:val="0"/>
                  <w:vAlign w:val="center"/>
                </w:tcPr>
                <w:p>
                  <w:pPr>
                    <w:pStyle w:val="37"/>
                    <w:bidi w:val="0"/>
                    <w:rPr>
                      <w:rFonts w:hint="default" w:ascii="Times New Roman" w:hAnsi="Times New Roman" w:cs="Times New Roman"/>
                      <w:b w:val="0"/>
                      <w:bCs w:val="0"/>
                      <w:color w:val="auto"/>
                      <w:u w:val="single"/>
                      <w:lang w:val="en-US" w:eastAsia="zh-CN"/>
                    </w:rPr>
                  </w:pPr>
                  <w:r>
                    <w:rPr>
                      <w:rFonts w:hint="eastAsia" w:cs="Times New Roman"/>
                      <w:b w:val="0"/>
                      <w:bCs w:val="0"/>
                      <w:color w:val="auto"/>
                      <w:u w:val="single"/>
                      <w:lang w:val="en-US" w:eastAsia="zh-CN"/>
                    </w:rPr>
                    <w:t>22</w:t>
                  </w:r>
                </w:p>
              </w:tc>
              <w:tc>
                <w:tcPr>
                  <w:tcW w:w="548" w:type="pct"/>
                  <w:tcBorders>
                    <w:tl2br w:val="nil"/>
                    <w:tr2bl w:val="nil"/>
                  </w:tcBorders>
                  <w:noWrap w:val="0"/>
                  <w:vAlign w:val="center"/>
                </w:tcPr>
                <w:p>
                  <w:pPr>
                    <w:pStyle w:val="37"/>
                    <w:bidi w:val="0"/>
                    <w:rPr>
                      <w:rFonts w:hint="default" w:ascii="Times New Roman" w:hAnsi="Times New Roman" w:cs="Times New Roman"/>
                      <w:b w:val="0"/>
                      <w:bCs w:val="0"/>
                      <w:color w:val="auto"/>
                      <w:u w:val="single"/>
                    </w:rPr>
                  </w:pPr>
                  <w:r>
                    <w:rPr>
                      <w:rFonts w:hint="default" w:ascii="Times New Roman" w:hAnsi="Times New Roman" w:cs="Times New Roman"/>
                      <w:b w:val="0"/>
                      <w:bCs w:val="0"/>
                      <w:color w:val="auto"/>
                      <w:u w:val="single"/>
                    </w:rPr>
                    <w:t>/</w:t>
                  </w:r>
                </w:p>
              </w:tc>
            </w:tr>
          </w:tbl>
          <w:p>
            <w:pPr>
              <w:pStyle w:val="57"/>
              <w:bidi w:val="0"/>
            </w:pPr>
          </w:p>
          <w:p>
            <w:pPr>
              <w:pStyle w:val="6"/>
              <w:rPr>
                <w:rFonts w:hint="default"/>
                <w:lang w:val="en-US" w:eastAsia="zh-CN"/>
              </w:rPr>
            </w:pPr>
          </w:p>
        </w:tc>
      </w:tr>
    </w:tbl>
    <w:p>
      <w:pPr>
        <w:adjustRightInd w:val="0"/>
        <w:snapToGrid w:val="0"/>
        <w:spacing w:line="360" w:lineRule="auto"/>
        <w:rPr>
          <w:rFonts w:hint="eastAsia" w:ascii="宋体" w:cs="宋体"/>
          <w:b/>
          <w:kern w:val="0"/>
          <w:sz w:val="28"/>
          <w:szCs w:val="28"/>
        </w:rPr>
        <w:sectPr>
          <w:pgSz w:w="11907" w:h="16840"/>
          <w:pgMar w:top="1417" w:right="1417" w:bottom="1417" w:left="1417"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8"/>
        <w:jc w:val="center"/>
        <w:outlineLvl w:val="0"/>
        <w:rPr>
          <w:rFonts w:ascii="黑体" w:hAnsi="黑体" w:eastAsia="黑体"/>
          <w:snapToGrid w:val="0"/>
          <w:sz w:val="30"/>
          <w:szCs w:val="30"/>
        </w:rPr>
      </w:pPr>
      <w:r>
        <w:rPr>
          <w:rFonts w:hint="eastAsia" w:ascii="黑体" w:hAnsi="黑体" w:eastAsia="黑体"/>
          <w:snapToGrid w:val="0"/>
          <w:sz w:val="30"/>
          <w:szCs w:val="30"/>
        </w:rPr>
        <w:t>五、</w:t>
      </w:r>
      <w:bookmarkStart w:id="16" w:name="_Hlk54167917"/>
      <w:r>
        <w:rPr>
          <w:rFonts w:hint="eastAsia" w:ascii="黑体" w:hAnsi="黑体" w:eastAsia="黑体"/>
          <w:snapToGrid w:val="0"/>
          <w:sz w:val="30"/>
          <w:szCs w:val="30"/>
        </w:rPr>
        <w:t>环境保护措施监督检查清单</w:t>
      </w:r>
      <w:bookmarkEnd w:id="16"/>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318"/>
        <w:gridCol w:w="1267"/>
        <w:gridCol w:w="2190"/>
        <w:gridCol w:w="22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8" w:type="dxa"/>
            <w:tcBorders>
              <w:tl2br w:val="single" w:color="auto" w:sz="4" w:space="0"/>
            </w:tcBorders>
            <w:noWrap w:val="0"/>
            <w:vAlign w:val="top"/>
          </w:tcPr>
          <w:p>
            <w:pPr>
              <w:pStyle w:val="37"/>
              <w:rPr>
                <w:color w:val="auto"/>
                <w:u w:val="single"/>
              </w:rPr>
            </w:pPr>
            <w:r>
              <w:rPr>
                <w:color w:val="auto"/>
                <w:u w:val="single"/>
              </w:rPr>
              <w:t>内容</w:t>
            </w:r>
          </w:p>
          <w:p>
            <w:pPr>
              <w:pStyle w:val="37"/>
              <w:rPr>
                <w:color w:val="auto"/>
                <w:u w:val="single"/>
              </w:rPr>
            </w:pPr>
            <w:r>
              <w:rPr>
                <w:color w:val="auto"/>
                <w:u w:val="single"/>
              </w:rPr>
              <w:t>要素</w:t>
            </w:r>
          </w:p>
        </w:tc>
        <w:tc>
          <w:tcPr>
            <w:tcW w:w="1318" w:type="dxa"/>
            <w:noWrap w:val="0"/>
            <w:vAlign w:val="center"/>
          </w:tcPr>
          <w:p>
            <w:pPr>
              <w:pStyle w:val="37"/>
              <w:rPr>
                <w:color w:val="auto"/>
                <w:u w:val="single"/>
              </w:rPr>
            </w:pPr>
            <w:r>
              <w:rPr>
                <w:color w:val="auto"/>
                <w:u w:val="single"/>
              </w:rPr>
              <w:t>排放口(编号、</w:t>
            </w:r>
          </w:p>
          <w:p>
            <w:pPr>
              <w:pStyle w:val="37"/>
              <w:rPr>
                <w:color w:val="auto"/>
                <w:u w:val="single"/>
              </w:rPr>
            </w:pPr>
            <w:r>
              <w:rPr>
                <w:color w:val="auto"/>
                <w:u w:val="single"/>
              </w:rPr>
              <w:t>名称)/污染源</w:t>
            </w:r>
          </w:p>
        </w:tc>
        <w:tc>
          <w:tcPr>
            <w:tcW w:w="1267" w:type="dxa"/>
            <w:noWrap w:val="0"/>
            <w:vAlign w:val="center"/>
          </w:tcPr>
          <w:p>
            <w:pPr>
              <w:pStyle w:val="37"/>
              <w:rPr>
                <w:color w:val="auto"/>
                <w:u w:val="single"/>
              </w:rPr>
            </w:pPr>
            <w:r>
              <w:rPr>
                <w:color w:val="auto"/>
                <w:u w:val="single"/>
              </w:rPr>
              <w:t>污染物项目</w:t>
            </w:r>
          </w:p>
        </w:tc>
        <w:tc>
          <w:tcPr>
            <w:tcW w:w="2190" w:type="dxa"/>
            <w:noWrap w:val="0"/>
            <w:vAlign w:val="center"/>
          </w:tcPr>
          <w:p>
            <w:pPr>
              <w:pStyle w:val="37"/>
              <w:rPr>
                <w:color w:val="auto"/>
                <w:u w:val="single"/>
              </w:rPr>
            </w:pPr>
            <w:r>
              <w:rPr>
                <w:color w:val="auto"/>
                <w:u w:val="single"/>
              </w:rPr>
              <w:t>环境保护措施</w:t>
            </w:r>
          </w:p>
        </w:tc>
        <w:tc>
          <w:tcPr>
            <w:tcW w:w="2247" w:type="dxa"/>
            <w:noWrap w:val="0"/>
            <w:vAlign w:val="center"/>
          </w:tcPr>
          <w:p>
            <w:pPr>
              <w:pStyle w:val="37"/>
              <w:rPr>
                <w:color w:val="auto"/>
                <w:u w:val="single"/>
              </w:rPr>
            </w:pPr>
            <w:r>
              <w:rPr>
                <w:color w:val="auto"/>
                <w:u w:val="singl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7" w:hRule="atLeast"/>
          <w:jc w:val="center"/>
        </w:trPr>
        <w:tc>
          <w:tcPr>
            <w:tcW w:w="1778" w:type="dxa"/>
            <w:noWrap w:val="0"/>
            <w:vAlign w:val="center"/>
          </w:tcPr>
          <w:p>
            <w:pPr>
              <w:pStyle w:val="37"/>
              <w:rPr>
                <w:color w:val="auto"/>
                <w:u w:val="single"/>
              </w:rPr>
            </w:pPr>
            <w:r>
              <w:rPr>
                <w:color w:val="auto"/>
                <w:u w:val="single"/>
              </w:rPr>
              <w:t>大气环境</w:t>
            </w:r>
          </w:p>
        </w:tc>
        <w:tc>
          <w:tcPr>
            <w:tcW w:w="1318" w:type="dxa"/>
            <w:noWrap w:val="0"/>
            <w:vAlign w:val="center"/>
          </w:tcPr>
          <w:p>
            <w:pPr>
              <w:pStyle w:val="37"/>
              <w:rPr>
                <w:rFonts w:hint="default" w:eastAsia="宋体"/>
                <w:color w:val="auto"/>
                <w:u w:val="single"/>
                <w:lang w:val="en-US" w:eastAsia="zh-CN"/>
              </w:rPr>
            </w:pPr>
            <w:r>
              <w:rPr>
                <w:rFonts w:hint="eastAsia"/>
                <w:color w:val="auto"/>
                <w:u w:val="single"/>
                <w:lang w:val="en-US" w:eastAsia="zh-CN"/>
              </w:rPr>
              <w:t>加药间、反洗水调节池、污泥处理区</w:t>
            </w:r>
          </w:p>
        </w:tc>
        <w:tc>
          <w:tcPr>
            <w:tcW w:w="1267" w:type="dxa"/>
            <w:noWrap w:val="0"/>
            <w:vAlign w:val="center"/>
          </w:tcPr>
          <w:p>
            <w:pPr>
              <w:pStyle w:val="37"/>
              <w:rPr>
                <w:rFonts w:hint="eastAsia" w:eastAsia="宋体"/>
                <w:color w:val="auto"/>
                <w:u w:val="single"/>
                <w:lang w:val="en-US" w:eastAsia="zh-CN"/>
              </w:rPr>
            </w:pPr>
            <w:r>
              <w:rPr>
                <w:rFonts w:hint="eastAsia"/>
                <w:color w:val="auto"/>
                <w:u w:val="single"/>
                <w:lang w:val="en-US" w:eastAsia="zh-CN"/>
              </w:rPr>
              <w:t>HCl、</w:t>
            </w:r>
            <w:r>
              <w:rPr>
                <w:rFonts w:hint="eastAsia"/>
                <w:u w:val="single"/>
                <w:lang w:val="en-US" w:eastAsia="zh-CN"/>
              </w:rPr>
              <w:t>臭气浓度、</w:t>
            </w:r>
            <w:r>
              <w:rPr>
                <w:rFonts w:hint="default"/>
                <w:u w:val="single"/>
              </w:rPr>
              <w:t>NH</w:t>
            </w:r>
            <w:r>
              <w:rPr>
                <w:rFonts w:hint="default"/>
                <w:u w:val="single"/>
                <w:vertAlign w:val="subscript"/>
              </w:rPr>
              <w:t>3</w:t>
            </w:r>
          </w:p>
        </w:tc>
        <w:tc>
          <w:tcPr>
            <w:tcW w:w="2190" w:type="dxa"/>
            <w:noWrap w:val="0"/>
            <w:vAlign w:val="center"/>
          </w:tcPr>
          <w:p>
            <w:pPr>
              <w:pStyle w:val="37"/>
              <w:rPr>
                <w:rFonts w:hint="default" w:eastAsia="宋体"/>
                <w:color w:val="auto"/>
                <w:u w:val="single"/>
                <w:lang w:val="en-US" w:eastAsia="zh-CN"/>
              </w:rPr>
            </w:pPr>
            <w:r>
              <w:rPr>
                <w:rFonts w:hint="eastAsia"/>
                <w:color w:val="auto"/>
                <w:u w:val="single"/>
                <w:lang w:val="en-US" w:eastAsia="zh-CN"/>
              </w:rPr>
              <w:t>对周边环境影响较小。</w:t>
            </w:r>
          </w:p>
        </w:tc>
        <w:tc>
          <w:tcPr>
            <w:tcW w:w="2247" w:type="dxa"/>
            <w:noWrap w:val="0"/>
            <w:vAlign w:val="center"/>
          </w:tcPr>
          <w:p>
            <w:pPr>
              <w:pStyle w:val="37"/>
              <w:rPr>
                <w:rFonts w:hint="eastAsia" w:eastAsia="宋体"/>
                <w:color w:val="auto"/>
                <w:u w:val="single"/>
                <w:lang w:val="en-US" w:eastAsia="zh-CN"/>
              </w:rPr>
            </w:pPr>
            <w:r>
              <w:rPr>
                <w:rFonts w:hint="eastAsia"/>
                <w:color w:val="auto"/>
                <w:u w:val="singl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8" w:hRule="atLeast"/>
          <w:jc w:val="center"/>
        </w:trPr>
        <w:tc>
          <w:tcPr>
            <w:tcW w:w="1778" w:type="dxa"/>
            <w:noWrap w:val="0"/>
            <w:vAlign w:val="center"/>
          </w:tcPr>
          <w:p>
            <w:pPr>
              <w:pStyle w:val="37"/>
              <w:rPr>
                <w:color w:val="auto"/>
                <w:u w:val="single"/>
              </w:rPr>
            </w:pPr>
            <w:r>
              <w:rPr>
                <w:color w:val="auto"/>
                <w:u w:val="single"/>
              </w:rPr>
              <w:t>地表水环境</w:t>
            </w:r>
          </w:p>
        </w:tc>
        <w:tc>
          <w:tcPr>
            <w:tcW w:w="1318" w:type="dxa"/>
            <w:noWrap w:val="0"/>
            <w:vAlign w:val="center"/>
          </w:tcPr>
          <w:p>
            <w:pPr>
              <w:pStyle w:val="37"/>
              <w:rPr>
                <w:rFonts w:hint="default" w:eastAsia="宋体"/>
                <w:color w:val="auto"/>
                <w:u w:val="single"/>
                <w:lang w:val="en-US" w:eastAsia="zh-CN"/>
              </w:rPr>
            </w:pPr>
            <w:r>
              <w:rPr>
                <w:rFonts w:hint="eastAsia"/>
                <w:color w:val="auto"/>
                <w:u w:val="single"/>
                <w:lang w:val="en-US" w:eastAsia="zh-CN"/>
              </w:rPr>
              <w:t>生产废水</w:t>
            </w:r>
          </w:p>
        </w:tc>
        <w:tc>
          <w:tcPr>
            <w:tcW w:w="1267" w:type="dxa"/>
            <w:noWrap w:val="0"/>
            <w:vAlign w:val="center"/>
          </w:tcPr>
          <w:p>
            <w:pPr>
              <w:pStyle w:val="37"/>
              <w:rPr>
                <w:rFonts w:hint="default" w:eastAsia="宋体"/>
                <w:color w:val="auto"/>
                <w:u w:val="single"/>
                <w:lang w:val="en-US" w:eastAsia="zh-CN"/>
              </w:rPr>
            </w:pPr>
            <w:r>
              <w:rPr>
                <w:rFonts w:hint="default" w:ascii="Times New Roman" w:hAnsi="Times New Roman" w:eastAsia="宋体" w:cs="Times New Roman"/>
                <w:color w:val="auto"/>
                <w:sz w:val="21"/>
                <w:szCs w:val="21"/>
                <w:u w:val="single"/>
                <w:lang w:eastAsia="zh-CN"/>
              </w:rPr>
              <w:t>全盐量</w:t>
            </w:r>
            <w:r>
              <w:rPr>
                <w:rFonts w:hint="eastAsia" w:cs="Times New Roman"/>
                <w:color w:val="auto"/>
                <w:sz w:val="21"/>
                <w:szCs w:val="21"/>
                <w:u w:val="single"/>
                <w:lang w:eastAsia="zh-CN"/>
              </w:rPr>
              <w:t>、</w:t>
            </w:r>
            <w:r>
              <w:rPr>
                <w:rFonts w:hint="eastAsia" w:cs="Times New Roman"/>
                <w:color w:val="auto"/>
                <w:sz w:val="21"/>
                <w:szCs w:val="21"/>
                <w:u w:val="single"/>
                <w:lang w:val="en-US" w:eastAsia="zh-CN"/>
              </w:rPr>
              <w:t>氯化物</w:t>
            </w:r>
          </w:p>
        </w:tc>
        <w:tc>
          <w:tcPr>
            <w:tcW w:w="2190" w:type="dxa"/>
            <w:noWrap w:val="0"/>
            <w:vAlign w:val="center"/>
          </w:tcPr>
          <w:p>
            <w:pPr>
              <w:pStyle w:val="37"/>
              <w:rPr>
                <w:rFonts w:hint="default" w:eastAsia="宋体"/>
                <w:color w:val="auto"/>
                <w:u w:val="single"/>
                <w:lang w:val="en-US" w:eastAsia="zh-CN"/>
              </w:rPr>
            </w:pPr>
            <w:r>
              <w:rPr>
                <w:rFonts w:hint="eastAsia"/>
                <w:color w:val="auto"/>
                <w:u w:val="single"/>
                <w:lang w:val="en-US" w:eastAsia="zh-CN"/>
              </w:rPr>
              <w:t>纯水再生废水和化学清洗废水排入中和池酸碱中和后排入洪江高新区污水处理厂处理，达标后排入沅江。其他废水直接排入洪江高新区污水处理厂处理。</w:t>
            </w:r>
          </w:p>
        </w:tc>
        <w:tc>
          <w:tcPr>
            <w:tcW w:w="2247" w:type="dxa"/>
            <w:noWrap w:val="0"/>
            <w:vAlign w:val="center"/>
          </w:tcPr>
          <w:p>
            <w:pPr>
              <w:pStyle w:val="37"/>
              <w:rPr>
                <w:rFonts w:hint="default" w:eastAsia="宋体"/>
                <w:color w:val="auto"/>
                <w:u w:val="single"/>
                <w:lang w:val="en-US" w:eastAsia="zh-CN"/>
              </w:rPr>
            </w:pPr>
            <w:r>
              <w:rPr>
                <w:rFonts w:hint="default" w:ascii="Times New Roman" w:hAnsi="Times New Roman" w:eastAsia="宋体" w:cs="Times New Roman"/>
                <w:color w:val="FF0000"/>
                <w:sz w:val="21"/>
                <w:szCs w:val="21"/>
                <w:u w:val="single"/>
                <w:lang w:eastAsia="zh-CN"/>
              </w:rPr>
              <w:t>《污水综合排放标准》(GB8978-1996）中表4、《硫酸工业污染物排放标准》(GB26132-2010）中表2新建企业水污染物间接排放限值要求、《烧碱、聚氯乙烯工业污染物排放标准》(GB15581-2016）表1间接排放限值要求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8" w:type="dxa"/>
            <w:noWrap w:val="0"/>
            <w:vAlign w:val="center"/>
          </w:tcPr>
          <w:p>
            <w:pPr>
              <w:pStyle w:val="37"/>
              <w:rPr>
                <w:color w:val="auto"/>
                <w:u w:val="single"/>
              </w:rPr>
            </w:pPr>
            <w:r>
              <w:rPr>
                <w:color w:val="auto"/>
                <w:u w:val="single"/>
              </w:rPr>
              <w:t>声环境</w:t>
            </w:r>
          </w:p>
        </w:tc>
        <w:tc>
          <w:tcPr>
            <w:tcW w:w="1318" w:type="dxa"/>
            <w:noWrap w:val="0"/>
            <w:vAlign w:val="center"/>
          </w:tcPr>
          <w:p>
            <w:pPr>
              <w:pStyle w:val="37"/>
              <w:rPr>
                <w:color w:val="auto"/>
                <w:szCs w:val="22"/>
                <w:u w:val="single"/>
              </w:rPr>
            </w:pPr>
            <w:r>
              <w:rPr>
                <w:color w:val="auto"/>
                <w:szCs w:val="22"/>
                <w:u w:val="single"/>
              </w:rPr>
              <w:t>设备</w:t>
            </w:r>
          </w:p>
        </w:tc>
        <w:tc>
          <w:tcPr>
            <w:tcW w:w="1267" w:type="dxa"/>
            <w:noWrap w:val="0"/>
            <w:vAlign w:val="center"/>
          </w:tcPr>
          <w:p>
            <w:pPr>
              <w:pStyle w:val="37"/>
              <w:rPr>
                <w:color w:val="auto"/>
                <w:szCs w:val="22"/>
                <w:u w:val="single"/>
              </w:rPr>
            </w:pPr>
            <w:r>
              <w:rPr>
                <w:color w:val="auto"/>
                <w:szCs w:val="22"/>
                <w:u w:val="single"/>
              </w:rPr>
              <w:t>生产设备运行产生的噪声</w:t>
            </w:r>
          </w:p>
        </w:tc>
        <w:tc>
          <w:tcPr>
            <w:tcW w:w="2190" w:type="dxa"/>
            <w:noWrap w:val="0"/>
            <w:vAlign w:val="center"/>
          </w:tcPr>
          <w:p>
            <w:pPr>
              <w:pStyle w:val="37"/>
              <w:rPr>
                <w:rFonts w:hint="eastAsia" w:eastAsia="宋体"/>
                <w:color w:val="auto"/>
                <w:szCs w:val="22"/>
                <w:u w:val="single"/>
                <w:lang w:eastAsia="zh-CN"/>
              </w:rPr>
            </w:pPr>
            <w:r>
              <w:rPr>
                <w:color w:val="auto"/>
                <w:szCs w:val="22"/>
                <w:u w:val="single"/>
              </w:rPr>
              <w:t>各设备采取隔声、消声、基础减振等综合治理措施，经距离衰减</w:t>
            </w:r>
            <w:r>
              <w:rPr>
                <w:rFonts w:hint="eastAsia"/>
                <w:color w:val="auto"/>
                <w:szCs w:val="22"/>
                <w:u w:val="single"/>
                <w:lang w:eastAsia="zh-CN"/>
              </w:rPr>
              <w:t>。</w:t>
            </w:r>
          </w:p>
        </w:tc>
        <w:tc>
          <w:tcPr>
            <w:tcW w:w="2247" w:type="dxa"/>
            <w:noWrap w:val="0"/>
            <w:vAlign w:val="center"/>
          </w:tcPr>
          <w:p>
            <w:pPr>
              <w:pStyle w:val="37"/>
              <w:rPr>
                <w:color w:val="auto"/>
                <w:szCs w:val="22"/>
                <w:u w:val="single"/>
              </w:rPr>
            </w:pPr>
            <w:r>
              <w:rPr>
                <w:color w:val="auto"/>
                <w:szCs w:val="22"/>
                <w:u w:val="single"/>
              </w:rPr>
              <w:t>符合</w:t>
            </w:r>
            <w:r>
              <w:rPr>
                <w:b w:val="0"/>
                <w:bCs w:val="0"/>
                <w:color w:val="auto"/>
                <w:u w:val="single"/>
              </w:rPr>
              <w:t>《工业企业厂界环境噪声排放标准》（GB12348-2008）中3类标准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8" w:type="dxa"/>
            <w:vMerge w:val="restart"/>
            <w:noWrap w:val="0"/>
            <w:vAlign w:val="center"/>
          </w:tcPr>
          <w:p>
            <w:pPr>
              <w:pStyle w:val="37"/>
              <w:rPr>
                <w:rFonts w:hint="default" w:eastAsia="宋体"/>
                <w:color w:val="auto"/>
                <w:u w:val="single"/>
                <w:lang w:val="en-US" w:eastAsia="zh-CN"/>
              </w:rPr>
            </w:pPr>
            <w:r>
              <w:rPr>
                <w:rFonts w:hint="eastAsia"/>
                <w:color w:val="auto"/>
                <w:u w:val="single"/>
                <w:lang w:val="en-US" w:eastAsia="zh-CN"/>
              </w:rPr>
              <w:t>固体废物</w:t>
            </w:r>
          </w:p>
        </w:tc>
        <w:tc>
          <w:tcPr>
            <w:tcW w:w="1318" w:type="dxa"/>
            <w:vMerge w:val="restart"/>
            <w:noWrap w:val="0"/>
            <w:vAlign w:val="center"/>
          </w:tcPr>
          <w:p>
            <w:pPr>
              <w:pStyle w:val="37"/>
              <w:rPr>
                <w:rFonts w:hint="default"/>
                <w:color w:val="auto"/>
                <w:u w:val="single"/>
              </w:rPr>
            </w:pPr>
            <w:r>
              <w:rPr>
                <w:color w:val="auto"/>
                <w:u w:val="single"/>
              </w:rPr>
              <w:t>一般固废</w:t>
            </w:r>
          </w:p>
        </w:tc>
        <w:tc>
          <w:tcPr>
            <w:tcW w:w="1267" w:type="dxa"/>
            <w:noWrap w:val="0"/>
            <w:vAlign w:val="center"/>
          </w:tcPr>
          <w:p>
            <w:pPr>
              <w:pStyle w:val="37"/>
              <w:spacing w:beforeLines="0" w:afterLines="0"/>
              <w:rPr>
                <w:rFonts w:hint="default" w:eastAsia="宋体"/>
                <w:color w:val="auto"/>
                <w:u w:val="single"/>
                <w:lang w:val="en-US" w:eastAsia="zh-CN"/>
              </w:rPr>
            </w:pPr>
            <w:r>
              <w:rPr>
                <w:rFonts w:hint="eastAsia"/>
                <w:color w:val="auto"/>
                <w:sz w:val="21"/>
                <w:szCs w:val="24"/>
                <w:u w:val="single"/>
                <w:lang w:val="en-US" w:eastAsia="zh-CN"/>
              </w:rPr>
              <w:t>一般性包装废物</w:t>
            </w:r>
          </w:p>
        </w:tc>
        <w:tc>
          <w:tcPr>
            <w:tcW w:w="2190" w:type="dxa"/>
            <w:vMerge w:val="restart"/>
            <w:noWrap w:val="0"/>
            <w:vAlign w:val="center"/>
          </w:tcPr>
          <w:p>
            <w:pPr>
              <w:pStyle w:val="37"/>
              <w:spacing w:beforeLines="0" w:afterLines="0"/>
              <w:rPr>
                <w:rFonts w:hint="default"/>
                <w:color w:val="auto"/>
                <w:u w:val="single"/>
                <w:lang w:val="en-US" w:eastAsia="zh-CN"/>
              </w:rPr>
            </w:pPr>
            <w:r>
              <w:rPr>
                <w:rFonts w:hint="eastAsia"/>
                <w:color w:val="auto"/>
                <w:sz w:val="21"/>
                <w:szCs w:val="24"/>
                <w:u w:val="single"/>
                <w:lang w:val="en-US" w:eastAsia="zh-CN"/>
              </w:rPr>
              <w:t>收集后分类暂存于一般固废暂存区，交由有关单位处理</w:t>
            </w:r>
          </w:p>
        </w:tc>
        <w:tc>
          <w:tcPr>
            <w:tcW w:w="2247" w:type="dxa"/>
            <w:vMerge w:val="restart"/>
            <w:noWrap w:val="0"/>
            <w:vAlign w:val="center"/>
          </w:tcPr>
          <w:p>
            <w:pPr>
              <w:pStyle w:val="37"/>
              <w:rPr>
                <w:rFonts w:hint="eastAsia" w:eastAsia="宋体"/>
                <w:color w:val="auto"/>
                <w:u w:val="single"/>
                <w:lang w:val="en-US" w:eastAsia="zh-CN"/>
              </w:rPr>
            </w:pPr>
            <w:r>
              <w:rPr>
                <w:rFonts w:hint="default" w:ascii="Times New Roman" w:hAnsi="Times New Roman" w:cs="Times New Roman"/>
                <w:color w:val="auto"/>
                <w:u w:val="single"/>
              </w:rPr>
              <w:t>《一般工业固体废物贮存和填埋污染控制标准》（GB18599-2020</w:t>
            </w:r>
            <w:r>
              <w:rPr>
                <w:rFonts w:hint="eastAsia" w:cs="Times New Roman"/>
                <w:color w:val="auto"/>
                <w:u w:val="singl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8" w:type="dxa"/>
            <w:vMerge w:val="continue"/>
            <w:noWrap w:val="0"/>
            <w:vAlign w:val="center"/>
          </w:tcPr>
          <w:p>
            <w:pPr>
              <w:pStyle w:val="37"/>
              <w:rPr>
                <w:color w:val="auto"/>
                <w:u w:val="single"/>
              </w:rPr>
            </w:pPr>
          </w:p>
        </w:tc>
        <w:tc>
          <w:tcPr>
            <w:tcW w:w="1318" w:type="dxa"/>
            <w:vMerge w:val="continue"/>
            <w:noWrap w:val="0"/>
            <w:vAlign w:val="center"/>
          </w:tcPr>
          <w:p>
            <w:pPr>
              <w:pStyle w:val="37"/>
              <w:rPr>
                <w:color w:val="auto"/>
                <w:u w:val="single"/>
              </w:rPr>
            </w:pPr>
          </w:p>
        </w:tc>
        <w:tc>
          <w:tcPr>
            <w:tcW w:w="1267" w:type="dxa"/>
            <w:noWrap w:val="0"/>
            <w:vAlign w:val="center"/>
          </w:tcPr>
          <w:p>
            <w:pPr>
              <w:pStyle w:val="37"/>
              <w:spacing w:beforeLines="0" w:afterLines="0"/>
              <w:rPr>
                <w:rFonts w:hint="default" w:eastAsia="宋体"/>
                <w:color w:val="auto"/>
                <w:u w:val="single"/>
                <w:lang w:val="en-US" w:eastAsia="zh-CN"/>
              </w:rPr>
            </w:pPr>
            <w:r>
              <w:rPr>
                <w:rFonts w:hint="eastAsia"/>
                <w:color w:val="auto"/>
                <w:u w:val="single"/>
                <w:lang w:val="en-US" w:eastAsia="zh-CN"/>
              </w:rPr>
              <w:t>脱水污泥</w:t>
            </w:r>
          </w:p>
        </w:tc>
        <w:tc>
          <w:tcPr>
            <w:tcW w:w="2190" w:type="dxa"/>
            <w:vMerge w:val="continue"/>
            <w:noWrap w:val="0"/>
            <w:vAlign w:val="center"/>
          </w:tcPr>
          <w:p>
            <w:pPr>
              <w:pStyle w:val="37"/>
              <w:spacing w:beforeLines="0" w:afterLines="0"/>
              <w:rPr>
                <w:rFonts w:hint="default"/>
                <w:color w:val="auto"/>
                <w:sz w:val="21"/>
                <w:szCs w:val="24"/>
                <w:u w:val="single"/>
                <w:lang w:val="en-US" w:eastAsia="zh-CN" w:bidi="ar-SA"/>
              </w:rPr>
            </w:pPr>
          </w:p>
        </w:tc>
        <w:tc>
          <w:tcPr>
            <w:tcW w:w="2247" w:type="dxa"/>
            <w:vMerge w:val="continue"/>
            <w:noWrap w:val="0"/>
            <w:vAlign w:val="center"/>
          </w:tcPr>
          <w:p>
            <w:pPr>
              <w:pStyle w:val="37"/>
              <w:rPr>
                <w:color w:val="auto"/>
                <w:u w:val="singl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8" w:type="dxa"/>
            <w:vMerge w:val="continue"/>
            <w:noWrap w:val="0"/>
            <w:vAlign w:val="center"/>
          </w:tcPr>
          <w:p>
            <w:pPr>
              <w:pStyle w:val="37"/>
              <w:rPr>
                <w:color w:val="auto"/>
                <w:u w:val="single"/>
              </w:rPr>
            </w:pPr>
          </w:p>
        </w:tc>
        <w:tc>
          <w:tcPr>
            <w:tcW w:w="1318" w:type="dxa"/>
            <w:vMerge w:val="continue"/>
            <w:noWrap w:val="0"/>
            <w:vAlign w:val="center"/>
          </w:tcPr>
          <w:p>
            <w:pPr>
              <w:pStyle w:val="37"/>
              <w:rPr>
                <w:color w:val="auto"/>
                <w:u w:val="single"/>
              </w:rPr>
            </w:pPr>
          </w:p>
        </w:tc>
        <w:tc>
          <w:tcPr>
            <w:tcW w:w="1267" w:type="dxa"/>
            <w:noWrap w:val="0"/>
            <w:vAlign w:val="center"/>
          </w:tcPr>
          <w:p>
            <w:pPr>
              <w:pStyle w:val="37"/>
              <w:spacing w:beforeLines="0" w:afterLines="0"/>
              <w:rPr>
                <w:rFonts w:hint="default"/>
                <w:color w:val="auto"/>
                <w:u w:val="single"/>
                <w:lang w:val="en-US" w:eastAsia="zh-CN"/>
              </w:rPr>
            </w:pPr>
            <w:r>
              <w:rPr>
                <w:rFonts w:hint="eastAsia"/>
                <w:color w:val="auto"/>
                <w:u w:val="single"/>
                <w:lang w:val="en-US" w:eastAsia="zh-CN"/>
              </w:rPr>
              <w:t>废活性炭</w:t>
            </w:r>
          </w:p>
        </w:tc>
        <w:tc>
          <w:tcPr>
            <w:tcW w:w="2190" w:type="dxa"/>
            <w:vMerge w:val="continue"/>
            <w:noWrap w:val="0"/>
            <w:vAlign w:val="center"/>
          </w:tcPr>
          <w:p>
            <w:pPr>
              <w:pStyle w:val="37"/>
              <w:spacing w:beforeLines="0" w:afterLines="0"/>
              <w:rPr>
                <w:rFonts w:hint="default"/>
                <w:color w:val="auto"/>
                <w:sz w:val="21"/>
                <w:szCs w:val="24"/>
                <w:u w:val="single"/>
                <w:lang w:val="en-US" w:eastAsia="zh-CN" w:bidi="ar-SA"/>
              </w:rPr>
            </w:pPr>
          </w:p>
        </w:tc>
        <w:tc>
          <w:tcPr>
            <w:tcW w:w="2247" w:type="dxa"/>
            <w:vMerge w:val="continue"/>
            <w:noWrap w:val="0"/>
            <w:vAlign w:val="center"/>
          </w:tcPr>
          <w:p>
            <w:pPr>
              <w:pStyle w:val="37"/>
              <w:rPr>
                <w:color w:val="auto"/>
                <w:u w:val="singl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8" w:type="dxa"/>
            <w:vMerge w:val="continue"/>
            <w:noWrap w:val="0"/>
            <w:vAlign w:val="center"/>
          </w:tcPr>
          <w:p>
            <w:pPr>
              <w:pStyle w:val="37"/>
              <w:rPr>
                <w:color w:val="auto"/>
                <w:u w:val="single"/>
              </w:rPr>
            </w:pPr>
          </w:p>
        </w:tc>
        <w:tc>
          <w:tcPr>
            <w:tcW w:w="1318" w:type="dxa"/>
            <w:vMerge w:val="continue"/>
            <w:noWrap w:val="0"/>
            <w:vAlign w:val="center"/>
          </w:tcPr>
          <w:p>
            <w:pPr>
              <w:pStyle w:val="37"/>
              <w:rPr>
                <w:color w:val="auto"/>
                <w:u w:val="single"/>
              </w:rPr>
            </w:pPr>
          </w:p>
        </w:tc>
        <w:tc>
          <w:tcPr>
            <w:tcW w:w="1267" w:type="dxa"/>
            <w:noWrap w:val="0"/>
            <w:vAlign w:val="center"/>
          </w:tcPr>
          <w:p>
            <w:pPr>
              <w:pStyle w:val="37"/>
              <w:spacing w:beforeLines="0" w:afterLines="0"/>
              <w:rPr>
                <w:rFonts w:hint="eastAsia"/>
                <w:color w:val="auto"/>
                <w:u w:val="single"/>
                <w:lang w:val="en-US" w:eastAsia="zh-CN"/>
              </w:rPr>
            </w:pPr>
            <w:r>
              <w:rPr>
                <w:rFonts w:hint="eastAsia"/>
                <w:color w:val="auto"/>
                <w:u w:val="single"/>
                <w:lang w:val="en-US" w:eastAsia="zh-CN"/>
              </w:rPr>
              <w:t>废离子交换树脂</w:t>
            </w:r>
          </w:p>
        </w:tc>
        <w:tc>
          <w:tcPr>
            <w:tcW w:w="2190" w:type="dxa"/>
            <w:vMerge w:val="continue"/>
            <w:noWrap w:val="0"/>
            <w:vAlign w:val="center"/>
          </w:tcPr>
          <w:p>
            <w:pPr>
              <w:pStyle w:val="37"/>
              <w:spacing w:beforeLines="0" w:afterLines="0"/>
              <w:rPr>
                <w:rFonts w:hint="default"/>
                <w:color w:val="auto"/>
                <w:sz w:val="21"/>
                <w:szCs w:val="24"/>
                <w:u w:val="single"/>
                <w:lang w:val="en-US" w:eastAsia="zh-CN" w:bidi="ar-SA"/>
              </w:rPr>
            </w:pPr>
          </w:p>
        </w:tc>
        <w:tc>
          <w:tcPr>
            <w:tcW w:w="2247" w:type="dxa"/>
            <w:vMerge w:val="continue"/>
            <w:noWrap w:val="0"/>
            <w:vAlign w:val="center"/>
          </w:tcPr>
          <w:p>
            <w:pPr>
              <w:pStyle w:val="37"/>
              <w:rPr>
                <w:color w:val="auto"/>
                <w:u w:val="singl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8" w:type="dxa"/>
            <w:vMerge w:val="continue"/>
            <w:noWrap w:val="0"/>
            <w:vAlign w:val="center"/>
          </w:tcPr>
          <w:p>
            <w:pPr>
              <w:pStyle w:val="37"/>
              <w:rPr>
                <w:color w:val="auto"/>
                <w:u w:val="single"/>
              </w:rPr>
            </w:pPr>
          </w:p>
        </w:tc>
        <w:tc>
          <w:tcPr>
            <w:tcW w:w="1318" w:type="dxa"/>
            <w:vMerge w:val="continue"/>
            <w:noWrap w:val="0"/>
            <w:vAlign w:val="center"/>
          </w:tcPr>
          <w:p>
            <w:pPr>
              <w:pStyle w:val="37"/>
              <w:rPr>
                <w:color w:val="auto"/>
                <w:u w:val="single"/>
              </w:rPr>
            </w:pPr>
          </w:p>
        </w:tc>
        <w:tc>
          <w:tcPr>
            <w:tcW w:w="1267" w:type="dxa"/>
            <w:noWrap w:val="0"/>
            <w:vAlign w:val="center"/>
          </w:tcPr>
          <w:p>
            <w:pPr>
              <w:pStyle w:val="37"/>
              <w:spacing w:beforeLines="0" w:afterLines="0"/>
              <w:rPr>
                <w:rFonts w:hint="default"/>
                <w:color w:val="auto"/>
                <w:u w:val="single"/>
                <w:lang w:val="en-US" w:eastAsia="zh-CN"/>
              </w:rPr>
            </w:pPr>
            <w:r>
              <w:rPr>
                <w:rFonts w:hint="eastAsia"/>
                <w:color w:val="auto"/>
                <w:u w:val="single"/>
                <w:lang w:val="en-US" w:eastAsia="zh-CN"/>
              </w:rPr>
              <w:t>废石英砂</w:t>
            </w:r>
          </w:p>
        </w:tc>
        <w:tc>
          <w:tcPr>
            <w:tcW w:w="2190" w:type="dxa"/>
            <w:vMerge w:val="continue"/>
            <w:noWrap w:val="0"/>
            <w:vAlign w:val="center"/>
          </w:tcPr>
          <w:p>
            <w:pPr>
              <w:pStyle w:val="37"/>
              <w:spacing w:beforeLines="0" w:afterLines="0"/>
              <w:rPr>
                <w:rFonts w:hint="default"/>
                <w:color w:val="auto"/>
                <w:sz w:val="21"/>
                <w:szCs w:val="24"/>
                <w:u w:val="single"/>
                <w:lang w:val="en-US" w:eastAsia="zh-CN" w:bidi="ar-SA"/>
              </w:rPr>
            </w:pPr>
          </w:p>
        </w:tc>
        <w:tc>
          <w:tcPr>
            <w:tcW w:w="2247" w:type="dxa"/>
            <w:vMerge w:val="continue"/>
            <w:noWrap w:val="0"/>
            <w:vAlign w:val="center"/>
          </w:tcPr>
          <w:p>
            <w:pPr>
              <w:pStyle w:val="37"/>
              <w:rPr>
                <w:color w:val="auto"/>
                <w:u w:val="singl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1778" w:type="dxa"/>
            <w:vMerge w:val="continue"/>
            <w:noWrap w:val="0"/>
            <w:vAlign w:val="center"/>
          </w:tcPr>
          <w:p>
            <w:pPr>
              <w:pStyle w:val="37"/>
              <w:rPr>
                <w:color w:val="auto"/>
                <w:u w:val="single"/>
              </w:rPr>
            </w:pPr>
          </w:p>
        </w:tc>
        <w:tc>
          <w:tcPr>
            <w:tcW w:w="1318" w:type="dxa"/>
            <w:vMerge w:val="continue"/>
            <w:noWrap w:val="0"/>
            <w:vAlign w:val="center"/>
          </w:tcPr>
          <w:p>
            <w:pPr>
              <w:pStyle w:val="37"/>
              <w:rPr>
                <w:color w:val="auto"/>
                <w:u w:val="single"/>
              </w:rPr>
            </w:pPr>
          </w:p>
        </w:tc>
        <w:tc>
          <w:tcPr>
            <w:tcW w:w="1267" w:type="dxa"/>
            <w:noWrap w:val="0"/>
            <w:vAlign w:val="center"/>
          </w:tcPr>
          <w:p>
            <w:pPr>
              <w:pStyle w:val="37"/>
              <w:spacing w:beforeLines="0" w:afterLines="0"/>
              <w:jc w:val="center"/>
              <w:rPr>
                <w:rFonts w:hint="default"/>
                <w:color w:val="auto"/>
                <w:u w:val="single"/>
                <w:lang w:val="en-US" w:eastAsia="zh-CN"/>
              </w:rPr>
            </w:pPr>
            <w:r>
              <w:rPr>
                <w:rFonts w:hint="eastAsia"/>
                <w:color w:val="auto"/>
                <w:u w:val="single"/>
                <w:lang w:val="en-US" w:eastAsia="zh-CN"/>
              </w:rPr>
              <w:t>废反渗透膜</w:t>
            </w:r>
          </w:p>
        </w:tc>
        <w:tc>
          <w:tcPr>
            <w:tcW w:w="2190" w:type="dxa"/>
            <w:vMerge w:val="continue"/>
            <w:noWrap w:val="0"/>
            <w:vAlign w:val="center"/>
          </w:tcPr>
          <w:p>
            <w:pPr>
              <w:pStyle w:val="37"/>
              <w:spacing w:beforeLines="0" w:afterLines="0"/>
              <w:rPr>
                <w:rFonts w:hint="default"/>
                <w:color w:val="auto"/>
                <w:sz w:val="21"/>
                <w:szCs w:val="24"/>
                <w:u w:val="single"/>
                <w:lang w:val="en-US" w:eastAsia="zh-CN" w:bidi="ar-SA"/>
              </w:rPr>
            </w:pPr>
          </w:p>
        </w:tc>
        <w:tc>
          <w:tcPr>
            <w:tcW w:w="2247" w:type="dxa"/>
            <w:vMerge w:val="continue"/>
            <w:noWrap w:val="0"/>
            <w:vAlign w:val="center"/>
          </w:tcPr>
          <w:p>
            <w:pPr>
              <w:pStyle w:val="37"/>
              <w:rPr>
                <w:color w:val="auto"/>
                <w:u w:val="singl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8" w:type="dxa"/>
            <w:noWrap w:val="0"/>
            <w:vAlign w:val="center"/>
          </w:tcPr>
          <w:p>
            <w:pPr>
              <w:pStyle w:val="37"/>
              <w:rPr>
                <w:color w:val="auto"/>
                <w:u w:val="single"/>
              </w:rPr>
            </w:pPr>
            <w:r>
              <w:rPr>
                <w:color w:val="auto"/>
                <w:u w:val="single"/>
              </w:rPr>
              <w:t>生态保护措施</w:t>
            </w:r>
          </w:p>
        </w:tc>
        <w:tc>
          <w:tcPr>
            <w:tcW w:w="7022" w:type="dxa"/>
            <w:gridSpan w:val="4"/>
            <w:noWrap w:val="0"/>
            <w:vAlign w:val="center"/>
          </w:tcPr>
          <w:p>
            <w:pPr>
              <w:pStyle w:val="37"/>
              <w:rPr>
                <w:color w:val="auto"/>
                <w:u w:val="single"/>
              </w:rPr>
            </w:pPr>
            <w:r>
              <w:rPr>
                <w:color w:val="auto"/>
                <w:u w:val="single"/>
              </w:rPr>
              <w:t>本项目运营期执行严格有效的污染防治措施可以将生产中产生的污染物排放控制在较低的水平，从而保持区域环境质量，对人群的生产、生活影响不大。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8" w:type="dxa"/>
            <w:noWrap w:val="0"/>
            <w:vAlign w:val="center"/>
          </w:tcPr>
          <w:p>
            <w:pPr>
              <w:pStyle w:val="37"/>
              <w:rPr>
                <w:color w:val="auto"/>
                <w:u w:val="single"/>
              </w:rPr>
            </w:pPr>
            <w:r>
              <w:rPr>
                <w:color w:val="auto"/>
                <w:u w:val="single"/>
              </w:rPr>
              <w:t>环境风险</w:t>
            </w:r>
          </w:p>
          <w:p>
            <w:pPr>
              <w:pStyle w:val="37"/>
              <w:rPr>
                <w:color w:val="auto"/>
                <w:u w:val="single"/>
              </w:rPr>
            </w:pPr>
            <w:r>
              <w:rPr>
                <w:color w:val="auto"/>
                <w:u w:val="single"/>
              </w:rPr>
              <w:t>防范措施</w:t>
            </w:r>
          </w:p>
        </w:tc>
        <w:tc>
          <w:tcPr>
            <w:tcW w:w="7022" w:type="dxa"/>
            <w:gridSpan w:val="4"/>
            <w:noWrap w:val="0"/>
            <w:vAlign w:val="center"/>
          </w:tcPr>
          <w:p>
            <w:pPr>
              <w:pStyle w:val="37"/>
              <w:rPr>
                <w:color w:val="auto"/>
                <w:u w:val="single"/>
              </w:rPr>
            </w:pPr>
            <w:r>
              <w:rPr>
                <w:color w:val="auto"/>
                <w:u w:val="single"/>
              </w:rPr>
              <w:t>本项目环境风险为</w:t>
            </w:r>
            <w:r>
              <w:rPr>
                <w:rFonts w:hint="eastAsia"/>
                <w:color w:val="auto"/>
                <w:u w:val="single"/>
                <w:lang w:val="en-US" w:eastAsia="zh-CN"/>
              </w:rPr>
              <w:t>①危险化学品泄漏</w:t>
            </w:r>
            <w:r>
              <w:rPr>
                <w:rFonts w:hint="eastAsia"/>
                <w:color w:val="auto"/>
                <w:u w:val="single"/>
              </w:rPr>
              <w:t>事故</w:t>
            </w:r>
            <w:r>
              <w:rPr>
                <w:rFonts w:hint="eastAsia"/>
                <w:color w:val="auto"/>
                <w:u w:val="single"/>
                <w:lang w:eastAsia="zh-CN"/>
              </w:rPr>
              <w:t>、</w:t>
            </w:r>
            <w:r>
              <w:rPr>
                <w:rFonts w:hint="eastAsia"/>
                <w:color w:val="auto"/>
                <w:u w:val="single"/>
                <w:lang w:val="en-US" w:eastAsia="zh-CN"/>
              </w:rPr>
              <w:t>②火灾造成对环境的次生危害、爆炸</w:t>
            </w:r>
            <w:r>
              <w:rPr>
                <w:rFonts w:hint="eastAsia"/>
                <w:color w:val="auto"/>
                <w:u w:val="single"/>
                <w:lang w:eastAsia="zh-CN"/>
              </w:rPr>
              <w:t>，</w:t>
            </w:r>
            <w:r>
              <w:rPr>
                <w:color w:val="auto"/>
                <w:u w:val="single"/>
              </w:rPr>
              <w:t>I</w:t>
            </w:r>
            <w:r>
              <w:rPr>
                <w:rFonts w:hint="eastAsia"/>
                <w:color w:val="auto"/>
                <w:u w:val="single"/>
                <w:lang w:eastAsia="zh-CN"/>
              </w:rPr>
              <w:t>。</w:t>
            </w:r>
          </w:p>
          <w:p>
            <w:pPr>
              <w:pStyle w:val="37"/>
              <w:rPr>
                <w:color w:val="auto"/>
                <w:u w:val="single"/>
              </w:rPr>
            </w:pPr>
            <w:r>
              <w:rPr>
                <w:color w:val="auto"/>
                <w:u w:val="single"/>
              </w:rPr>
              <w:t>在严格落实本报告提出的各项事故防范和应急措施并加强管理的情况下，可最大限度地减少可能发生的环境风险。一旦发生事故，可将影响范围控制在较小程度内，减小损失。</w:t>
            </w:r>
          </w:p>
          <w:p>
            <w:pPr>
              <w:pStyle w:val="37"/>
              <w:rPr>
                <w:color w:val="auto"/>
                <w:u w:val="single"/>
              </w:rPr>
            </w:pPr>
            <w:r>
              <w:rPr>
                <w:color w:val="auto"/>
                <w:u w:val="single"/>
              </w:rPr>
              <w:t>企业在运营期间应不断完善企业事故防范和应急体系，实现企业联防联动，减少项目环境风险事故发生的概率，其影响危害可控制在厂区内，其风险在可接受范围内。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8" w:type="dxa"/>
            <w:noWrap w:val="0"/>
            <w:vAlign w:val="center"/>
          </w:tcPr>
          <w:p>
            <w:pPr>
              <w:pStyle w:val="37"/>
              <w:rPr>
                <w:color w:val="auto"/>
                <w:u w:val="single"/>
              </w:rPr>
            </w:pPr>
            <w:r>
              <w:rPr>
                <w:color w:val="auto"/>
                <w:u w:val="single"/>
              </w:rPr>
              <w:t>其他环境</w:t>
            </w:r>
          </w:p>
          <w:p>
            <w:pPr>
              <w:pStyle w:val="37"/>
              <w:rPr>
                <w:color w:val="auto"/>
                <w:u w:val="single"/>
              </w:rPr>
            </w:pPr>
            <w:r>
              <w:rPr>
                <w:color w:val="auto"/>
                <w:u w:val="single"/>
              </w:rPr>
              <w:t>管理要求</w:t>
            </w:r>
          </w:p>
        </w:tc>
        <w:tc>
          <w:tcPr>
            <w:tcW w:w="7022" w:type="dxa"/>
            <w:gridSpan w:val="4"/>
            <w:noWrap w:val="0"/>
            <w:vAlign w:val="center"/>
          </w:tcPr>
          <w:p>
            <w:pPr>
              <w:pStyle w:val="37"/>
              <w:rPr>
                <w:rFonts w:hint="eastAsia" w:eastAsia="宋体"/>
                <w:color w:val="auto"/>
                <w:u w:val="single"/>
                <w:lang w:val="en-US" w:eastAsia="zh-CN"/>
              </w:rPr>
            </w:pPr>
            <w:r>
              <w:rPr>
                <w:rFonts w:hint="eastAsia"/>
                <w:color w:val="auto"/>
                <w:u w:val="single"/>
                <w:lang w:val="en-US" w:eastAsia="zh-CN"/>
              </w:rPr>
              <w:t>/</w:t>
            </w:r>
          </w:p>
        </w:tc>
      </w:tr>
    </w:tbl>
    <w:p>
      <w:pPr>
        <w:pStyle w:val="18"/>
        <w:jc w:val="center"/>
        <w:outlineLvl w:val="0"/>
        <w:rPr>
          <w:rFonts w:ascii="黑体" w:hAnsi="黑体" w:eastAsia="黑体"/>
          <w:snapToGrid w:val="0"/>
          <w:sz w:val="30"/>
          <w:szCs w:val="30"/>
        </w:rPr>
      </w:pPr>
      <w:r>
        <w:rPr>
          <w:snapToGrid w:val="0"/>
        </w:rPr>
        <w:br w:type="page"/>
      </w:r>
      <w:r>
        <w:rPr>
          <w:rFonts w:hint="eastAsia" w:ascii="黑体" w:hAnsi="黑体" w:eastAsia="黑体"/>
          <w:snapToGrid w:val="0"/>
          <w:sz w:val="30"/>
          <w:szCs w:val="30"/>
        </w:rPr>
        <w:t>六、结论</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pPr>
              <w:pStyle w:val="57"/>
              <w:ind w:firstLine="480"/>
            </w:pPr>
            <w:r>
              <w:t>本项目的建设符合国家产业政策，选址符合相关法律法规的要求。</w:t>
            </w:r>
          </w:p>
          <w:p>
            <w:pPr>
              <w:pStyle w:val="57"/>
              <w:ind w:firstLine="480"/>
            </w:pPr>
            <w:r>
              <w:t>因此，建设单位在采取本评价所述措施对项目产生的污染物进行污染控制和治理，确保污染物达标排放，对周围环境影响满足</w:t>
            </w:r>
            <w:r>
              <w:rPr>
                <w:rFonts w:hint="eastAsia"/>
                <w:lang w:eastAsia="zh-CN"/>
              </w:rPr>
              <w:t>：</w:t>
            </w:r>
            <w:r>
              <w:rPr>
                <w:rFonts w:hint="eastAsia"/>
                <w:lang w:val="en-US" w:eastAsia="zh-CN"/>
              </w:rPr>
              <w:t>本项目运营期执行严格有效的污染防治措施可以将生产中产生的污染物排放控制在较低的水平，从而保持区域环境质量，对人群的生产、生活影响不大。</w:t>
            </w:r>
            <w:r>
              <w:t>从环保的角度来说，项目建设是可行的。</w:t>
            </w:r>
          </w:p>
          <w:p>
            <w:pPr>
              <w:spacing w:line="360" w:lineRule="auto"/>
              <w:rPr>
                <w:rFonts w:ascii="宋体" w:cs="宋体"/>
                <w:sz w:val="24"/>
              </w:rPr>
            </w:pPr>
          </w:p>
        </w:tc>
      </w:tr>
    </w:tbl>
    <w:p>
      <w:pPr>
        <w:rPr>
          <w:rFonts w:ascii="宋体"/>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8"/>
        <w:adjustRightInd w:val="0"/>
        <w:snapToGrid w:val="0"/>
        <w:spacing w:before="0" w:beforeAutospacing="0" w:after="0" w:afterAutospacing="0" w:line="648" w:lineRule="auto"/>
        <w:outlineLvl w:val="0"/>
        <w:rPr>
          <w:rFonts w:ascii="黑体" w:hAnsi="黑体" w:eastAsia="黑体"/>
          <w:snapToGrid w:val="0"/>
          <w:sz w:val="32"/>
          <w:szCs w:val="32"/>
        </w:rPr>
      </w:pPr>
      <w:r>
        <w:rPr>
          <w:rFonts w:hint="eastAsia" w:ascii="黑体" w:hAnsi="黑体" w:eastAsia="黑体"/>
          <w:snapToGrid w:val="0"/>
          <w:sz w:val="32"/>
          <w:szCs w:val="32"/>
        </w:rPr>
        <w:t>附表</w:t>
      </w:r>
    </w:p>
    <w:p>
      <w:pPr>
        <w:pStyle w:val="5"/>
        <w:bidi w:val="0"/>
        <w:jc w:val="center"/>
        <w:rPr>
          <w:rFonts w:hint="eastAsia"/>
        </w:rPr>
      </w:pPr>
      <w:r>
        <w:rPr>
          <w:rFonts w:hint="eastAsia"/>
        </w:rPr>
        <w:t>建设项目污染物排放量汇总表</w:t>
      </w:r>
    </w:p>
    <w:tbl>
      <w:tblPr>
        <w:tblStyle w:val="22"/>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526"/>
        <w:gridCol w:w="1678"/>
        <w:gridCol w:w="13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pPr>
              <w:pStyle w:val="53"/>
              <w:spacing w:beforeLines="0" w:afterLines="0" w:line="240" w:lineRule="auto"/>
              <w:ind w:firstLine="0" w:firstLineChars="0"/>
              <w:jc w:val="right"/>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项目</w:t>
            </w:r>
          </w:p>
          <w:p>
            <w:pPr>
              <w:pStyle w:val="53"/>
              <w:spacing w:beforeLines="0" w:afterLines="0" w:line="240" w:lineRule="auto"/>
              <w:ind w:firstLine="0" w:firstLineChars="0"/>
              <w:jc w:val="left"/>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分类</w:t>
            </w:r>
          </w:p>
        </w:tc>
        <w:tc>
          <w:tcPr>
            <w:tcW w:w="1417" w:type="dxa"/>
            <w:noWrap w:val="0"/>
            <w:tcMar>
              <w:left w:w="28" w:type="dxa"/>
              <w:right w:w="28" w:type="dxa"/>
            </w:tcMar>
            <w:vAlign w:val="center"/>
          </w:tcPr>
          <w:p>
            <w:pPr>
              <w:pStyle w:val="53"/>
              <w:spacing w:beforeLines="0" w:afterLines="0" w:line="240" w:lineRule="auto"/>
              <w:ind w:firstLine="0" w:firstLineChars="0"/>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污染物名称</w:t>
            </w:r>
          </w:p>
        </w:tc>
        <w:tc>
          <w:tcPr>
            <w:tcW w:w="1701" w:type="dxa"/>
            <w:noWrap w:val="0"/>
            <w:tcMar>
              <w:left w:w="28" w:type="dxa"/>
              <w:right w:w="28" w:type="dxa"/>
            </w:tcMar>
            <w:vAlign w:val="center"/>
          </w:tcPr>
          <w:p>
            <w:pPr>
              <w:pStyle w:val="53"/>
              <w:spacing w:beforeLines="0" w:afterLines="0" w:line="240" w:lineRule="auto"/>
              <w:ind w:firstLine="0" w:firstLineChars="0"/>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现有工程</w:t>
            </w:r>
          </w:p>
          <w:p>
            <w:pPr>
              <w:pStyle w:val="53"/>
              <w:spacing w:beforeLines="0" w:afterLines="0" w:line="240" w:lineRule="auto"/>
              <w:ind w:firstLine="0" w:firstLineChars="0"/>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排放量（固体废物产生量）</w:t>
            </w: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1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color w:val="000000"/>
                <w:kern w:val="2"/>
                <w:szCs w:val="21"/>
              </w:rPr>
              <w:t>①</w:t>
            </w:r>
            <w:r>
              <w:rPr>
                <w:rFonts w:hint="default" w:ascii="Times New Roman" w:hAnsi="Times New Roman" w:eastAsia="黑体" w:cs="Times New Roman"/>
                <w:snapToGrid w:val="0"/>
                <w:color w:val="000000"/>
                <w:spacing w:val="-6"/>
                <w:kern w:val="21"/>
                <w:szCs w:val="21"/>
              </w:rPr>
              <w:fldChar w:fldCharType="end"/>
            </w:r>
          </w:p>
        </w:tc>
        <w:tc>
          <w:tcPr>
            <w:tcW w:w="1276" w:type="dxa"/>
            <w:noWrap w:val="0"/>
            <w:tcMar>
              <w:left w:w="28" w:type="dxa"/>
              <w:right w:w="28" w:type="dxa"/>
            </w:tcMar>
            <w:vAlign w:val="center"/>
          </w:tcPr>
          <w:p>
            <w:pPr>
              <w:pStyle w:val="53"/>
              <w:spacing w:beforeLines="0" w:afterLines="0" w:line="240" w:lineRule="auto"/>
              <w:ind w:firstLine="0" w:firstLineChars="0"/>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现有工程</w:t>
            </w:r>
          </w:p>
          <w:p>
            <w:pPr>
              <w:pStyle w:val="53"/>
              <w:spacing w:beforeLines="0" w:afterLines="0" w:line="240" w:lineRule="auto"/>
              <w:ind w:firstLine="0" w:firstLineChars="0"/>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许可排放量</w:t>
            </w:r>
          </w:p>
          <w:p>
            <w:pPr>
              <w:pStyle w:val="53"/>
              <w:spacing w:beforeLines="0" w:afterLines="0"/>
              <w:ind w:firstLine="0" w:firstLineChars="0"/>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2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snapToGrid w:val="0"/>
                <w:color w:val="000000"/>
                <w:spacing w:val="-6"/>
                <w:kern w:val="21"/>
                <w:szCs w:val="21"/>
              </w:rPr>
              <w:t>②</w:t>
            </w:r>
            <w:r>
              <w:rPr>
                <w:rFonts w:hint="default" w:ascii="Times New Roman" w:hAnsi="Times New Roman" w:eastAsia="黑体" w:cs="Times New Roman"/>
                <w:snapToGrid w:val="0"/>
                <w:color w:val="000000"/>
                <w:spacing w:val="-6"/>
                <w:kern w:val="21"/>
                <w:szCs w:val="21"/>
              </w:rPr>
              <w:fldChar w:fldCharType="end"/>
            </w:r>
          </w:p>
        </w:tc>
        <w:tc>
          <w:tcPr>
            <w:tcW w:w="1701" w:type="dxa"/>
            <w:noWrap w:val="0"/>
            <w:tcMar>
              <w:left w:w="28" w:type="dxa"/>
              <w:right w:w="28" w:type="dxa"/>
            </w:tcMar>
            <w:vAlign w:val="center"/>
          </w:tcPr>
          <w:p>
            <w:pPr>
              <w:pStyle w:val="53"/>
              <w:spacing w:beforeLines="0" w:afterLines="0" w:line="240" w:lineRule="auto"/>
              <w:ind w:firstLine="0" w:firstLineChars="0"/>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在建工程</w:t>
            </w:r>
          </w:p>
          <w:p>
            <w:pPr>
              <w:pStyle w:val="53"/>
              <w:spacing w:beforeLines="0" w:afterLines="0" w:line="240" w:lineRule="auto"/>
              <w:ind w:firstLine="0" w:firstLineChars="0"/>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排放量（固体废物产生量）</w:t>
            </w: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3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color w:val="000000"/>
                <w:kern w:val="2"/>
                <w:szCs w:val="21"/>
              </w:rPr>
              <w:t>③</w:t>
            </w:r>
            <w:r>
              <w:rPr>
                <w:rFonts w:hint="default" w:ascii="Times New Roman" w:hAnsi="Times New Roman" w:eastAsia="黑体" w:cs="Times New Roman"/>
                <w:snapToGrid w:val="0"/>
                <w:color w:val="000000"/>
                <w:spacing w:val="-6"/>
                <w:kern w:val="21"/>
                <w:szCs w:val="21"/>
              </w:rPr>
              <w:fldChar w:fldCharType="end"/>
            </w:r>
          </w:p>
        </w:tc>
        <w:tc>
          <w:tcPr>
            <w:tcW w:w="1559" w:type="dxa"/>
            <w:noWrap w:val="0"/>
            <w:tcMar>
              <w:left w:w="28" w:type="dxa"/>
              <w:right w:w="28" w:type="dxa"/>
            </w:tcMar>
            <w:vAlign w:val="center"/>
          </w:tcPr>
          <w:p>
            <w:pPr>
              <w:pStyle w:val="53"/>
              <w:spacing w:beforeLines="0" w:afterLines="0" w:line="240" w:lineRule="auto"/>
              <w:ind w:firstLine="0" w:firstLineChars="0"/>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本项目</w:t>
            </w:r>
          </w:p>
          <w:p>
            <w:pPr>
              <w:pStyle w:val="53"/>
              <w:spacing w:beforeLines="0" w:afterLines="0" w:line="240" w:lineRule="auto"/>
              <w:ind w:firstLine="0" w:firstLineChars="0"/>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排放量（固体废物产生量）</w:t>
            </w: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4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color w:val="000000"/>
                <w:kern w:val="2"/>
                <w:szCs w:val="21"/>
              </w:rPr>
              <w:t>④</w:t>
            </w:r>
            <w:r>
              <w:rPr>
                <w:rFonts w:hint="default" w:ascii="Times New Roman" w:hAnsi="Times New Roman" w:eastAsia="黑体" w:cs="Times New Roman"/>
                <w:snapToGrid w:val="0"/>
                <w:color w:val="000000"/>
                <w:spacing w:val="-6"/>
                <w:kern w:val="21"/>
                <w:szCs w:val="21"/>
              </w:rPr>
              <w:fldChar w:fldCharType="end"/>
            </w:r>
          </w:p>
        </w:tc>
        <w:tc>
          <w:tcPr>
            <w:tcW w:w="1526" w:type="dxa"/>
            <w:noWrap w:val="0"/>
            <w:tcMar>
              <w:left w:w="28" w:type="dxa"/>
              <w:right w:w="28" w:type="dxa"/>
            </w:tcMar>
            <w:vAlign w:val="center"/>
          </w:tcPr>
          <w:p>
            <w:pPr>
              <w:pStyle w:val="53"/>
              <w:spacing w:beforeLines="0" w:afterLines="0" w:line="240" w:lineRule="auto"/>
              <w:ind w:firstLine="0" w:firstLineChars="0"/>
              <w:rPr>
                <w:rFonts w:hint="default" w:ascii="Times New Roman" w:hAnsi="Times New Roman" w:eastAsia="黑体" w:cs="Times New Roman"/>
                <w:snapToGrid w:val="0"/>
                <w:color w:val="000000"/>
                <w:spacing w:val="-16"/>
                <w:kern w:val="21"/>
                <w:szCs w:val="21"/>
              </w:rPr>
            </w:pPr>
            <w:r>
              <w:rPr>
                <w:rFonts w:hint="default" w:ascii="Times New Roman" w:hAnsi="Times New Roman" w:eastAsia="黑体" w:cs="Times New Roman"/>
                <w:snapToGrid w:val="0"/>
                <w:color w:val="000000"/>
                <w:spacing w:val="-16"/>
                <w:kern w:val="21"/>
                <w:szCs w:val="21"/>
              </w:rPr>
              <w:t>以新带老削减量</w:t>
            </w:r>
          </w:p>
          <w:p>
            <w:pPr>
              <w:pStyle w:val="53"/>
              <w:spacing w:beforeLines="0" w:afterLines="0" w:line="240" w:lineRule="auto"/>
              <w:ind w:firstLine="0" w:firstLineChars="0"/>
              <w:rPr>
                <w:rFonts w:hint="default" w:ascii="Times New Roman" w:hAnsi="Times New Roman" w:eastAsia="黑体" w:cs="Times New Roman"/>
                <w:snapToGrid w:val="0"/>
                <w:color w:val="000000"/>
                <w:spacing w:val="-16"/>
                <w:kern w:val="21"/>
                <w:szCs w:val="21"/>
              </w:rPr>
            </w:pPr>
            <w:r>
              <w:rPr>
                <w:rFonts w:hint="default" w:ascii="Times New Roman" w:hAnsi="Times New Roman" w:eastAsia="黑体" w:cs="Times New Roman"/>
                <w:snapToGrid w:val="0"/>
                <w:color w:val="000000"/>
                <w:spacing w:val="-16"/>
                <w:kern w:val="21"/>
                <w:szCs w:val="21"/>
              </w:rPr>
              <w:t>（新建项目不填）</w:t>
            </w:r>
            <w:r>
              <w:rPr>
                <w:rFonts w:hint="default" w:ascii="Times New Roman" w:hAnsi="Times New Roman" w:eastAsia="黑体" w:cs="Times New Roman"/>
                <w:snapToGrid w:val="0"/>
                <w:color w:val="000000"/>
                <w:spacing w:val="-16"/>
                <w:kern w:val="21"/>
                <w:szCs w:val="21"/>
              </w:rPr>
              <w:fldChar w:fldCharType="begin"/>
            </w:r>
            <w:r>
              <w:rPr>
                <w:rFonts w:hint="default" w:ascii="Times New Roman" w:hAnsi="Times New Roman" w:eastAsia="黑体" w:cs="Times New Roman"/>
                <w:snapToGrid w:val="0"/>
                <w:color w:val="000000"/>
                <w:spacing w:val="-16"/>
                <w:kern w:val="21"/>
                <w:szCs w:val="21"/>
              </w:rPr>
              <w:instrText xml:space="preserve"> = 5 \* GB3 \* MERGEFORMAT </w:instrText>
            </w:r>
            <w:r>
              <w:rPr>
                <w:rFonts w:hint="default" w:ascii="Times New Roman" w:hAnsi="Times New Roman" w:eastAsia="黑体" w:cs="Times New Roman"/>
                <w:snapToGrid w:val="0"/>
                <w:color w:val="000000"/>
                <w:spacing w:val="-16"/>
                <w:kern w:val="21"/>
                <w:szCs w:val="21"/>
              </w:rPr>
              <w:fldChar w:fldCharType="separate"/>
            </w:r>
            <w:r>
              <w:rPr>
                <w:rFonts w:hint="default" w:ascii="Times New Roman" w:hAnsi="Times New Roman" w:eastAsia="黑体" w:cs="Times New Roman"/>
                <w:color w:val="000000"/>
                <w:kern w:val="2"/>
                <w:szCs w:val="21"/>
              </w:rPr>
              <w:t>⑤</w:t>
            </w:r>
            <w:r>
              <w:rPr>
                <w:rFonts w:hint="default" w:ascii="Times New Roman" w:hAnsi="Times New Roman" w:eastAsia="黑体" w:cs="Times New Roman"/>
                <w:snapToGrid w:val="0"/>
                <w:color w:val="000000"/>
                <w:spacing w:val="-16"/>
                <w:kern w:val="21"/>
                <w:szCs w:val="21"/>
              </w:rPr>
              <w:fldChar w:fldCharType="end"/>
            </w:r>
          </w:p>
        </w:tc>
        <w:tc>
          <w:tcPr>
            <w:tcW w:w="1678" w:type="dxa"/>
            <w:noWrap w:val="0"/>
            <w:tcMar>
              <w:left w:w="28" w:type="dxa"/>
              <w:right w:w="28" w:type="dxa"/>
            </w:tcMar>
            <w:vAlign w:val="center"/>
          </w:tcPr>
          <w:p>
            <w:pPr>
              <w:pStyle w:val="53"/>
              <w:spacing w:beforeLines="0" w:afterLines="0" w:line="240" w:lineRule="auto"/>
              <w:ind w:firstLine="0" w:firstLineChars="0"/>
              <w:rPr>
                <w:rFonts w:hint="default" w:ascii="Times New Roman" w:hAnsi="Times New Roman" w:eastAsia="黑体" w:cs="Times New Roman"/>
                <w:snapToGrid w:val="0"/>
                <w:color w:val="000000"/>
                <w:spacing w:val="-16"/>
                <w:kern w:val="21"/>
                <w:szCs w:val="21"/>
              </w:rPr>
            </w:pPr>
            <w:r>
              <w:rPr>
                <w:rFonts w:hint="default" w:ascii="Times New Roman" w:hAnsi="Times New Roman" w:eastAsia="黑体" w:cs="Times New Roman"/>
                <w:snapToGrid w:val="0"/>
                <w:color w:val="000000"/>
                <w:spacing w:val="-16"/>
                <w:kern w:val="21"/>
                <w:szCs w:val="21"/>
              </w:rPr>
              <w:t>本项目建成后</w:t>
            </w:r>
          </w:p>
          <w:p>
            <w:pPr>
              <w:pStyle w:val="53"/>
              <w:spacing w:beforeLines="0" w:afterLines="0" w:line="240" w:lineRule="auto"/>
              <w:ind w:firstLine="0" w:firstLineChars="0"/>
              <w:rPr>
                <w:rFonts w:hint="default" w:ascii="Times New Roman" w:hAnsi="Times New Roman" w:eastAsia="黑体" w:cs="Times New Roman"/>
                <w:snapToGrid w:val="0"/>
                <w:color w:val="000000"/>
                <w:spacing w:val="-16"/>
                <w:kern w:val="21"/>
                <w:szCs w:val="21"/>
              </w:rPr>
            </w:pPr>
            <w:r>
              <w:rPr>
                <w:rFonts w:hint="default" w:ascii="Times New Roman" w:hAnsi="Times New Roman" w:eastAsia="黑体" w:cs="Times New Roman"/>
                <w:snapToGrid w:val="0"/>
                <w:color w:val="000000"/>
                <w:spacing w:val="-16"/>
                <w:kern w:val="21"/>
                <w:szCs w:val="21"/>
              </w:rPr>
              <w:t>全厂排放量（固体废物产生量）</w:t>
            </w:r>
            <w:r>
              <w:rPr>
                <w:rFonts w:hint="default" w:ascii="Times New Roman" w:hAnsi="Times New Roman" w:eastAsia="黑体" w:cs="Times New Roman"/>
                <w:snapToGrid w:val="0"/>
                <w:color w:val="000000"/>
                <w:spacing w:val="-16"/>
                <w:kern w:val="21"/>
                <w:szCs w:val="21"/>
              </w:rPr>
              <w:fldChar w:fldCharType="begin"/>
            </w:r>
            <w:r>
              <w:rPr>
                <w:rFonts w:hint="default" w:ascii="Times New Roman" w:hAnsi="Times New Roman" w:eastAsia="黑体" w:cs="Times New Roman"/>
                <w:snapToGrid w:val="0"/>
                <w:color w:val="000000"/>
                <w:spacing w:val="-16"/>
                <w:kern w:val="21"/>
                <w:szCs w:val="21"/>
              </w:rPr>
              <w:instrText xml:space="preserve"> = 6 \* GB3 \* MERGEFORMAT </w:instrText>
            </w:r>
            <w:r>
              <w:rPr>
                <w:rFonts w:hint="default" w:ascii="Times New Roman" w:hAnsi="Times New Roman" w:eastAsia="黑体" w:cs="Times New Roman"/>
                <w:snapToGrid w:val="0"/>
                <w:color w:val="000000"/>
                <w:spacing w:val="-16"/>
                <w:kern w:val="21"/>
                <w:szCs w:val="21"/>
              </w:rPr>
              <w:fldChar w:fldCharType="separate"/>
            </w:r>
            <w:r>
              <w:rPr>
                <w:rFonts w:hint="default" w:ascii="Times New Roman" w:hAnsi="Times New Roman" w:eastAsia="黑体" w:cs="Times New Roman"/>
                <w:color w:val="000000"/>
                <w:kern w:val="2"/>
                <w:szCs w:val="21"/>
              </w:rPr>
              <w:t>⑥</w:t>
            </w:r>
            <w:r>
              <w:rPr>
                <w:rFonts w:hint="default" w:ascii="Times New Roman" w:hAnsi="Times New Roman" w:eastAsia="黑体" w:cs="Times New Roman"/>
                <w:snapToGrid w:val="0"/>
                <w:color w:val="000000"/>
                <w:spacing w:val="-16"/>
                <w:kern w:val="21"/>
                <w:szCs w:val="21"/>
              </w:rPr>
              <w:fldChar w:fldCharType="end"/>
            </w:r>
          </w:p>
        </w:tc>
        <w:tc>
          <w:tcPr>
            <w:tcW w:w="1342" w:type="dxa"/>
            <w:noWrap w:val="0"/>
            <w:tcMar>
              <w:left w:w="28" w:type="dxa"/>
              <w:right w:w="28" w:type="dxa"/>
            </w:tcMar>
            <w:vAlign w:val="center"/>
          </w:tcPr>
          <w:p>
            <w:pPr>
              <w:pStyle w:val="53"/>
              <w:spacing w:beforeLines="0" w:afterLines="0" w:line="240" w:lineRule="auto"/>
              <w:ind w:firstLine="0" w:firstLineChars="0"/>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变化量</w:t>
            </w:r>
          </w:p>
          <w:p>
            <w:pPr>
              <w:pStyle w:val="53"/>
              <w:spacing w:beforeLines="0" w:afterLines="0" w:line="240" w:lineRule="auto"/>
              <w:ind w:firstLine="0" w:firstLineChars="0"/>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7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color w:val="000000"/>
                <w:kern w:val="2"/>
                <w:szCs w:val="21"/>
              </w:rPr>
              <w:t>⑦</w:t>
            </w:r>
            <w:r>
              <w:rPr>
                <w:rFonts w:hint="default" w:ascii="Times New Roman" w:hAnsi="Times New Roman" w:eastAsia="黑体" w:cs="Times New Roman"/>
                <w:snapToGrid w:val="0"/>
                <w:color w:val="00000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rPr>
              <w:t>废气</w:t>
            </w:r>
          </w:p>
        </w:tc>
        <w:tc>
          <w:tcPr>
            <w:tcW w:w="1417" w:type="dxa"/>
            <w:noWrap w:val="0"/>
            <w:vAlign w:val="center"/>
          </w:tcPr>
          <w:p>
            <w:pPr>
              <w:pStyle w:val="53"/>
              <w:spacing w:beforeLines="0" w:afterLines="0" w:line="240" w:lineRule="auto"/>
              <w:ind w:firstLine="0" w:firstLineChars="0"/>
              <w:rPr>
                <w:rFonts w:hint="default" w:ascii="Times New Roman" w:hAnsi="Times New Roman" w:eastAsia="宋体" w:cs="Times New Roman"/>
                <w:snapToGrid w:val="0"/>
                <w:color w:val="000000"/>
                <w:kern w:val="21"/>
                <w:sz w:val="24"/>
                <w:szCs w:val="24"/>
                <w:lang w:val="en-US" w:eastAsia="zh-CN"/>
              </w:rPr>
            </w:pPr>
            <w:r>
              <w:rPr>
                <w:rFonts w:hint="default" w:ascii="Times New Roman" w:hAnsi="Times New Roman" w:cs="Times New Roman"/>
                <w:snapToGrid w:val="0"/>
                <w:color w:val="000000"/>
                <w:kern w:val="21"/>
                <w:sz w:val="24"/>
                <w:szCs w:val="24"/>
                <w:lang w:val="en-US" w:eastAsia="zh-CN"/>
              </w:rPr>
              <w:t>HCl、NH</w:t>
            </w:r>
            <w:r>
              <w:rPr>
                <w:rFonts w:hint="default" w:ascii="Times New Roman" w:hAnsi="Times New Roman" w:cs="Times New Roman"/>
                <w:snapToGrid w:val="0"/>
                <w:color w:val="000000"/>
                <w:kern w:val="21"/>
                <w:sz w:val="24"/>
                <w:szCs w:val="24"/>
                <w:vertAlign w:val="subscript"/>
                <w:lang w:val="en-US" w:eastAsia="zh-CN"/>
              </w:rPr>
              <w:t>3</w:t>
            </w:r>
            <w:r>
              <w:rPr>
                <w:rFonts w:hint="default" w:ascii="Times New Roman" w:hAnsi="Times New Roman" w:cs="Times New Roman"/>
                <w:snapToGrid w:val="0"/>
                <w:color w:val="000000"/>
                <w:kern w:val="21"/>
                <w:sz w:val="24"/>
                <w:szCs w:val="24"/>
                <w:lang w:val="en-US" w:eastAsia="zh-CN"/>
              </w:rPr>
              <w:t>、臭气浓度</w:t>
            </w:r>
          </w:p>
        </w:tc>
        <w:tc>
          <w:tcPr>
            <w:tcW w:w="1701" w:type="dxa"/>
            <w:noWrap w:val="0"/>
            <w:vAlign w:val="center"/>
          </w:tcPr>
          <w:p>
            <w:pPr>
              <w:pStyle w:val="53"/>
              <w:spacing w:beforeLines="0" w:afterLines="0" w:line="240" w:lineRule="auto"/>
              <w:ind w:firstLine="0" w:firstLineChars="0"/>
              <w:rPr>
                <w:rFonts w:hint="default" w:ascii="Times New Roman" w:hAnsi="Times New Roman" w:eastAsia="宋体" w:cs="Times New Roman"/>
                <w:snapToGrid w:val="0"/>
                <w:color w:val="000000"/>
                <w:kern w:val="21"/>
                <w:sz w:val="24"/>
                <w:szCs w:val="24"/>
                <w:lang w:val="en-US" w:eastAsia="zh-CN"/>
              </w:rPr>
            </w:pPr>
            <w:r>
              <w:rPr>
                <w:rFonts w:hint="eastAsia" w:ascii="Times New Roman" w:hAnsi="Times New Roman" w:cs="Times New Roman"/>
                <w:snapToGrid w:val="0"/>
                <w:color w:val="000000"/>
                <w:kern w:val="21"/>
                <w:sz w:val="24"/>
                <w:szCs w:val="24"/>
                <w:lang w:val="en-US" w:eastAsia="zh-CN"/>
              </w:rPr>
              <w:t>少量</w:t>
            </w:r>
          </w:p>
        </w:tc>
        <w:tc>
          <w:tcPr>
            <w:tcW w:w="1276" w:type="dxa"/>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rPr>
            </w:pPr>
          </w:p>
        </w:tc>
        <w:tc>
          <w:tcPr>
            <w:tcW w:w="1701" w:type="dxa"/>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rPr>
            </w:pPr>
          </w:p>
        </w:tc>
        <w:tc>
          <w:tcPr>
            <w:tcW w:w="1559" w:type="dxa"/>
            <w:noWrap w:val="0"/>
            <w:vAlign w:val="center"/>
          </w:tcPr>
          <w:p>
            <w:pPr>
              <w:pStyle w:val="53"/>
              <w:spacing w:beforeLines="0" w:afterLines="0" w:line="240" w:lineRule="auto"/>
              <w:ind w:firstLine="0" w:firstLineChars="0"/>
              <w:rPr>
                <w:rFonts w:hint="default" w:ascii="Times New Roman" w:hAnsi="Times New Roman" w:eastAsia="宋体" w:cs="Times New Roman"/>
                <w:snapToGrid w:val="0"/>
                <w:color w:val="auto"/>
                <w:kern w:val="21"/>
                <w:sz w:val="24"/>
                <w:szCs w:val="24"/>
                <w:u w:val="none"/>
                <w:lang w:val="en-US" w:eastAsia="zh-CN"/>
              </w:rPr>
            </w:pPr>
            <w:r>
              <w:rPr>
                <w:rFonts w:hint="eastAsia" w:ascii="Times New Roman" w:hAnsi="Times New Roman" w:cs="Times New Roman"/>
                <w:snapToGrid w:val="0"/>
                <w:color w:val="000000"/>
                <w:kern w:val="21"/>
                <w:sz w:val="24"/>
                <w:szCs w:val="24"/>
                <w:lang w:val="en-US" w:eastAsia="zh-CN"/>
              </w:rPr>
              <w:t>少量</w:t>
            </w:r>
          </w:p>
        </w:tc>
        <w:tc>
          <w:tcPr>
            <w:tcW w:w="1526" w:type="dxa"/>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rPr>
            </w:pPr>
            <w:r>
              <w:rPr>
                <w:rFonts w:hint="eastAsia" w:ascii="Times New Roman" w:hAnsi="Times New Roman" w:cs="Times New Roman"/>
                <w:snapToGrid w:val="0"/>
                <w:color w:val="000000"/>
                <w:kern w:val="21"/>
                <w:sz w:val="24"/>
                <w:szCs w:val="24"/>
                <w:lang w:val="en-US" w:eastAsia="zh-CN"/>
              </w:rPr>
              <w:t>少量</w:t>
            </w:r>
          </w:p>
        </w:tc>
        <w:tc>
          <w:tcPr>
            <w:tcW w:w="1678" w:type="dxa"/>
            <w:noWrap w:val="0"/>
            <w:vAlign w:val="center"/>
          </w:tcPr>
          <w:p>
            <w:pPr>
              <w:pStyle w:val="53"/>
              <w:spacing w:beforeLines="0" w:afterLines="0" w:line="240" w:lineRule="auto"/>
              <w:ind w:firstLine="0" w:firstLineChars="0"/>
              <w:rPr>
                <w:rFonts w:hint="default" w:ascii="Times New Roman" w:hAnsi="Times New Roman" w:eastAsia="宋体" w:cs="Times New Roman"/>
                <w:snapToGrid w:val="0"/>
                <w:color w:val="000000"/>
                <w:kern w:val="21"/>
                <w:sz w:val="24"/>
                <w:szCs w:val="24"/>
                <w:lang w:val="en-US" w:eastAsia="zh-CN" w:bidi="ar-SA"/>
              </w:rPr>
            </w:pPr>
            <w:r>
              <w:rPr>
                <w:rFonts w:hint="eastAsia" w:ascii="Times New Roman" w:hAnsi="Times New Roman" w:cs="Times New Roman"/>
                <w:snapToGrid w:val="0"/>
                <w:color w:val="000000"/>
                <w:kern w:val="21"/>
                <w:sz w:val="24"/>
                <w:szCs w:val="24"/>
                <w:lang w:val="en-US" w:eastAsia="zh-CN"/>
              </w:rPr>
              <w:t>少量</w:t>
            </w:r>
          </w:p>
        </w:tc>
        <w:tc>
          <w:tcPr>
            <w:tcW w:w="1342" w:type="dxa"/>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rPr>
              <w:t>少量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rPr>
              <w:t>废水</w:t>
            </w:r>
          </w:p>
        </w:tc>
        <w:tc>
          <w:tcPr>
            <w:tcW w:w="1417" w:type="dxa"/>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lang w:val="en-US" w:eastAsia="zh-CN"/>
              </w:rPr>
            </w:pPr>
            <w:r>
              <w:rPr>
                <w:rFonts w:hint="eastAsia" w:ascii="Times New Roman" w:cs="Times New Roman"/>
                <w:snapToGrid w:val="0"/>
                <w:color w:val="000000"/>
                <w:kern w:val="21"/>
                <w:sz w:val="24"/>
                <w:szCs w:val="24"/>
                <w:lang w:val="en-US" w:eastAsia="zh-CN"/>
              </w:rPr>
              <w:t>废水量</w:t>
            </w:r>
          </w:p>
        </w:tc>
        <w:tc>
          <w:tcPr>
            <w:tcW w:w="1701" w:type="dxa"/>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lang w:val="en-US" w:eastAsia="zh-CN"/>
              </w:rPr>
            </w:pPr>
            <w:r>
              <w:rPr>
                <w:rFonts w:hint="default" w:ascii="Times New Roman" w:hAnsi="Times New Roman" w:cs="Times New Roman"/>
                <w:snapToGrid w:val="0"/>
                <w:color w:val="000000"/>
                <w:kern w:val="21"/>
                <w:sz w:val="24"/>
                <w:szCs w:val="24"/>
                <w:lang w:val="en-US" w:eastAsia="zh-CN"/>
              </w:rPr>
              <w:t>62667t/a</w:t>
            </w:r>
          </w:p>
        </w:tc>
        <w:tc>
          <w:tcPr>
            <w:tcW w:w="1276" w:type="dxa"/>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rPr>
            </w:pPr>
          </w:p>
        </w:tc>
        <w:tc>
          <w:tcPr>
            <w:tcW w:w="1701" w:type="dxa"/>
            <w:noWrap w:val="0"/>
            <w:vAlign w:val="center"/>
          </w:tcPr>
          <w:p>
            <w:pPr>
              <w:pStyle w:val="37"/>
              <w:spacing w:beforeLines="0" w:afterLines="0"/>
              <w:jc w:val="center"/>
              <w:rPr>
                <w:rFonts w:hint="default" w:ascii="Times New Roman" w:hAnsi="Times New Roman" w:eastAsia="宋体" w:cs="Times New Roman"/>
                <w:snapToGrid w:val="0"/>
                <w:color w:val="000000"/>
                <w:kern w:val="21"/>
                <w:sz w:val="24"/>
                <w:szCs w:val="24"/>
                <w:lang w:val="en-US" w:eastAsia="zh-CN"/>
              </w:rPr>
            </w:pPr>
          </w:p>
        </w:tc>
        <w:tc>
          <w:tcPr>
            <w:tcW w:w="1559" w:type="dxa"/>
            <w:noWrap w:val="0"/>
            <w:vAlign w:val="center"/>
          </w:tcPr>
          <w:p>
            <w:pPr>
              <w:pStyle w:val="37"/>
              <w:spacing w:beforeLines="0" w:afterLines="0"/>
              <w:jc w:val="center"/>
              <w:rPr>
                <w:rFonts w:hint="eastAsia" w:cs="Times New Roman"/>
                <w:lang w:val="en-US" w:eastAsia="zh-CN"/>
              </w:rPr>
            </w:pPr>
            <w:r>
              <w:rPr>
                <w:rFonts w:hint="default" w:ascii="Times New Roman" w:hAnsi="Times New Roman" w:cs="Times New Roman"/>
                <w:snapToGrid w:val="0"/>
                <w:color w:val="000000"/>
                <w:kern w:val="21"/>
                <w:sz w:val="24"/>
                <w:szCs w:val="24"/>
                <w:lang w:val="en-US" w:eastAsia="zh-CN"/>
              </w:rPr>
              <w:t>170655t/a</w:t>
            </w:r>
          </w:p>
        </w:tc>
        <w:tc>
          <w:tcPr>
            <w:tcW w:w="1526" w:type="dxa"/>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62667t/a</w:t>
            </w:r>
          </w:p>
        </w:tc>
        <w:tc>
          <w:tcPr>
            <w:tcW w:w="1678" w:type="dxa"/>
            <w:noWrap w:val="0"/>
            <w:vAlign w:val="center"/>
          </w:tcPr>
          <w:p>
            <w:pPr>
              <w:pStyle w:val="37"/>
              <w:spacing w:beforeLines="0" w:afterLines="0"/>
              <w:jc w:val="center"/>
              <w:rPr>
                <w:rFonts w:hint="default" w:ascii="Times New Roman" w:hAnsi="Times New Roman" w:cs="Times New Roman"/>
                <w:snapToGrid w:val="0"/>
                <w:color w:val="000000"/>
                <w:kern w:val="21"/>
                <w:sz w:val="24"/>
                <w:szCs w:val="24"/>
                <w:lang w:val="en-US" w:eastAsia="zh-CN"/>
              </w:rPr>
            </w:pPr>
            <w:r>
              <w:rPr>
                <w:rFonts w:hint="default" w:ascii="Times New Roman" w:hAnsi="Times New Roman" w:cs="Times New Roman"/>
                <w:snapToGrid w:val="0"/>
                <w:color w:val="000000"/>
                <w:kern w:val="21"/>
                <w:sz w:val="24"/>
                <w:szCs w:val="24"/>
                <w:lang w:val="en-US" w:eastAsia="zh-CN"/>
              </w:rPr>
              <w:t>170655t/a</w:t>
            </w:r>
          </w:p>
        </w:tc>
        <w:tc>
          <w:tcPr>
            <w:tcW w:w="1342" w:type="dxa"/>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lang w:val="en-US" w:eastAsia="zh-CN"/>
              </w:rPr>
            </w:pPr>
            <w:r>
              <w:rPr>
                <w:rFonts w:hint="default" w:ascii="Times New Roman" w:hAnsi="Times New Roman" w:cs="Times New Roman"/>
                <w:snapToGrid w:val="0"/>
                <w:color w:val="000000"/>
                <w:kern w:val="21"/>
                <w:sz w:val="24"/>
                <w:szCs w:val="24"/>
                <w:lang w:val="en-US" w:eastAsia="zh-CN"/>
              </w:rPr>
              <w:t>+107988t/a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rPr>
            </w:pPr>
          </w:p>
        </w:tc>
        <w:tc>
          <w:tcPr>
            <w:tcW w:w="1417" w:type="dxa"/>
            <w:noWrap w:val="0"/>
            <w:vAlign w:val="center"/>
          </w:tcPr>
          <w:p>
            <w:pPr>
              <w:pStyle w:val="53"/>
              <w:spacing w:beforeLines="0" w:afterLines="0" w:line="240" w:lineRule="auto"/>
              <w:ind w:firstLine="0" w:firstLineChars="0"/>
              <w:rPr>
                <w:rFonts w:hint="default" w:ascii="Times New Roman" w:hAnsi="Times New Roman" w:eastAsia="宋体" w:cs="Times New Roman"/>
                <w:snapToGrid w:val="0"/>
                <w:color w:val="000000"/>
                <w:kern w:val="21"/>
                <w:sz w:val="24"/>
                <w:szCs w:val="24"/>
                <w:lang w:val="en-US" w:eastAsia="zh-CN"/>
              </w:rPr>
            </w:pPr>
            <w:r>
              <w:rPr>
                <w:rFonts w:hint="default" w:ascii="Times New Roman" w:hAnsi="Times New Roman" w:cs="Times New Roman"/>
                <w:snapToGrid w:val="0"/>
                <w:color w:val="000000"/>
                <w:kern w:val="21"/>
                <w:sz w:val="24"/>
                <w:szCs w:val="24"/>
                <w:lang w:val="en-US" w:eastAsia="zh-CN"/>
              </w:rPr>
              <w:t>全盐量</w:t>
            </w:r>
          </w:p>
        </w:tc>
        <w:tc>
          <w:tcPr>
            <w:tcW w:w="1701" w:type="dxa"/>
            <w:noWrap w:val="0"/>
            <w:vAlign w:val="center"/>
          </w:tcPr>
          <w:p>
            <w:pPr>
              <w:pStyle w:val="53"/>
              <w:spacing w:beforeLines="0" w:afterLines="0" w:line="240" w:lineRule="auto"/>
              <w:ind w:firstLine="0" w:firstLineChars="0"/>
              <w:rPr>
                <w:rFonts w:hint="default" w:ascii="Times New Roman" w:hAnsi="Times New Roman" w:eastAsia="宋体" w:cs="Times New Roman"/>
                <w:snapToGrid w:val="0"/>
                <w:color w:val="000000"/>
                <w:kern w:val="21"/>
                <w:sz w:val="24"/>
                <w:szCs w:val="24"/>
                <w:lang w:val="en-US" w:eastAsia="zh-CN"/>
              </w:rPr>
            </w:pPr>
            <w:r>
              <w:rPr>
                <w:rFonts w:hint="default" w:ascii="Times New Roman" w:hAnsi="Times New Roman" w:cs="Times New Roman"/>
                <w:snapToGrid w:val="0"/>
                <w:color w:val="000000"/>
                <w:kern w:val="21"/>
                <w:sz w:val="24"/>
                <w:szCs w:val="24"/>
                <w:lang w:val="en-US" w:eastAsia="zh-CN"/>
              </w:rPr>
              <w:t>1.88t/a</w:t>
            </w:r>
          </w:p>
        </w:tc>
        <w:tc>
          <w:tcPr>
            <w:tcW w:w="1276" w:type="dxa"/>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rPr>
            </w:pPr>
          </w:p>
        </w:tc>
        <w:tc>
          <w:tcPr>
            <w:tcW w:w="1701" w:type="dxa"/>
            <w:noWrap w:val="0"/>
            <w:vAlign w:val="center"/>
          </w:tcPr>
          <w:p>
            <w:pPr>
              <w:pStyle w:val="37"/>
              <w:spacing w:beforeLines="0" w:afterLines="0"/>
              <w:jc w:val="center"/>
              <w:rPr>
                <w:rFonts w:hint="default" w:ascii="Times New Roman" w:hAnsi="Times New Roman" w:eastAsia="宋体" w:cs="Times New Roman"/>
                <w:snapToGrid w:val="0"/>
                <w:color w:val="000000"/>
                <w:kern w:val="21"/>
                <w:sz w:val="24"/>
                <w:szCs w:val="24"/>
                <w:lang w:val="en-US" w:eastAsia="zh-CN"/>
              </w:rPr>
            </w:pPr>
          </w:p>
        </w:tc>
        <w:tc>
          <w:tcPr>
            <w:tcW w:w="1559" w:type="dxa"/>
            <w:noWrap w:val="0"/>
            <w:vAlign w:val="center"/>
          </w:tcPr>
          <w:p>
            <w:pPr>
              <w:pStyle w:val="37"/>
              <w:spacing w:beforeLines="0" w:afterLines="0"/>
              <w:jc w:val="center"/>
              <w:rPr>
                <w:rFonts w:hint="default" w:ascii="Times New Roman" w:hAnsi="Times New Roman" w:eastAsia="宋体" w:cs="Times New Roman"/>
                <w:snapToGrid w:val="0"/>
                <w:color w:val="auto"/>
                <w:kern w:val="21"/>
                <w:sz w:val="24"/>
                <w:szCs w:val="24"/>
                <w:u w:val="none"/>
                <w:lang w:val="en-US" w:eastAsia="zh-CN"/>
              </w:rPr>
            </w:pPr>
            <w:r>
              <w:rPr>
                <w:rFonts w:hint="default" w:ascii="Times New Roman" w:hAnsi="Times New Roman" w:cs="Times New Roman"/>
                <w:snapToGrid w:val="0"/>
                <w:color w:val="000000"/>
                <w:kern w:val="21"/>
                <w:sz w:val="24"/>
                <w:szCs w:val="24"/>
                <w:lang w:val="en-US" w:eastAsia="zh-CN"/>
              </w:rPr>
              <w:t>4.911t/a</w:t>
            </w:r>
          </w:p>
        </w:tc>
        <w:tc>
          <w:tcPr>
            <w:tcW w:w="1526" w:type="dxa"/>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1.88t/a</w:t>
            </w:r>
          </w:p>
        </w:tc>
        <w:tc>
          <w:tcPr>
            <w:tcW w:w="1678" w:type="dxa"/>
            <w:noWrap w:val="0"/>
            <w:vAlign w:val="center"/>
          </w:tcPr>
          <w:p>
            <w:pPr>
              <w:pStyle w:val="37"/>
              <w:spacing w:beforeLines="0" w:afterLines="0"/>
              <w:jc w:val="center"/>
              <w:rPr>
                <w:rFonts w:hint="default" w:ascii="Times New Roman" w:hAnsi="Times New Roman" w:eastAsia="宋体" w:cs="Times New Roman"/>
                <w:snapToGrid w:val="0"/>
                <w:color w:val="000000"/>
                <w:kern w:val="21"/>
                <w:sz w:val="24"/>
                <w:szCs w:val="24"/>
                <w:lang w:val="en-US" w:eastAsia="zh-CN" w:bidi="ar-SA"/>
              </w:rPr>
            </w:pPr>
            <w:r>
              <w:rPr>
                <w:rFonts w:hint="default" w:ascii="Times New Roman" w:hAnsi="Times New Roman" w:cs="Times New Roman"/>
                <w:snapToGrid w:val="0"/>
                <w:color w:val="000000"/>
                <w:kern w:val="21"/>
                <w:sz w:val="24"/>
                <w:szCs w:val="24"/>
                <w:lang w:val="en-US" w:eastAsia="zh-CN"/>
              </w:rPr>
              <w:t>4.911t/a</w:t>
            </w:r>
          </w:p>
        </w:tc>
        <w:tc>
          <w:tcPr>
            <w:tcW w:w="1342" w:type="dxa"/>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lang w:val="en-US"/>
              </w:rPr>
            </w:pPr>
            <w:r>
              <w:rPr>
                <w:rFonts w:hint="default" w:ascii="Times New Roman" w:hAnsi="Times New Roman" w:cs="Times New Roman"/>
                <w:snapToGrid w:val="0"/>
                <w:color w:val="000000"/>
                <w:kern w:val="21"/>
                <w:sz w:val="24"/>
                <w:szCs w:val="24"/>
                <w:lang w:val="en-US" w:eastAsia="zh-CN"/>
              </w:rPr>
              <w:t>+3.031t/a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rPr>
            </w:pPr>
          </w:p>
        </w:tc>
        <w:tc>
          <w:tcPr>
            <w:tcW w:w="1417" w:type="dxa"/>
            <w:noWrap w:val="0"/>
            <w:vAlign w:val="center"/>
          </w:tcPr>
          <w:p>
            <w:pPr>
              <w:pStyle w:val="53"/>
              <w:spacing w:beforeLines="0" w:afterLines="0" w:line="240" w:lineRule="auto"/>
              <w:ind w:firstLine="0" w:firstLineChars="0"/>
              <w:rPr>
                <w:rFonts w:hint="default" w:ascii="Times New Roman" w:hAnsi="Times New Roman" w:eastAsia="宋体" w:cs="Times New Roman"/>
                <w:snapToGrid w:val="0"/>
                <w:color w:val="000000"/>
                <w:kern w:val="21"/>
                <w:sz w:val="24"/>
                <w:szCs w:val="24"/>
                <w:lang w:eastAsia="zh-CN"/>
              </w:rPr>
            </w:pPr>
            <w:r>
              <w:rPr>
                <w:rFonts w:hint="default" w:ascii="Times New Roman" w:hAnsi="Times New Roman" w:cs="Times New Roman"/>
                <w:snapToGrid w:val="0"/>
                <w:color w:val="000000"/>
                <w:kern w:val="21"/>
                <w:sz w:val="24"/>
                <w:szCs w:val="24"/>
                <w:lang w:val="en-US" w:eastAsia="zh-CN"/>
              </w:rPr>
              <w:t>氯化物</w:t>
            </w:r>
          </w:p>
        </w:tc>
        <w:tc>
          <w:tcPr>
            <w:tcW w:w="1701" w:type="dxa"/>
            <w:noWrap w:val="0"/>
            <w:vAlign w:val="center"/>
          </w:tcPr>
          <w:p>
            <w:pPr>
              <w:pStyle w:val="53"/>
              <w:spacing w:beforeLines="0" w:afterLines="0" w:line="240" w:lineRule="auto"/>
              <w:ind w:firstLine="0" w:firstLineChars="0"/>
              <w:rPr>
                <w:rFonts w:hint="default" w:ascii="Times New Roman" w:hAnsi="Times New Roman" w:eastAsia="宋体" w:cs="Times New Roman"/>
                <w:snapToGrid w:val="0"/>
                <w:color w:val="000000"/>
                <w:kern w:val="21"/>
                <w:sz w:val="24"/>
                <w:szCs w:val="24"/>
                <w:lang w:val="en-US" w:eastAsia="zh-CN"/>
              </w:rPr>
            </w:pPr>
            <w:r>
              <w:rPr>
                <w:rFonts w:hint="default" w:ascii="Times New Roman" w:hAnsi="Times New Roman" w:cs="Times New Roman"/>
                <w:snapToGrid w:val="0"/>
                <w:color w:val="000000"/>
                <w:kern w:val="21"/>
                <w:sz w:val="24"/>
                <w:szCs w:val="24"/>
                <w:lang w:val="en-US" w:eastAsia="zh-CN"/>
              </w:rPr>
              <w:t>0.1639t/a</w:t>
            </w:r>
          </w:p>
        </w:tc>
        <w:tc>
          <w:tcPr>
            <w:tcW w:w="1276" w:type="dxa"/>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rPr>
            </w:pPr>
          </w:p>
        </w:tc>
        <w:tc>
          <w:tcPr>
            <w:tcW w:w="1701" w:type="dxa"/>
            <w:noWrap w:val="0"/>
            <w:vAlign w:val="center"/>
          </w:tcPr>
          <w:p>
            <w:pPr>
              <w:pStyle w:val="37"/>
              <w:spacing w:beforeLines="0" w:afterLines="0"/>
              <w:jc w:val="center"/>
              <w:rPr>
                <w:rFonts w:hint="default" w:ascii="Times New Roman" w:hAnsi="Times New Roman" w:cs="Times New Roman"/>
                <w:snapToGrid w:val="0"/>
                <w:color w:val="000000"/>
                <w:kern w:val="21"/>
                <w:sz w:val="24"/>
                <w:szCs w:val="24"/>
                <w:lang w:val="en-US"/>
              </w:rPr>
            </w:pPr>
          </w:p>
        </w:tc>
        <w:tc>
          <w:tcPr>
            <w:tcW w:w="1559" w:type="dxa"/>
            <w:noWrap w:val="0"/>
            <w:vAlign w:val="center"/>
          </w:tcPr>
          <w:p>
            <w:pPr>
              <w:pStyle w:val="37"/>
              <w:spacing w:beforeLines="0" w:afterLines="0"/>
              <w:jc w:val="center"/>
              <w:rPr>
                <w:rFonts w:hint="default" w:ascii="Times New Roman" w:hAnsi="Times New Roman" w:eastAsia="宋体" w:cs="Times New Roman"/>
                <w:snapToGrid w:val="0"/>
                <w:color w:val="auto"/>
                <w:kern w:val="21"/>
                <w:sz w:val="24"/>
                <w:szCs w:val="24"/>
                <w:u w:val="none"/>
                <w:lang w:val="en-US" w:eastAsia="zh-CN"/>
              </w:rPr>
            </w:pPr>
            <w:r>
              <w:rPr>
                <w:rFonts w:hint="default" w:ascii="Times New Roman" w:hAnsi="Times New Roman" w:cs="Times New Roman"/>
                <w:sz w:val="24"/>
                <w:szCs w:val="24"/>
                <w:lang w:val="en-US" w:eastAsia="zh-CN"/>
              </w:rPr>
              <w:t>0.2782</w:t>
            </w:r>
            <w:r>
              <w:rPr>
                <w:rFonts w:hint="default" w:ascii="Times New Roman" w:hAnsi="Times New Roman" w:cs="Times New Roman"/>
                <w:snapToGrid w:val="0"/>
                <w:color w:val="000000"/>
                <w:kern w:val="21"/>
                <w:sz w:val="24"/>
                <w:szCs w:val="24"/>
                <w:lang w:val="en-US" w:eastAsia="zh-CN"/>
              </w:rPr>
              <w:t>t/a</w:t>
            </w:r>
          </w:p>
        </w:tc>
        <w:tc>
          <w:tcPr>
            <w:tcW w:w="1526" w:type="dxa"/>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0.1639t/a</w:t>
            </w:r>
          </w:p>
        </w:tc>
        <w:tc>
          <w:tcPr>
            <w:tcW w:w="1678" w:type="dxa"/>
            <w:noWrap w:val="0"/>
            <w:vAlign w:val="center"/>
          </w:tcPr>
          <w:p>
            <w:pPr>
              <w:pStyle w:val="37"/>
              <w:spacing w:beforeLines="0" w:afterLines="0"/>
              <w:jc w:val="center"/>
              <w:rPr>
                <w:rFonts w:hint="default" w:ascii="Times New Roman" w:hAnsi="Times New Roman" w:eastAsia="宋体" w:cs="Times New Roman"/>
                <w:snapToGrid w:val="0"/>
                <w:color w:val="000000"/>
                <w:kern w:val="21"/>
                <w:sz w:val="24"/>
                <w:szCs w:val="24"/>
                <w:lang w:val="en-US" w:eastAsia="zh-CN" w:bidi="ar-SA"/>
              </w:rPr>
            </w:pPr>
            <w:r>
              <w:rPr>
                <w:rFonts w:hint="default" w:ascii="Times New Roman" w:hAnsi="Times New Roman" w:cs="Times New Roman"/>
                <w:sz w:val="24"/>
                <w:szCs w:val="24"/>
                <w:lang w:val="en-US" w:eastAsia="zh-CN"/>
              </w:rPr>
              <w:t>0.2782</w:t>
            </w:r>
            <w:r>
              <w:rPr>
                <w:rFonts w:hint="default" w:ascii="Times New Roman" w:hAnsi="Times New Roman" w:cs="Times New Roman"/>
                <w:snapToGrid w:val="0"/>
                <w:color w:val="000000"/>
                <w:kern w:val="21"/>
                <w:sz w:val="24"/>
                <w:szCs w:val="24"/>
                <w:lang w:val="en-US" w:eastAsia="zh-CN"/>
              </w:rPr>
              <w:t>t/a</w:t>
            </w:r>
          </w:p>
        </w:tc>
        <w:tc>
          <w:tcPr>
            <w:tcW w:w="1342" w:type="dxa"/>
            <w:noWrap w:val="0"/>
            <w:vAlign w:val="center"/>
          </w:tcPr>
          <w:p>
            <w:pPr>
              <w:pStyle w:val="53"/>
              <w:spacing w:beforeLines="0" w:afterLines="0" w:line="240" w:lineRule="auto"/>
              <w:ind w:firstLine="0" w:firstLineChars="0"/>
              <w:rPr>
                <w:rFonts w:hint="default" w:ascii="Times New Roman" w:hAnsi="Times New Roman" w:eastAsia="宋体" w:cs="Times New Roman"/>
                <w:snapToGrid w:val="0"/>
                <w:color w:val="000000"/>
                <w:kern w:val="21"/>
                <w:sz w:val="24"/>
                <w:szCs w:val="24"/>
                <w:lang w:val="en-US" w:eastAsia="zh-CN"/>
              </w:rPr>
            </w:pPr>
            <w:r>
              <w:rPr>
                <w:rFonts w:hint="default" w:ascii="Times New Roman" w:hAnsi="Times New Roman" w:cs="Times New Roman"/>
                <w:snapToGrid w:val="0"/>
                <w:color w:val="000000"/>
                <w:kern w:val="21"/>
                <w:sz w:val="24"/>
                <w:szCs w:val="24"/>
                <w:lang w:val="en-US" w:eastAsia="zh-CN"/>
              </w:rPr>
              <w:t>+0.1143t/a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rPr>
              <w:t>一般工业</w:t>
            </w:r>
          </w:p>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rPr>
              <w:t>固体废物</w:t>
            </w:r>
          </w:p>
        </w:tc>
        <w:tc>
          <w:tcPr>
            <w:tcW w:w="1417" w:type="dxa"/>
            <w:noWrap w:val="0"/>
            <w:vAlign w:val="center"/>
          </w:tcPr>
          <w:p>
            <w:pPr>
              <w:pStyle w:val="37"/>
              <w:spacing w:beforeLines="0" w:afterLines="0"/>
              <w:rPr>
                <w:rFonts w:hint="default" w:ascii="Times New Roman" w:hAnsi="Times New Roman" w:cs="Times New Roman"/>
                <w:color w:val="000000"/>
                <w:sz w:val="24"/>
                <w:szCs w:val="24"/>
                <w:lang w:val="en-US" w:eastAsia="zh-CN" w:bidi="ar-SA"/>
              </w:rPr>
            </w:pPr>
            <w:r>
              <w:rPr>
                <w:rFonts w:hint="default" w:ascii="Times New Roman" w:hAnsi="Times New Roman" w:cs="Times New Roman"/>
                <w:color w:val="000000"/>
                <w:sz w:val="24"/>
                <w:szCs w:val="24"/>
                <w:lang w:val="en-US" w:eastAsia="zh-CN" w:bidi="ar-SA"/>
              </w:rPr>
              <w:t>一般性包装废物</w:t>
            </w:r>
          </w:p>
        </w:tc>
        <w:tc>
          <w:tcPr>
            <w:tcW w:w="1701" w:type="dxa"/>
            <w:noWrap w:val="0"/>
            <w:vAlign w:val="center"/>
          </w:tcPr>
          <w:p>
            <w:pPr>
              <w:pStyle w:val="53"/>
              <w:spacing w:beforeLines="0" w:afterLines="0" w:line="240" w:lineRule="auto"/>
              <w:ind w:firstLine="0" w:firstLineChars="0"/>
              <w:rPr>
                <w:rFonts w:hint="default" w:ascii="Times New Roman" w:hAnsi="Times New Roman" w:eastAsia="宋体" w:cs="Times New Roman"/>
                <w:snapToGrid w:val="0"/>
                <w:color w:val="000000"/>
                <w:kern w:val="21"/>
                <w:sz w:val="24"/>
                <w:szCs w:val="24"/>
                <w:lang w:val="en-US" w:eastAsia="zh-CN"/>
              </w:rPr>
            </w:pPr>
            <w:r>
              <w:rPr>
                <w:rFonts w:hint="default" w:ascii="Times New Roman" w:hAnsi="Times New Roman" w:cs="Times New Roman"/>
                <w:snapToGrid w:val="0"/>
                <w:color w:val="000000"/>
                <w:kern w:val="21"/>
                <w:sz w:val="24"/>
                <w:szCs w:val="24"/>
                <w:lang w:val="en-US" w:eastAsia="zh-CN"/>
              </w:rPr>
              <w:t>0.2t/a</w:t>
            </w:r>
          </w:p>
        </w:tc>
        <w:tc>
          <w:tcPr>
            <w:tcW w:w="1276" w:type="dxa"/>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rPr>
            </w:pPr>
          </w:p>
        </w:tc>
        <w:tc>
          <w:tcPr>
            <w:tcW w:w="1701" w:type="dxa"/>
            <w:noWrap w:val="0"/>
            <w:vAlign w:val="center"/>
          </w:tcPr>
          <w:p>
            <w:pPr>
              <w:pStyle w:val="37"/>
              <w:spacing w:beforeLines="0" w:afterLines="0"/>
              <w:rPr>
                <w:rFonts w:hint="default" w:ascii="Times New Roman" w:hAnsi="Times New Roman" w:cs="Times New Roman"/>
                <w:snapToGrid w:val="0"/>
                <w:color w:val="000000"/>
                <w:kern w:val="21"/>
                <w:sz w:val="24"/>
                <w:szCs w:val="24"/>
              </w:rPr>
            </w:pPr>
          </w:p>
        </w:tc>
        <w:tc>
          <w:tcPr>
            <w:tcW w:w="1559" w:type="dxa"/>
            <w:noWrap w:val="0"/>
            <w:vAlign w:val="center"/>
          </w:tcPr>
          <w:p>
            <w:pPr>
              <w:pStyle w:val="53"/>
              <w:spacing w:beforeLines="0" w:afterLines="0" w:line="240" w:lineRule="auto"/>
              <w:ind w:firstLine="0" w:firstLineChars="0"/>
              <w:rPr>
                <w:rFonts w:hint="default" w:ascii="Times New Roman" w:hAnsi="Times New Roman" w:eastAsia="宋体" w:cs="Times New Roman"/>
                <w:color w:val="auto"/>
                <w:sz w:val="24"/>
                <w:szCs w:val="24"/>
                <w:u w:val="none"/>
                <w:lang w:val="en-US" w:eastAsia="zh-CN" w:bidi="ar-SA"/>
              </w:rPr>
            </w:pPr>
            <w:r>
              <w:rPr>
                <w:rFonts w:hint="default" w:ascii="Times New Roman" w:hAnsi="Times New Roman" w:cs="Times New Roman"/>
                <w:snapToGrid w:val="0"/>
                <w:color w:val="000000"/>
                <w:kern w:val="21"/>
                <w:sz w:val="24"/>
                <w:szCs w:val="24"/>
                <w:lang w:val="en-US" w:eastAsia="zh-CN"/>
              </w:rPr>
              <w:t>0.5t/a</w:t>
            </w:r>
          </w:p>
        </w:tc>
        <w:tc>
          <w:tcPr>
            <w:tcW w:w="1526" w:type="dxa"/>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0.2t/a</w:t>
            </w:r>
          </w:p>
        </w:tc>
        <w:tc>
          <w:tcPr>
            <w:tcW w:w="1678" w:type="dxa"/>
            <w:noWrap w:val="0"/>
            <w:vAlign w:val="center"/>
          </w:tcPr>
          <w:p>
            <w:pPr>
              <w:pStyle w:val="53"/>
              <w:spacing w:beforeLines="0" w:afterLines="0" w:line="240" w:lineRule="auto"/>
              <w:ind w:firstLine="0" w:firstLineChars="0"/>
              <w:rPr>
                <w:rFonts w:hint="default" w:ascii="Times New Roman" w:hAnsi="Times New Roman" w:eastAsia="宋体" w:cs="Times New Roman"/>
                <w:snapToGrid w:val="0"/>
                <w:color w:val="000000"/>
                <w:kern w:val="21"/>
                <w:sz w:val="24"/>
                <w:szCs w:val="24"/>
                <w:lang w:val="en-US" w:eastAsia="zh-CN"/>
              </w:rPr>
            </w:pPr>
            <w:r>
              <w:rPr>
                <w:rFonts w:hint="default" w:ascii="Times New Roman" w:hAnsi="Times New Roman" w:cs="Times New Roman"/>
                <w:snapToGrid w:val="0"/>
                <w:color w:val="000000"/>
                <w:kern w:val="21"/>
                <w:sz w:val="24"/>
                <w:szCs w:val="24"/>
                <w:lang w:val="en-US" w:eastAsia="zh-CN"/>
              </w:rPr>
              <w:t>0.5t/a</w:t>
            </w:r>
          </w:p>
        </w:tc>
        <w:tc>
          <w:tcPr>
            <w:tcW w:w="1342" w:type="dxa"/>
            <w:noWrap w:val="0"/>
            <w:vAlign w:val="center"/>
          </w:tcPr>
          <w:p>
            <w:pPr>
              <w:pStyle w:val="53"/>
              <w:spacing w:beforeLines="0" w:afterLines="0" w:line="240" w:lineRule="auto"/>
              <w:ind w:firstLine="0" w:firstLineChars="0"/>
              <w:rPr>
                <w:rFonts w:hint="default" w:ascii="Times New Roman" w:hAnsi="Times New Roman" w:eastAsia="宋体" w:cs="Times New Roman"/>
                <w:snapToGrid w:val="0"/>
                <w:color w:val="000000"/>
                <w:kern w:val="21"/>
                <w:sz w:val="24"/>
                <w:szCs w:val="24"/>
                <w:lang w:val="en-US" w:eastAsia="zh-CN"/>
              </w:rPr>
            </w:pPr>
            <w:r>
              <w:rPr>
                <w:rFonts w:hint="default" w:ascii="Times New Roman" w:hAnsi="Times New Roman" w:cs="Times New Roman"/>
                <w:snapToGrid w:val="0"/>
                <w:color w:val="000000"/>
                <w:kern w:val="21"/>
                <w:sz w:val="24"/>
                <w:szCs w:val="24"/>
                <w:lang w:val="en-US" w:eastAsia="zh-CN"/>
              </w:rPr>
              <w:t>+0.3t/a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rPr>
            </w:pPr>
          </w:p>
        </w:tc>
        <w:tc>
          <w:tcPr>
            <w:tcW w:w="1417" w:type="dxa"/>
            <w:noWrap w:val="0"/>
            <w:vAlign w:val="center"/>
          </w:tcPr>
          <w:p>
            <w:pPr>
              <w:pStyle w:val="37"/>
              <w:spacing w:beforeLines="0" w:afterLines="0"/>
              <w:rPr>
                <w:rFonts w:hint="default" w:ascii="Times New Roman" w:hAnsi="Times New Roman" w:cs="Times New Roman"/>
                <w:color w:val="000000"/>
                <w:sz w:val="24"/>
                <w:szCs w:val="24"/>
                <w:lang w:val="en-US" w:eastAsia="zh-CN" w:bidi="ar-SA"/>
              </w:rPr>
            </w:pPr>
            <w:r>
              <w:rPr>
                <w:rFonts w:hint="default" w:ascii="Times New Roman" w:hAnsi="Times New Roman" w:cs="Times New Roman"/>
                <w:color w:val="000000"/>
                <w:sz w:val="24"/>
                <w:szCs w:val="24"/>
                <w:lang w:val="en-US" w:eastAsia="zh-CN" w:bidi="ar-SA"/>
              </w:rPr>
              <w:t>废反渗透膜</w:t>
            </w:r>
          </w:p>
        </w:tc>
        <w:tc>
          <w:tcPr>
            <w:tcW w:w="1701" w:type="dxa"/>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lang w:val="en-US" w:eastAsia="zh-CN"/>
              </w:rPr>
            </w:pPr>
            <w:r>
              <w:rPr>
                <w:rFonts w:hint="default" w:ascii="Times New Roman" w:hAnsi="Times New Roman" w:cs="Times New Roman"/>
                <w:snapToGrid w:val="0"/>
                <w:color w:val="000000"/>
                <w:kern w:val="21"/>
                <w:sz w:val="24"/>
                <w:szCs w:val="24"/>
                <w:lang w:val="en-US" w:eastAsia="zh-CN"/>
              </w:rPr>
              <w:t>0</w:t>
            </w:r>
          </w:p>
        </w:tc>
        <w:tc>
          <w:tcPr>
            <w:tcW w:w="1276" w:type="dxa"/>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rPr>
            </w:pPr>
          </w:p>
        </w:tc>
        <w:tc>
          <w:tcPr>
            <w:tcW w:w="1701" w:type="dxa"/>
            <w:noWrap w:val="0"/>
            <w:vAlign w:val="center"/>
          </w:tcPr>
          <w:p>
            <w:pPr>
              <w:pStyle w:val="37"/>
              <w:spacing w:beforeLines="0" w:afterLines="0"/>
              <w:rPr>
                <w:rFonts w:hint="default" w:ascii="Times New Roman" w:hAnsi="Times New Roman" w:cs="Times New Roman"/>
                <w:color w:val="auto"/>
                <w:sz w:val="24"/>
                <w:szCs w:val="24"/>
                <w:u w:val="none"/>
                <w:lang w:val="en-US" w:eastAsia="zh-CN"/>
              </w:rPr>
            </w:pPr>
          </w:p>
        </w:tc>
        <w:tc>
          <w:tcPr>
            <w:tcW w:w="1559" w:type="dxa"/>
            <w:noWrap w:val="0"/>
            <w:vAlign w:val="center"/>
          </w:tcPr>
          <w:p>
            <w:pPr>
              <w:pStyle w:val="53"/>
              <w:spacing w:beforeLines="0" w:afterLines="0" w:line="240" w:lineRule="auto"/>
              <w:ind w:firstLine="0" w:firstLineChars="0"/>
              <w:rPr>
                <w:rFonts w:hint="default" w:ascii="Times New Roman" w:hAnsi="Times New Roman" w:cs="Times New Roman"/>
                <w:color w:val="auto"/>
                <w:sz w:val="24"/>
                <w:szCs w:val="24"/>
                <w:u w:val="none"/>
                <w:lang w:val="en-US" w:eastAsia="zh-CN"/>
              </w:rPr>
            </w:pPr>
            <w:r>
              <w:rPr>
                <w:rFonts w:hint="default" w:ascii="Times New Roman" w:hAnsi="Times New Roman" w:cs="Times New Roman"/>
                <w:snapToGrid w:val="0"/>
                <w:color w:val="000000"/>
                <w:kern w:val="21"/>
                <w:sz w:val="24"/>
                <w:szCs w:val="24"/>
                <w:lang w:val="en-US" w:eastAsia="zh-CN"/>
              </w:rPr>
              <w:t>0.02t/a</w:t>
            </w:r>
          </w:p>
        </w:tc>
        <w:tc>
          <w:tcPr>
            <w:tcW w:w="1526" w:type="dxa"/>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0</w:t>
            </w:r>
          </w:p>
        </w:tc>
        <w:tc>
          <w:tcPr>
            <w:tcW w:w="1678" w:type="dxa"/>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lang w:val="en-US" w:eastAsia="zh-CN"/>
              </w:rPr>
            </w:pPr>
            <w:r>
              <w:rPr>
                <w:rFonts w:hint="default" w:ascii="Times New Roman" w:hAnsi="Times New Roman" w:cs="Times New Roman"/>
                <w:snapToGrid w:val="0"/>
                <w:color w:val="000000"/>
                <w:kern w:val="21"/>
                <w:sz w:val="24"/>
                <w:szCs w:val="24"/>
                <w:lang w:val="en-US" w:eastAsia="zh-CN"/>
              </w:rPr>
              <w:t>0.02t/a</w:t>
            </w:r>
          </w:p>
        </w:tc>
        <w:tc>
          <w:tcPr>
            <w:tcW w:w="1342" w:type="dxa"/>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lang w:val="en-US" w:eastAsia="zh-CN"/>
              </w:rPr>
            </w:pPr>
            <w:r>
              <w:rPr>
                <w:rFonts w:hint="default" w:ascii="Times New Roman" w:hAnsi="Times New Roman" w:cs="Times New Roman"/>
                <w:snapToGrid w:val="0"/>
                <w:color w:val="000000"/>
                <w:kern w:val="21"/>
                <w:sz w:val="24"/>
                <w:szCs w:val="24"/>
                <w:lang w:val="en-US" w:eastAsia="zh-CN"/>
              </w:rPr>
              <w:t>+0.02t/a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rPr>
            </w:pPr>
          </w:p>
        </w:tc>
        <w:tc>
          <w:tcPr>
            <w:tcW w:w="1417" w:type="dxa"/>
            <w:noWrap w:val="0"/>
            <w:vAlign w:val="center"/>
          </w:tcPr>
          <w:p>
            <w:pPr>
              <w:pStyle w:val="37"/>
              <w:spacing w:beforeLines="0" w:afterLines="0"/>
              <w:rPr>
                <w:rFonts w:hint="default" w:ascii="Times New Roman" w:hAnsi="Times New Roman" w:cs="Times New Roman"/>
                <w:color w:val="000000"/>
                <w:sz w:val="24"/>
                <w:szCs w:val="24"/>
                <w:lang w:val="en-US" w:eastAsia="zh-CN" w:bidi="ar-SA"/>
              </w:rPr>
            </w:pPr>
            <w:r>
              <w:rPr>
                <w:rFonts w:hint="default" w:ascii="Times New Roman" w:hAnsi="Times New Roman" w:cs="Times New Roman"/>
                <w:color w:val="000000"/>
                <w:sz w:val="24"/>
                <w:szCs w:val="24"/>
                <w:lang w:val="en-US" w:eastAsia="zh-CN" w:bidi="ar-SA"/>
              </w:rPr>
              <w:t>废离子交换树脂</w:t>
            </w:r>
          </w:p>
        </w:tc>
        <w:tc>
          <w:tcPr>
            <w:tcW w:w="1701" w:type="dxa"/>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lang w:val="en-US" w:eastAsia="zh-CN"/>
              </w:rPr>
            </w:pPr>
            <w:r>
              <w:rPr>
                <w:rFonts w:hint="eastAsia" w:ascii="Times New Roman" w:hAnsi="Times New Roman" w:cs="Times New Roman"/>
                <w:snapToGrid w:val="0"/>
                <w:color w:val="000000"/>
                <w:kern w:val="21"/>
                <w:sz w:val="24"/>
                <w:szCs w:val="24"/>
                <w:lang w:val="en-US" w:eastAsia="zh-CN"/>
              </w:rPr>
              <w:t>4.3</w:t>
            </w:r>
            <w:r>
              <w:rPr>
                <w:rFonts w:hint="default" w:ascii="Times New Roman" w:hAnsi="Times New Roman" w:cs="Times New Roman"/>
                <w:snapToGrid w:val="0"/>
                <w:color w:val="000000"/>
                <w:kern w:val="21"/>
                <w:sz w:val="24"/>
                <w:szCs w:val="24"/>
                <w:lang w:val="en-US" w:eastAsia="zh-CN"/>
              </w:rPr>
              <w:t>t/a</w:t>
            </w:r>
          </w:p>
        </w:tc>
        <w:tc>
          <w:tcPr>
            <w:tcW w:w="1276" w:type="dxa"/>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rPr>
            </w:pPr>
          </w:p>
        </w:tc>
        <w:tc>
          <w:tcPr>
            <w:tcW w:w="1701" w:type="dxa"/>
            <w:noWrap w:val="0"/>
            <w:vAlign w:val="center"/>
          </w:tcPr>
          <w:p>
            <w:pPr>
              <w:pStyle w:val="37"/>
              <w:spacing w:beforeLines="0" w:afterLines="0"/>
              <w:rPr>
                <w:rFonts w:hint="default" w:ascii="Times New Roman" w:hAnsi="Times New Roman" w:cs="Times New Roman"/>
                <w:color w:val="auto"/>
                <w:sz w:val="24"/>
                <w:szCs w:val="24"/>
                <w:u w:val="none"/>
                <w:lang w:val="en-US" w:eastAsia="zh-CN"/>
              </w:rPr>
            </w:pPr>
          </w:p>
        </w:tc>
        <w:tc>
          <w:tcPr>
            <w:tcW w:w="1559" w:type="dxa"/>
            <w:noWrap w:val="0"/>
            <w:vAlign w:val="center"/>
          </w:tcPr>
          <w:p>
            <w:pPr>
              <w:pStyle w:val="53"/>
              <w:spacing w:beforeLines="0" w:afterLines="0" w:line="240" w:lineRule="auto"/>
              <w:ind w:firstLine="0" w:firstLineChars="0"/>
              <w:rPr>
                <w:rFonts w:hint="default" w:ascii="Times New Roman" w:hAnsi="Times New Roman" w:cs="Times New Roman"/>
                <w:color w:val="auto"/>
                <w:sz w:val="24"/>
                <w:szCs w:val="24"/>
                <w:u w:val="none"/>
                <w:lang w:val="en-US" w:eastAsia="zh-CN"/>
              </w:rPr>
            </w:pPr>
            <w:r>
              <w:rPr>
                <w:rFonts w:hint="eastAsia" w:ascii="Times New Roman" w:hAnsi="Times New Roman" w:cs="Times New Roman"/>
                <w:snapToGrid w:val="0"/>
                <w:color w:val="000000"/>
                <w:kern w:val="21"/>
                <w:sz w:val="24"/>
                <w:szCs w:val="24"/>
                <w:lang w:val="en-US" w:eastAsia="zh-CN"/>
              </w:rPr>
              <w:t>10.5</w:t>
            </w:r>
            <w:r>
              <w:rPr>
                <w:rFonts w:hint="default" w:ascii="Times New Roman" w:hAnsi="Times New Roman" w:cs="Times New Roman"/>
                <w:snapToGrid w:val="0"/>
                <w:color w:val="000000"/>
                <w:kern w:val="21"/>
                <w:sz w:val="24"/>
                <w:szCs w:val="24"/>
                <w:lang w:val="en-US" w:eastAsia="zh-CN"/>
              </w:rPr>
              <w:t>t/a</w:t>
            </w:r>
          </w:p>
        </w:tc>
        <w:tc>
          <w:tcPr>
            <w:tcW w:w="1526" w:type="dxa"/>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rPr>
            </w:pPr>
            <w:r>
              <w:rPr>
                <w:rFonts w:hint="eastAsia" w:ascii="Times New Roman" w:hAnsi="Times New Roman" w:cs="Times New Roman"/>
                <w:snapToGrid w:val="0"/>
                <w:color w:val="000000"/>
                <w:kern w:val="21"/>
                <w:sz w:val="24"/>
                <w:szCs w:val="24"/>
                <w:lang w:val="en-US" w:eastAsia="zh-CN"/>
              </w:rPr>
              <w:t>4.3</w:t>
            </w:r>
            <w:r>
              <w:rPr>
                <w:rFonts w:hint="default" w:ascii="Times New Roman" w:hAnsi="Times New Roman" w:cs="Times New Roman"/>
                <w:snapToGrid w:val="0"/>
                <w:color w:val="000000"/>
                <w:kern w:val="21"/>
                <w:sz w:val="24"/>
                <w:szCs w:val="24"/>
                <w:lang w:val="en-US" w:eastAsia="zh-CN"/>
              </w:rPr>
              <w:t>t/a</w:t>
            </w:r>
          </w:p>
        </w:tc>
        <w:tc>
          <w:tcPr>
            <w:tcW w:w="1678" w:type="dxa"/>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lang w:val="en-US" w:eastAsia="zh-CN"/>
              </w:rPr>
            </w:pPr>
            <w:r>
              <w:rPr>
                <w:rFonts w:hint="eastAsia" w:ascii="Times New Roman" w:hAnsi="Times New Roman" w:cs="Times New Roman"/>
                <w:snapToGrid w:val="0"/>
                <w:color w:val="000000"/>
                <w:kern w:val="21"/>
                <w:sz w:val="24"/>
                <w:szCs w:val="24"/>
                <w:lang w:val="en-US" w:eastAsia="zh-CN"/>
              </w:rPr>
              <w:t>10.5</w:t>
            </w:r>
            <w:r>
              <w:rPr>
                <w:rFonts w:hint="default" w:ascii="Times New Roman" w:hAnsi="Times New Roman" w:cs="Times New Roman"/>
                <w:snapToGrid w:val="0"/>
                <w:color w:val="000000"/>
                <w:kern w:val="21"/>
                <w:sz w:val="24"/>
                <w:szCs w:val="24"/>
                <w:lang w:val="en-US" w:eastAsia="zh-CN"/>
              </w:rPr>
              <w:t>t/a</w:t>
            </w:r>
          </w:p>
        </w:tc>
        <w:tc>
          <w:tcPr>
            <w:tcW w:w="1342" w:type="dxa"/>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lang w:val="en-US" w:eastAsia="zh-CN"/>
              </w:rPr>
            </w:pPr>
            <w:r>
              <w:rPr>
                <w:rFonts w:hint="default" w:ascii="Times New Roman" w:hAnsi="Times New Roman" w:cs="Times New Roman"/>
                <w:snapToGrid w:val="0"/>
                <w:color w:val="000000"/>
                <w:kern w:val="21"/>
                <w:sz w:val="24"/>
                <w:szCs w:val="24"/>
                <w:lang w:val="en-US" w:eastAsia="zh-CN"/>
              </w:rPr>
              <w:t>+</w:t>
            </w:r>
            <w:r>
              <w:rPr>
                <w:rFonts w:hint="eastAsia" w:ascii="Times New Roman" w:hAnsi="Times New Roman" w:cs="Times New Roman"/>
                <w:snapToGrid w:val="0"/>
                <w:color w:val="000000"/>
                <w:kern w:val="21"/>
                <w:sz w:val="24"/>
                <w:szCs w:val="24"/>
                <w:lang w:val="en-US" w:eastAsia="zh-CN"/>
              </w:rPr>
              <w:t>6.2</w:t>
            </w:r>
            <w:r>
              <w:rPr>
                <w:rFonts w:hint="default" w:ascii="Times New Roman" w:hAnsi="Times New Roman" w:cs="Times New Roman"/>
                <w:snapToGrid w:val="0"/>
                <w:color w:val="000000"/>
                <w:kern w:val="21"/>
                <w:sz w:val="24"/>
                <w:szCs w:val="24"/>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rPr>
            </w:pPr>
          </w:p>
        </w:tc>
        <w:tc>
          <w:tcPr>
            <w:tcW w:w="1417" w:type="dxa"/>
            <w:noWrap w:val="0"/>
            <w:vAlign w:val="center"/>
          </w:tcPr>
          <w:p>
            <w:pPr>
              <w:pStyle w:val="37"/>
              <w:rPr>
                <w:rFonts w:hint="default" w:ascii="Times New Roman" w:hAnsi="Times New Roman" w:eastAsia="宋体" w:cs="Times New Roman"/>
                <w:color w:val="000000"/>
                <w:sz w:val="24"/>
                <w:szCs w:val="24"/>
                <w:lang w:val="en-US" w:eastAsia="zh-CN" w:bidi="ar-SA"/>
              </w:rPr>
            </w:pPr>
            <w:r>
              <w:rPr>
                <w:rFonts w:hint="default" w:ascii="Times New Roman" w:hAnsi="Times New Roman" w:cs="Times New Roman"/>
                <w:color w:val="000000"/>
                <w:sz w:val="24"/>
                <w:szCs w:val="24"/>
                <w:lang w:val="en-US" w:eastAsia="zh-CN"/>
              </w:rPr>
              <w:t>干化污泥</w:t>
            </w:r>
          </w:p>
        </w:tc>
        <w:tc>
          <w:tcPr>
            <w:tcW w:w="1701" w:type="dxa"/>
            <w:noWrap w:val="0"/>
            <w:vAlign w:val="center"/>
          </w:tcPr>
          <w:p>
            <w:pPr>
              <w:pStyle w:val="53"/>
              <w:spacing w:beforeLines="0" w:afterLines="0" w:line="240" w:lineRule="auto"/>
              <w:ind w:firstLine="0" w:firstLineChars="0"/>
              <w:rPr>
                <w:rFonts w:hint="default" w:ascii="Times New Roman" w:hAnsi="Times New Roman" w:eastAsia="宋体" w:cs="Times New Roman"/>
                <w:snapToGrid w:val="0"/>
                <w:color w:val="000000"/>
                <w:kern w:val="21"/>
                <w:sz w:val="24"/>
                <w:szCs w:val="24"/>
                <w:lang w:val="en-US" w:eastAsia="zh-CN"/>
              </w:rPr>
            </w:pPr>
            <w:r>
              <w:rPr>
                <w:rFonts w:hint="default" w:ascii="Times New Roman" w:hAnsi="Times New Roman" w:cs="Times New Roman"/>
                <w:snapToGrid w:val="0"/>
                <w:color w:val="000000"/>
                <w:kern w:val="21"/>
                <w:sz w:val="24"/>
                <w:szCs w:val="24"/>
                <w:lang w:val="en-US" w:eastAsia="zh-CN"/>
              </w:rPr>
              <w:t>550t/a</w:t>
            </w:r>
          </w:p>
        </w:tc>
        <w:tc>
          <w:tcPr>
            <w:tcW w:w="1276" w:type="dxa"/>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rPr>
            </w:pPr>
          </w:p>
        </w:tc>
        <w:tc>
          <w:tcPr>
            <w:tcW w:w="1701" w:type="dxa"/>
            <w:noWrap w:val="0"/>
            <w:vAlign w:val="center"/>
          </w:tcPr>
          <w:p>
            <w:pPr>
              <w:pStyle w:val="37"/>
              <w:spacing w:beforeLines="0" w:afterLines="0"/>
              <w:rPr>
                <w:rFonts w:hint="default" w:ascii="Times New Roman" w:hAnsi="Times New Roman" w:cs="Times New Roman"/>
                <w:snapToGrid w:val="0"/>
                <w:color w:val="000000"/>
                <w:kern w:val="21"/>
                <w:sz w:val="24"/>
                <w:szCs w:val="24"/>
              </w:rPr>
            </w:pPr>
          </w:p>
        </w:tc>
        <w:tc>
          <w:tcPr>
            <w:tcW w:w="1559" w:type="dxa"/>
            <w:noWrap w:val="0"/>
            <w:vAlign w:val="center"/>
          </w:tcPr>
          <w:p>
            <w:pPr>
              <w:pStyle w:val="53"/>
              <w:spacing w:beforeLines="0" w:afterLines="0" w:line="240" w:lineRule="auto"/>
              <w:ind w:firstLine="0" w:firstLineChars="0"/>
              <w:rPr>
                <w:rFonts w:hint="default" w:ascii="Times New Roman" w:hAnsi="Times New Roman" w:eastAsia="宋体" w:cs="Times New Roman"/>
                <w:color w:val="auto"/>
                <w:sz w:val="24"/>
                <w:szCs w:val="24"/>
                <w:u w:val="none"/>
                <w:lang w:val="en-US" w:eastAsia="zh-CN" w:bidi="ar-SA"/>
              </w:rPr>
            </w:pPr>
            <w:r>
              <w:rPr>
                <w:rFonts w:hint="default" w:ascii="Times New Roman" w:hAnsi="Times New Roman" w:cs="Times New Roman"/>
                <w:snapToGrid w:val="0"/>
                <w:color w:val="000000"/>
                <w:kern w:val="21"/>
                <w:sz w:val="24"/>
                <w:szCs w:val="24"/>
                <w:lang w:val="en-US" w:eastAsia="zh-CN"/>
              </w:rPr>
              <w:t>985.5t/a</w:t>
            </w:r>
          </w:p>
        </w:tc>
        <w:tc>
          <w:tcPr>
            <w:tcW w:w="1526" w:type="dxa"/>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lang w:val="en-US" w:eastAsia="zh-CN"/>
              </w:rPr>
              <w:t>550t/a</w:t>
            </w:r>
          </w:p>
        </w:tc>
        <w:tc>
          <w:tcPr>
            <w:tcW w:w="1678" w:type="dxa"/>
            <w:noWrap w:val="0"/>
            <w:vAlign w:val="center"/>
          </w:tcPr>
          <w:p>
            <w:pPr>
              <w:pStyle w:val="53"/>
              <w:spacing w:beforeLines="0" w:afterLines="0" w:line="240" w:lineRule="auto"/>
              <w:ind w:firstLine="0" w:firstLineChars="0"/>
              <w:rPr>
                <w:rFonts w:hint="default" w:ascii="Times New Roman" w:hAnsi="Times New Roman" w:eastAsia="宋体" w:cs="Times New Roman"/>
                <w:snapToGrid w:val="0"/>
                <w:color w:val="000000"/>
                <w:kern w:val="21"/>
                <w:sz w:val="24"/>
                <w:szCs w:val="24"/>
                <w:lang w:val="en-US" w:eastAsia="zh-CN"/>
              </w:rPr>
            </w:pPr>
            <w:r>
              <w:rPr>
                <w:rFonts w:hint="default" w:ascii="Times New Roman" w:hAnsi="Times New Roman" w:cs="Times New Roman"/>
                <w:snapToGrid w:val="0"/>
                <w:color w:val="000000"/>
                <w:kern w:val="21"/>
                <w:sz w:val="24"/>
                <w:szCs w:val="24"/>
                <w:lang w:val="en-US" w:eastAsia="zh-CN"/>
              </w:rPr>
              <w:t>985.5t/a</w:t>
            </w:r>
          </w:p>
        </w:tc>
        <w:tc>
          <w:tcPr>
            <w:tcW w:w="1342" w:type="dxa"/>
            <w:noWrap w:val="0"/>
            <w:vAlign w:val="center"/>
          </w:tcPr>
          <w:p>
            <w:pPr>
              <w:pStyle w:val="53"/>
              <w:spacing w:beforeLines="0" w:afterLines="0" w:line="240" w:lineRule="auto"/>
              <w:ind w:firstLine="0" w:firstLineChars="0"/>
              <w:rPr>
                <w:rFonts w:hint="default" w:ascii="Times New Roman" w:hAnsi="Times New Roman" w:eastAsia="宋体" w:cs="Times New Roman"/>
                <w:snapToGrid w:val="0"/>
                <w:color w:val="000000"/>
                <w:kern w:val="21"/>
                <w:sz w:val="24"/>
                <w:szCs w:val="24"/>
                <w:lang w:val="en-US" w:eastAsia="zh-CN"/>
              </w:rPr>
            </w:pPr>
            <w:r>
              <w:rPr>
                <w:rFonts w:hint="default" w:ascii="Times New Roman" w:hAnsi="Times New Roman" w:cs="Times New Roman"/>
                <w:snapToGrid w:val="0"/>
                <w:color w:val="000000"/>
                <w:kern w:val="21"/>
                <w:sz w:val="24"/>
                <w:szCs w:val="24"/>
                <w:lang w:val="en-US" w:eastAsia="zh-CN"/>
              </w:rPr>
              <w:t>+435.5t/a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rPr>
            </w:pPr>
          </w:p>
        </w:tc>
        <w:tc>
          <w:tcPr>
            <w:tcW w:w="1417" w:type="dxa"/>
            <w:noWrap w:val="0"/>
            <w:vAlign w:val="center"/>
          </w:tcPr>
          <w:p>
            <w:pPr>
              <w:pStyle w:val="37"/>
              <w:rPr>
                <w:rFonts w:hint="default" w:ascii="Times New Roman" w:hAnsi="Times New Roman" w:cs="Times New Roman"/>
                <w:color w:val="000000"/>
                <w:sz w:val="24"/>
                <w:szCs w:val="24"/>
                <w:lang w:val="en-US" w:eastAsia="zh-CN"/>
              </w:rPr>
            </w:pPr>
            <w:r>
              <w:rPr>
                <w:rFonts w:hint="eastAsia" w:ascii="Times New Roman" w:hAnsi="Times New Roman" w:cs="Times New Roman"/>
                <w:color w:val="000000"/>
                <w:sz w:val="24"/>
                <w:szCs w:val="24"/>
                <w:lang w:val="en-US" w:eastAsia="zh-CN"/>
              </w:rPr>
              <w:t>废活性炭</w:t>
            </w:r>
          </w:p>
        </w:tc>
        <w:tc>
          <w:tcPr>
            <w:tcW w:w="1701" w:type="dxa"/>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lang w:val="en-US" w:eastAsia="zh-CN"/>
              </w:rPr>
            </w:pPr>
            <w:r>
              <w:rPr>
                <w:rFonts w:hint="eastAsia" w:ascii="Times New Roman" w:hAnsi="Times New Roman" w:cs="Times New Roman"/>
                <w:snapToGrid w:val="0"/>
                <w:color w:val="000000"/>
                <w:kern w:val="21"/>
                <w:sz w:val="24"/>
                <w:szCs w:val="24"/>
                <w:lang w:val="en-US" w:eastAsia="zh-CN"/>
              </w:rPr>
              <w:t>4.2</w:t>
            </w:r>
            <w:r>
              <w:rPr>
                <w:rFonts w:hint="default" w:ascii="Times New Roman" w:hAnsi="Times New Roman" w:cs="Times New Roman"/>
                <w:snapToGrid w:val="0"/>
                <w:color w:val="000000"/>
                <w:kern w:val="21"/>
                <w:sz w:val="24"/>
                <w:szCs w:val="24"/>
                <w:lang w:val="en-US" w:eastAsia="zh-CN"/>
              </w:rPr>
              <w:t>t/a</w:t>
            </w:r>
          </w:p>
        </w:tc>
        <w:tc>
          <w:tcPr>
            <w:tcW w:w="1276" w:type="dxa"/>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rPr>
            </w:pPr>
          </w:p>
        </w:tc>
        <w:tc>
          <w:tcPr>
            <w:tcW w:w="1701" w:type="dxa"/>
            <w:noWrap w:val="0"/>
            <w:vAlign w:val="center"/>
          </w:tcPr>
          <w:p>
            <w:pPr>
              <w:pStyle w:val="37"/>
              <w:spacing w:beforeLines="0" w:afterLines="0"/>
              <w:rPr>
                <w:rFonts w:hint="default" w:ascii="Times New Roman" w:hAnsi="Times New Roman" w:cs="Times New Roman"/>
                <w:snapToGrid w:val="0"/>
                <w:color w:val="000000"/>
                <w:kern w:val="21"/>
                <w:sz w:val="24"/>
                <w:szCs w:val="24"/>
              </w:rPr>
            </w:pPr>
          </w:p>
        </w:tc>
        <w:tc>
          <w:tcPr>
            <w:tcW w:w="1559" w:type="dxa"/>
            <w:noWrap w:val="0"/>
            <w:vAlign w:val="center"/>
          </w:tcPr>
          <w:p>
            <w:pPr>
              <w:pStyle w:val="53"/>
              <w:spacing w:beforeLines="0" w:afterLines="0" w:line="240" w:lineRule="auto"/>
              <w:ind w:firstLine="0" w:firstLineChars="0"/>
              <w:rPr>
                <w:rFonts w:hint="default" w:ascii="Times New Roman" w:hAnsi="Times New Roman" w:cs="Times New Roman"/>
                <w:color w:val="auto"/>
                <w:sz w:val="24"/>
                <w:szCs w:val="24"/>
                <w:u w:val="none"/>
                <w:lang w:val="en-US" w:eastAsia="zh-CN"/>
              </w:rPr>
            </w:pPr>
            <w:r>
              <w:rPr>
                <w:rFonts w:hint="eastAsia" w:ascii="Times New Roman" w:hAnsi="Times New Roman" w:cs="Times New Roman"/>
                <w:snapToGrid w:val="0"/>
                <w:color w:val="000000"/>
                <w:kern w:val="21"/>
                <w:sz w:val="24"/>
                <w:szCs w:val="24"/>
                <w:lang w:val="en-US" w:eastAsia="zh-CN"/>
              </w:rPr>
              <w:t>10.8</w:t>
            </w:r>
            <w:r>
              <w:rPr>
                <w:rFonts w:hint="default" w:ascii="Times New Roman" w:hAnsi="Times New Roman" w:cs="Times New Roman"/>
                <w:snapToGrid w:val="0"/>
                <w:color w:val="000000"/>
                <w:kern w:val="21"/>
                <w:sz w:val="24"/>
                <w:szCs w:val="24"/>
                <w:lang w:val="en-US" w:eastAsia="zh-CN"/>
              </w:rPr>
              <w:t>t/a</w:t>
            </w:r>
          </w:p>
        </w:tc>
        <w:tc>
          <w:tcPr>
            <w:tcW w:w="1526" w:type="dxa"/>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rPr>
            </w:pPr>
            <w:r>
              <w:rPr>
                <w:rFonts w:hint="eastAsia" w:ascii="Times New Roman" w:hAnsi="Times New Roman" w:cs="Times New Roman"/>
                <w:snapToGrid w:val="0"/>
                <w:color w:val="000000"/>
                <w:kern w:val="21"/>
                <w:sz w:val="24"/>
                <w:szCs w:val="24"/>
                <w:lang w:val="en-US" w:eastAsia="zh-CN"/>
              </w:rPr>
              <w:t>4.2</w:t>
            </w:r>
            <w:r>
              <w:rPr>
                <w:rFonts w:hint="default" w:ascii="Times New Roman" w:hAnsi="Times New Roman" w:cs="Times New Roman"/>
                <w:snapToGrid w:val="0"/>
                <w:color w:val="000000"/>
                <w:kern w:val="21"/>
                <w:sz w:val="24"/>
                <w:szCs w:val="24"/>
                <w:lang w:val="en-US" w:eastAsia="zh-CN"/>
              </w:rPr>
              <w:t>t/a</w:t>
            </w:r>
          </w:p>
        </w:tc>
        <w:tc>
          <w:tcPr>
            <w:tcW w:w="1678" w:type="dxa"/>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lang w:val="en-US" w:eastAsia="zh-CN"/>
              </w:rPr>
            </w:pPr>
            <w:r>
              <w:rPr>
                <w:rFonts w:hint="eastAsia" w:ascii="Times New Roman" w:hAnsi="Times New Roman" w:cs="Times New Roman"/>
                <w:snapToGrid w:val="0"/>
                <w:color w:val="000000"/>
                <w:kern w:val="21"/>
                <w:sz w:val="24"/>
                <w:szCs w:val="24"/>
                <w:lang w:val="en-US" w:eastAsia="zh-CN"/>
              </w:rPr>
              <w:t>10.8</w:t>
            </w:r>
            <w:r>
              <w:rPr>
                <w:rFonts w:hint="default" w:ascii="Times New Roman" w:hAnsi="Times New Roman" w:cs="Times New Roman"/>
                <w:snapToGrid w:val="0"/>
                <w:color w:val="000000"/>
                <w:kern w:val="21"/>
                <w:sz w:val="24"/>
                <w:szCs w:val="24"/>
                <w:lang w:val="en-US" w:eastAsia="zh-CN"/>
              </w:rPr>
              <w:t>t/a</w:t>
            </w:r>
          </w:p>
        </w:tc>
        <w:tc>
          <w:tcPr>
            <w:tcW w:w="1342" w:type="dxa"/>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lang w:val="en-US" w:eastAsia="zh-CN"/>
              </w:rPr>
            </w:pPr>
            <w:r>
              <w:rPr>
                <w:rFonts w:hint="eastAsia" w:ascii="Times New Roman" w:hAnsi="Times New Roman" w:cs="Times New Roman"/>
                <w:snapToGrid w:val="0"/>
                <w:color w:val="000000"/>
                <w:kern w:val="21"/>
                <w:sz w:val="24"/>
                <w:szCs w:val="24"/>
                <w:lang w:val="en-US" w:eastAsia="zh-CN"/>
              </w:rPr>
              <w:t>+6.6</w:t>
            </w:r>
            <w:r>
              <w:rPr>
                <w:rFonts w:hint="default" w:ascii="Times New Roman" w:hAnsi="Times New Roman" w:cs="Times New Roman"/>
                <w:snapToGrid w:val="0"/>
                <w:color w:val="000000"/>
                <w:kern w:val="21"/>
                <w:sz w:val="24"/>
                <w:szCs w:val="24"/>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rPr>
            </w:pPr>
          </w:p>
        </w:tc>
        <w:tc>
          <w:tcPr>
            <w:tcW w:w="1417" w:type="dxa"/>
            <w:noWrap w:val="0"/>
            <w:vAlign w:val="center"/>
          </w:tcPr>
          <w:p>
            <w:pPr>
              <w:pStyle w:val="37"/>
              <w:rPr>
                <w:rFonts w:hint="default" w:ascii="Times New Roman" w:hAnsi="Times New Roman" w:cs="Times New Roman"/>
                <w:color w:val="000000"/>
                <w:sz w:val="24"/>
                <w:szCs w:val="24"/>
                <w:lang w:val="en-US" w:eastAsia="zh-CN"/>
              </w:rPr>
            </w:pPr>
            <w:r>
              <w:rPr>
                <w:rFonts w:hint="eastAsia" w:ascii="Times New Roman" w:hAnsi="Times New Roman" w:cs="Times New Roman"/>
                <w:color w:val="000000"/>
                <w:sz w:val="24"/>
                <w:szCs w:val="24"/>
                <w:lang w:val="en-US" w:eastAsia="zh-CN"/>
              </w:rPr>
              <w:t>废石英砂</w:t>
            </w:r>
          </w:p>
        </w:tc>
        <w:tc>
          <w:tcPr>
            <w:tcW w:w="1701" w:type="dxa"/>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lang w:val="en-US" w:eastAsia="zh-CN"/>
              </w:rPr>
            </w:pPr>
            <w:r>
              <w:rPr>
                <w:rFonts w:hint="eastAsia" w:ascii="Times New Roman" w:hAnsi="Times New Roman" w:cs="Times New Roman"/>
                <w:snapToGrid w:val="0"/>
                <w:color w:val="000000"/>
                <w:kern w:val="21"/>
                <w:sz w:val="24"/>
                <w:szCs w:val="24"/>
                <w:lang w:val="en-US" w:eastAsia="zh-CN"/>
              </w:rPr>
              <w:t>40</w:t>
            </w:r>
            <w:r>
              <w:rPr>
                <w:rFonts w:hint="default" w:ascii="Times New Roman" w:hAnsi="Times New Roman" w:cs="Times New Roman"/>
                <w:snapToGrid w:val="0"/>
                <w:color w:val="000000"/>
                <w:kern w:val="21"/>
                <w:sz w:val="24"/>
                <w:szCs w:val="24"/>
                <w:lang w:val="en-US" w:eastAsia="zh-CN"/>
              </w:rPr>
              <w:t>t/a</w:t>
            </w:r>
          </w:p>
        </w:tc>
        <w:tc>
          <w:tcPr>
            <w:tcW w:w="1276" w:type="dxa"/>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rPr>
            </w:pPr>
          </w:p>
        </w:tc>
        <w:tc>
          <w:tcPr>
            <w:tcW w:w="1701" w:type="dxa"/>
            <w:noWrap w:val="0"/>
            <w:vAlign w:val="center"/>
          </w:tcPr>
          <w:p>
            <w:pPr>
              <w:pStyle w:val="37"/>
              <w:spacing w:beforeLines="0" w:afterLines="0"/>
              <w:rPr>
                <w:rFonts w:hint="default" w:ascii="Times New Roman" w:hAnsi="Times New Roman" w:cs="Times New Roman"/>
                <w:snapToGrid w:val="0"/>
                <w:color w:val="000000"/>
                <w:kern w:val="21"/>
                <w:sz w:val="24"/>
                <w:szCs w:val="24"/>
              </w:rPr>
            </w:pPr>
          </w:p>
        </w:tc>
        <w:tc>
          <w:tcPr>
            <w:tcW w:w="1559" w:type="dxa"/>
            <w:noWrap w:val="0"/>
            <w:vAlign w:val="center"/>
          </w:tcPr>
          <w:p>
            <w:pPr>
              <w:pStyle w:val="53"/>
              <w:spacing w:beforeLines="0" w:afterLines="0" w:line="240" w:lineRule="auto"/>
              <w:ind w:firstLine="0" w:firstLineChars="0"/>
              <w:rPr>
                <w:rFonts w:hint="default" w:ascii="Times New Roman" w:hAnsi="Times New Roman" w:cs="Times New Roman"/>
                <w:color w:val="auto"/>
                <w:sz w:val="24"/>
                <w:szCs w:val="24"/>
                <w:u w:val="none"/>
                <w:lang w:val="en-US" w:eastAsia="zh-CN"/>
              </w:rPr>
            </w:pPr>
            <w:r>
              <w:rPr>
                <w:rFonts w:hint="eastAsia" w:ascii="Times New Roman" w:hAnsi="Times New Roman" w:cs="Times New Roman"/>
                <w:color w:val="auto"/>
                <w:sz w:val="24"/>
                <w:szCs w:val="24"/>
                <w:u w:val="none"/>
                <w:lang w:val="en-US" w:eastAsia="zh-CN"/>
              </w:rPr>
              <w:t>111</w:t>
            </w:r>
            <w:r>
              <w:rPr>
                <w:rFonts w:hint="default" w:ascii="Times New Roman" w:hAnsi="Times New Roman" w:cs="Times New Roman"/>
                <w:snapToGrid w:val="0"/>
                <w:color w:val="000000"/>
                <w:kern w:val="21"/>
                <w:sz w:val="24"/>
                <w:szCs w:val="24"/>
                <w:lang w:val="en-US" w:eastAsia="zh-CN"/>
              </w:rPr>
              <w:t>t/a</w:t>
            </w:r>
          </w:p>
        </w:tc>
        <w:tc>
          <w:tcPr>
            <w:tcW w:w="1526" w:type="dxa"/>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rPr>
            </w:pPr>
            <w:r>
              <w:rPr>
                <w:rFonts w:hint="eastAsia" w:ascii="Times New Roman" w:hAnsi="Times New Roman" w:cs="Times New Roman"/>
                <w:snapToGrid w:val="0"/>
                <w:color w:val="000000"/>
                <w:kern w:val="21"/>
                <w:sz w:val="24"/>
                <w:szCs w:val="24"/>
                <w:lang w:val="en-US" w:eastAsia="zh-CN"/>
              </w:rPr>
              <w:t>40</w:t>
            </w:r>
            <w:r>
              <w:rPr>
                <w:rFonts w:hint="default" w:ascii="Times New Roman" w:hAnsi="Times New Roman" w:cs="Times New Roman"/>
                <w:snapToGrid w:val="0"/>
                <w:color w:val="000000"/>
                <w:kern w:val="21"/>
                <w:sz w:val="24"/>
                <w:szCs w:val="24"/>
                <w:lang w:val="en-US" w:eastAsia="zh-CN"/>
              </w:rPr>
              <w:t>t/a</w:t>
            </w:r>
          </w:p>
        </w:tc>
        <w:tc>
          <w:tcPr>
            <w:tcW w:w="1678" w:type="dxa"/>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lang w:val="en-US" w:eastAsia="zh-CN"/>
              </w:rPr>
            </w:pPr>
            <w:r>
              <w:rPr>
                <w:rFonts w:hint="eastAsia" w:ascii="Times New Roman" w:hAnsi="Times New Roman" w:cs="Times New Roman"/>
                <w:color w:val="auto"/>
                <w:sz w:val="24"/>
                <w:szCs w:val="24"/>
                <w:u w:val="none"/>
                <w:lang w:val="en-US" w:eastAsia="zh-CN"/>
              </w:rPr>
              <w:t>111</w:t>
            </w:r>
            <w:r>
              <w:rPr>
                <w:rFonts w:hint="default" w:ascii="Times New Roman" w:hAnsi="Times New Roman" w:cs="Times New Roman"/>
                <w:snapToGrid w:val="0"/>
                <w:color w:val="000000"/>
                <w:kern w:val="21"/>
                <w:sz w:val="24"/>
                <w:szCs w:val="24"/>
                <w:lang w:val="en-US" w:eastAsia="zh-CN"/>
              </w:rPr>
              <w:t>t/a</w:t>
            </w:r>
          </w:p>
        </w:tc>
        <w:tc>
          <w:tcPr>
            <w:tcW w:w="1342" w:type="dxa"/>
            <w:noWrap w:val="0"/>
            <w:vAlign w:val="center"/>
          </w:tcPr>
          <w:p>
            <w:pPr>
              <w:pStyle w:val="53"/>
              <w:spacing w:beforeLines="0" w:afterLines="0" w:line="240" w:lineRule="auto"/>
              <w:ind w:firstLine="0" w:firstLineChars="0"/>
              <w:rPr>
                <w:rFonts w:hint="default" w:ascii="Times New Roman" w:hAnsi="Times New Roman" w:cs="Times New Roman"/>
                <w:snapToGrid w:val="0"/>
                <w:color w:val="000000"/>
                <w:kern w:val="21"/>
                <w:sz w:val="24"/>
                <w:szCs w:val="24"/>
                <w:lang w:val="en-US" w:eastAsia="zh-CN"/>
              </w:rPr>
            </w:pPr>
            <w:r>
              <w:rPr>
                <w:rFonts w:hint="eastAsia" w:ascii="Times New Roman" w:hAnsi="Times New Roman" w:cs="Times New Roman"/>
                <w:snapToGrid w:val="0"/>
                <w:color w:val="000000"/>
                <w:kern w:val="21"/>
                <w:sz w:val="24"/>
                <w:szCs w:val="24"/>
                <w:lang w:val="en-US" w:eastAsia="zh-CN"/>
              </w:rPr>
              <w:t>+71</w:t>
            </w:r>
            <w:r>
              <w:rPr>
                <w:rFonts w:hint="default" w:ascii="Times New Roman" w:hAnsi="Times New Roman" w:cs="Times New Roman"/>
                <w:snapToGrid w:val="0"/>
                <w:color w:val="000000"/>
                <w:kern w:val="21"/>
                <w:sz w:val="24"/>
                <w:szCs w:val="24"/>
                <w:lang w:val="en-US" w:eastAsia="zh-CN"/>
              </w:rPr>
              <w:t>t/a</w:t>
            </w:r>
          </w:p>
        </w:tc>
      </w:tr>
    </w:tbl>
    <w:p>
      <w:pPr>
        <w:pStyle w:val="53"/>
        <w:spacing w:before="192" w:beforeLines="80" w:after="24"/>
        <w:jc w:val="left"/>
        <w:rPr>
          <w:rFonts w:hint="eastAsia"/>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sectPr>
      <w:footerReference r:id="rId6" w:type="default"/>
      <w:pgSz w:w="16838" w:h="11906" w:orient="landscape"/>
      <w:pgMar w:top="1531" w:right="1701" w:bottom="1531" w:left="1701" w:header="851" w:footer="850"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Wingdings 2">
    <w:altName w:val="Wingdings"/>
    <w:panose1 w:val="05020102010507070707"/>
    <w:charset w:val="02"/>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DF0221"/>
    <w:multiLevelType w:val="singleLevel"/>
    <w:tmpl w:val="99DF0221"/>
    <w:lvl w:ilvl="0" w:tentative="0">
      <w:start w:val="5"/>
      <w:numFmt w:val="chineseCounting"/>
      <w:suff w:val="nothing"/>
      <w:lvlText w:val="%1、"/>
      <w:lvlJc w:val="left"/>
      <w:rPr>
        <w:rFonts w:hint="eastAsia"/>
      </w:rPr>
    </w:lvl>
  </w:abstractNum>
  <w:abstractNum w:abstractNumId="1">
    <w:nsid w:val="A00FAD46"/>
    <w:multiLevelType w:val="singleLevel"/>
    <w:tmpl w:val="A00FAD46"/>
    <w:lvl w:ilvl="0" w:tentative="0">
      <w:start w:val="1"/>
      <w:numFmt w:val="decimal"/>
      <w:suff w:val="nothing"/>
      <w:lvlText w:val="（%1）"/>
      <w:lvlJc w:val="left"/>
    </w:lvl>
  </w:abstractNum>
  <w:abstractNum w:abstractNumId="2">
    <w:nsid w:val="B9A5531E"/>
    <w:multiLevelType w:val="singleLevel"/>
    <w:tmpl w:val="B9A5531E"/>
    <w:lvl w:ilvl="0" w:tentative="0">
      <w:start w:val="1"/>
      <w:numFmt w:val="decimal"/>
      <w:suff w:val="nothing"/>
      <w:lvlText w:val="（%1）"/>
      <w:lvlJc w:val="left"/>
    </w:lvl>
  </w:abstractNum>
  <w:abstractNum w:abstractNumId="3">
    <w:nsid w:val="C6CAEACF"/>
    <w:multiLevelType w:val="singleLevel"/>
    <w:tmpl w:val="C6CAEACF"/>
    <w:lvl w:ilvl="0" w:tentative="0">
      <w:start w:val="8"/>
      <w:numFmt w:val="decimal"/>
      <w:suff w:val="nothing"/>
      <w:lvlText w:val="%1、"/>
      <w:lvlJc w:val="left"/>
    </w:lvl>
  </w:abstractNum>
  <w:abstractNum w:abstractNumId="4">
    <w:nsid w:val="F4C3FC84"/>
    <w:multiLevelType w:val="singleLevel"/>
    <w:tmpl w:val="F4C3FC84"/>
    <w:lvl w:ilvl="0" w:tentative="0">
      <w:start w:val="3"/>
      <w:numFmt w:val="decimal"/>
      <w:suff w:val="nothing"/>
      <w:lvlText w:val="%1、"/>
      <w:lvlJc w:val="left"/>
      <w:pPr>
        <w:ind w:left="-2"/>
      </w:pPr>
    </w:lvl>
  </w:abstractNum>
  <w:abstractNum w:abstractNumId="5">
    <w:nsid w:val="00000006"/>
    <w:multiLevelType w:val="multilevel"/>
    <w:tmpl w:val="00000006"/>
    <w:lvl w:ilvl="0" w:tentative="0">
      <w:start w:val="1"/>
      <w:numFmt w:val="lowerLetter"/>
      <w:lvlText w:val="%1."/>
      <w:lvlJc w:val="left"/>
      <w:pPr>
        <w:tabs>
          <w:tab w:val="left" w:pos="420"/>
        </w:tabs>
        <w:ind w:left="0" w:firstLine="539"/>
      </w:pPr>
      <w:rPr>
        <w:rFonts w:hint="eastAsia"/>
      </w:rPr>
    </w:lvl>
    <w:lvl w:ilvl="1" w:tentative="0">
      <w:start w:val="1"/>
      <w:numFmt w:val="lowerLetter"/>
      <w:lvlText w:val="%2)"/>
      <w:lvlJc w:val="left"/>
      <w:pPr>
        <w:tabs>
          <w:tab w:val="left" w:pos="840"/>
        </w:tabs>
        <w:ind w:left="840" w:hanging="420"/>
      </w:pPr>
    </w:lvl>
    <w:lvl w:ilvl="2" w:tentative="0">
      <w:start w:val="1"/>
      <w:numFmt w:val="lowerRoman"/>
      <w:pStyle w:val="41"/>
      <w:lvlText w:val="%3."/>
      <w:lvlJc w:val="right"/>
      <w:pPr>
        <w:tabs>
          <w:tab w:val="left" w:pos="1260"/>
        </w:tabs>
        <w:ind w:left="1260" w:hanging="420"/>
      </w:pPr>
    </w:lvl>
    <w:lvl w:ilvl="3" w:tentative="0">
      <w:start w:val="1"/>
      <w:numFmt w:val="decimal"/>
      <w:pStyle w:val="40"/>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647E071"/>
    <w:multiLevelType w:val="singleLevel"/>
    <w:tmpl w:val="0647E071"/>
    <w:lvl w:ilvl="0" w:tentative="0">
      <w:start w:val="5"/>
      <w:numFmt w:val="decimal"/>
      <w:suff w:val="nothing"/>
      <w:lvlText w:val="（%1）"/>
      <w:lvlJc w:val="left"/>
    </w:lvl>
  </w:abstractNum>
  <w:abstractNum w:abstractNumId="7">
    <w:nsid w:val="0F4F9F4C"/>
    <w:multiLevelType w:val="singleLevel"/>
    <w:tmpl w:val="0F4F9F4C"/>
    <w:lvl w:ilvl="0" w:tentative="0">
      <w:start w:val="2"/>
      <w:numFmt w:val="decimal"/>
      <w:suff w:val="nothing"/>
      <w:lvlText w:val="（%1）"/>
      <w:lvlJc w:val="left"/>
    </w:lvl>
  </w:abstractNum>
  <w:abstractNum w:abstractNumId="8">
    <w:nsid w:val="269C72D3"/>
    <w:multiLevelType w:val="singleLevel"/>
    <w:tmpl w:val="269C72D3"/>
    <w:lvl w:ilvl="0" w:tentative="0">
      <w:start w:val="1"/>
      <w:numFmt w:val="decimal"/>
      <w:suff w:val="nothing"/>
      <w:lvlText w:val="%1、"/>
      <w:lvlJc w:val="left"/>
    </w:lvl>
  </w:abstractNum>
  <w:abstractNum w:abstractNumId="9">
    <w:nsid w:val="28560B2B"/>
    <w:multiLevelType w:val="singleLevel"/>
    <w:tmpl w:val="28560B2B"/>
    <w:lvl w:ilvl="0" w:tentative="0">
      <w:start w:val="5"/>
      <w:numFmt w:val="decimal"/>
      <w:suff w:val="nothing"/>
      <w:lvlText w:val="%1、"/>
      <w:lvlJc w:val="left"/>
    </w:lvl>
  </w:abstractNum>
  <w:abstractNum w:abstractNumId="10">
    <w:nsid w:val="43C74BD8"/>
    <w:multiLevelType w:val="singleLevel"/>
    <w:tmpl w:val="43C74BD8"/>
    <w:lvl w:ilvl="0" w:tentative="0">
      <w:start w:val="3"/>
      <w:numFmt w:val="decimal"/>
      <w:suff w:val="nothing"/>
      <w:lvlText w:val="%1、"/>
      <w:lvlJc w:val="left"/>
    </w:lvl>
  </w:abstractNum>
  <w:abstractNum w:abstractNumId="11">
    <w:nsid w:val="740FD8E2"/>
    <w:multiLevelType w:val="singleLevel"/>
    <w:tmpl w:val="740FD8E2"/>
    <w:lvl w:ilvl="0" w:tentative="0">
      <w:start w:val="9"/>
      <w:numFmt w:val="decimal"/>
      <w:suff w:val="nothing"/>
      <w:lvlText w:val="%1、"/>
      <w:lvlJc w:val="left"/>
    </w:lvl>
  </w:abstractNum>
  <w:num w:numId="1">
    <w:abstractNumId w:val="5"/>
  </w:num>
  <w:num w:numId="2">
    <w:abstractNumId w:val="4"/>
  </w:num>
  <w:num w:numId="3">
    <w:abstractNumId w:val="11"/>
  </w:num>
  <w:num w:numId="4">
    <w:abstractNumId w:val="1"/>
  </w:num>
  <w:num w:numId="5">
    <w:abstractNumId w:val="9"/>
  </w:num>
  <w:num w:numId="6">
    <w:abstractNumId w:val="7"/>
  </w:num>
  <w:num w:numId="7">
    <w:abstractNumId w:val="8"/>
  </w:num>
  <w:num w:numId="8">
    <w:abstractNumId w:val="3"/>
  </w:num>
  <w:num w:numId="9">
    <w:abstractNumId w:val="0"/>
  </w:num>
  <w:num w:numId="10">
    <w:abstractNumId w:val="2"/>
  </w:num>
  <w:num w:numId="11">
    <w:abstractNumId w:val="6"/>
  </w:num>
  <w:num w:numId="12">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乐为">
    <w15:presenceInfo w15:providerId="WPS Office" w15:userId="27593603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FjZGM1NDM2ZjFmODEyNDc0MzBiYmQxZDY2MDM2ZTgifQ=="/>
  </w:docVars>
  <w:rsids>
    <w:rsidRoot w:val="00A14947"/>
    <w:rsid w:val="000060B3"/>
    <w:rsid w:val="0004000F"/>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B5911"/>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A46"/>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47DBD"/>
    <w:rsid w:val="0075162E"/>
    <w:rsid w:val="00754034"/>
    <w:rsid w:val="00756556"/>
    <w:rsid w:val="007618C4"/>
    <w:rsid w:val="00767980"/>
    <w:rsid w:val="00770B19"/>
    <w:rsid w:val="0077463F"/>
    <w:rsid w:val="007836EA"/>
    <w:rsid w:val="00784C33"/>
    <w:rsid w:val="00784CDA"/>
    <w:rsid w:val="007906C4"/>
    <w:rsid w:val="007940EA"/>
    <w:rsid w:val="007967E8"/>
    <w:rsid w:val="007A2170"/>
    <w:rsid w:val="007A22BF"/>
    <w:rsid w:val="007A3323"/>
    <w:rsid w:val="007B72B8"/>
    <w:rsid w:val="007B7A58"/>
    <w:rsid w:val="007C21B5"/>
    <w:rsid w:val="007E0C67"/>
    <w:rsid w:val="007E3C5B"/>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65FA9"/>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65FDC"/>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E01EC"/>
    <w:rsid w:val="00DE69FC"/>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150FD3"/>
    <w:rsid w:val="01290F7E"/>
    <w:rsid w:val="01292F31"/>
    <w:rsid w:val="015664AE"/>
    <w:rsid w:val="015D1E09"/>
    <w:rsid w:val="018E34AF"/>
    <w:rsid w:val="01B46A26"/>
    <w:rsid w:val="01D33ED8"/>
    <w:rsid w:val="01DD3C4D"/>
    <w:rsid w:val="02313F99"/>
    <w:rsid w:val="02345FC2"/>
    <w:rsid w:val="02697903"/>
    <w:rsid w:val="02A824AD"/>
    <w:rsid w:val="02B31BC7"/>
    <w:rsid w:val="02B413C2"/>
    <w:rsid w:val="02F96569"/>
    <w:rsid w:val="03230742"/>
    <w:rsid w:val="033B4AE2"/>
    <w:rsid w:val="033C56F4"/>
    <w:rsid w:val="035241C7"/>
    <w:rsid w:val="037762BF"/>
    <w:rsid w:val="03802B2C"/>
    <w:rsid w:val="039D2A05"/>
    <w:rsid w:val="03CA6421"/>
    <w:rsid w:val="03DB0660"/>
    <w:rsid w:val="03EA7B21"/>
    <w:rsid w:val="041A3685"/>
    <w:rsid w:val="045D7C47"/>
    <w:rsid w:val="04804A47"/>
    <w:rsid w:val="04B05649"/>
    <w:rsid w:val="04B41229"/>
    <w:rsid w:val="04BE638A"/>
    <w:rsid w:val="04D95313"/>
    <w:rsid w:val="05047743"/>
    <w:rsid w:val="05104339"/>
    <w:rsid w:val="05113D6B"/>
    <w:rsid w:val="05151950"/>
    <w:rsid w:val="05186950"/>
    <w:rsid w:val="051C683A"/>
    <w:rsid w:val="05233C7D"/>
    <w:rsid w:val="0523406D"/>
    <w:rsid w:val="054E3F8E"/>
    <w:rsid w:val="05812316"/>
    <w:rsid w:val="05BA091C"/>
    <w:rsid w:val="05C14037"/>
    <w:rsid w:val="05E04876"/>
    <w:rsid w:val="05E86C6D"/>
    <w:rsid w:val="05EC260F"/>
    <w:rsid w:val="05F83EAE"/>
    <w:rsid w:val="06112117"/>
    <w:rsid w:val="06175254"/>
    <w:rsid w:val="062E5A35"/>
    <w:rsid w:val="063E7D85"/>
    <w:rsid w:val="06624721"/>
    <w:rsid w:val="068065EE"/>
    <w:rsid w:val="068467DD"/>
    <w:rsid w:val="06936FD0"/>
    <w:rsid w:val="06D06BFD"/>
    <w:rsid w:val="06D3561E"/>
    <w:rsid w:val="06DE00A0"/>
    <w:rsid w:val="07045864"/>
    <w:rsid w:val="070954E4"/>
    <w:rsid w:val="07131EBF"/>
    <w:rsid w:val="0715177D"/>
    <w:rsid w:val="0728596A"/>
    <w:rsid w:val="07293586"/>
    <w:rsid w:val="07295285"/>
    <w:rsid w:val="073C2791"/>
    <w:rsid w:val="074D717F"/>
    <w:rsid w:val="07531186"/>
    <w:rsid w:val="075E313A"/>
    <w:rsid w:val="07615DE5"/>
    <w:rsid w:val="07636392"/>
    <w:rsid w:val="07770C56"/>
    <w:rsid w:val="077F3226"/>
    <w:rsid w:val="07A753D1"/>
    <w:rsid w:val="07B01790"/>
    <w:rsid w:val="07CD04BB"/>
    <w:rsid w:val="07ED7F10"/>
    <w:rsid w:val="081C6607"/>
    <w:rsid w:val="08234384"/>
    <w:rsid w:val="084E7652"/>
    <w:rsid w:val="08510EF1"/>
    <w:rsid w:val="08816D67"/>
    <w:rsid w:val="08CE2541"/>
    <w:rsid w:val="09022FF7"/>
    <w:rsid w:val="091D1631"/>
    <w:rsid w:val="092217DD"/>
    <w:rsid w:val="093A7294"/>
    <w:rsid w:val="09542264"/>
    <w:rsid w:val="095548E1"/>
    <w:rsid w:val="09976DD7"/>
    <w:rsid w:val="09AE1AE8"/>
    <w:rsid w:val="09B03419"/>
    <w:rsid w:val="09CC6F86"/>
    <w:rsid w:val="09E833F8"/>
    <w:rsid w:val="0A081A83"/>
    <w:rsid w:val="0A2368BD"/>
    <w:rsid w:val="0A263993"/>
    <w:rsid w:val="0A2D3AC2"/>
    <w:rsid w:val="0A40299E"/>
    <w:rsid w:val="0A4C1015"/>
    <w:rsid w:val="0A6A4AD8"/>
    <w:rsid w:val="0A7333A0"/>
    <w:rsid w:val="0A7E3AF3"/>
    <w:rsid w:val="0A83110A"/>
    <w:rsid w:val="0A84208E"/>
    <w:rsid w:val="0AA755DF"/>
    <w:rsid w:val="0AB31C94"/>
    <w:rsid w:val="0AC7499C"/>
    <w:rsid w:val="0AE328B8"/>
    <w:rsid w:val="0B120D44"/>
    <w:rsid w:val="0B1A718D"/>
    <w:rsid w:val="0B1D330C"/>
    <w:rsid w:val="0B332B30"/>
    <w:rsid w:val="0B3352DB"/>
    <w:rsid w:val="0B342C64"/>
    <w:rsid w:val="0B40169E"/>
    <w:rsid w:val="0B722D68"/>
    <w:rsid w:val="0B8F7A0B"/>
    <w:rsid w:val="0BB37179"/>
    <w:rsid w:val="0BD27BF6"/>
    <w:rsid w:val="0BF7590B"/>
    <w:rsid w:val="0C2C3B9B"/>
    <w:rsid w:val="0C3B3C7D"/>
    <w:rsid w:val="0CAB2EAE"/>
    <w:rsid w:val="0CCF25AB"/>
    <w:rsid w:val="0D12090B"/>
    <w:rsid w:val="0D176695"/>
    <w:rsid w:val="0D2C3357"/>
    <w:rsid w:val="0D35493D"/>
    <w:rsid w:val="0D3D6C26"/>
    <w:rsid w:val="0D621C7D"/>
    <w:rsid w:val="0D6B6E48"/>
    <w:rsid w:val="0D773505"/>
    <w:rsid w:val="0D8424E3"/>
    <w:rsid w:val="0D975AEF"/>
    <w:rsid w:val="0D9A44EF"/>
    <w:rsid w:val="0DBC6E0C"/>
    <w:rsid w:val="0DC6436E"/>
    <w:rsid w:val="0E0673B8"/>
    <w:rsid w:val="0E17706F"/>
    <w:rsid w:val="0E4A08BC"/>
    <w:rsid w:val="0E535265"/>
    <w:rsid w:val="0E563901"/>
    <w:rsid w:val="0E5704C1"/>
    <w:rsid w:val="0E73034D"/>
    <w:rsid w:val="0E7616B1"/>
    <w:rsid w:val="0E8917CE"/>
    <w:rsid w:val="0E9C279A"/>
    <w:rsid w:val="0EB074C5"/>
    <w:rsid w:val="0EB4420E"/>
    <w:rsid w:val="0ED12016"/>
    <w:rsid w:val="0EDE7D6C"/>
    <w:rsid w:val="0EF44693"/>
    <w:rsid w:val="0F13775A"/>
    <w:rsid w:val="0F4202EA"/>
    <w:rsid w:val="0F5F45FE"/>
    <w:rsid w:val="0F695FC0"/>
    <w:rsid w:val="0F6A2898"/>
    <w:rsid w:val="0F704352"/>
    <w:rsid w:val="0F7427BA"/>
    <w:rsid w:val="0F9A112B"/>
    <w:rsid w:val="0FC244D8"/>
    <w:rsid w:val="0FD61222"/>
    <w:rsid w:val="0FFA230F"/>
    <w:rsid w:val="10397F75"/>
    <w:rsid w:val="10401F77"/>
    <w:rsid w:val="10430B6E"/>
    <w:rsid w:val="106D2F64"/>
    <w:rsid w:val="10727C56"/>
    <w:rsid w:val="107A24CF"/>
    <w:rsid w:val="107B2FAF"/>
    <w:rsid w:val="108B1F76"/>
    <w:rsid w:val="109212F6"/>
    <w:rsid w:val="10B63710"/>
    <w:rsid w:val="10D601E5"/>
    <w:rsid w:val="10EA0D12"/>
    <w:rsid w:val="10F10820"/>
    <w:rsid w:val="10F7065C"/>
    <w:rsid w:val="10FD4A7F"/>
    <w:rsid w:val="1101791C"/>
    <w:rsid w:val="111667B8"/>
    <w:rsid w:val="111C2F7A"/>
    <w:rsid w:val="112A3E37"/>
    <w:rsid w:val="114B46BF"/>
    <w:rsid w:val="115F0451"/>
    <w:rsid w:val="11647BCC"/>
    <w:rsid w:val="11665CA1"/>
    <w:rsid w:val="116972AB"/>
    <w:rsid w:val="11AA700A"/>
    <w:rsid w:val="11C826A1"/>
    <w:rsid w:val="11E20A98"/>
    <w:rsid w:val="11EB7BC8"/>
    <w:rsid w:val="12044CAA"/>
    <w:rsid w:val="12170AB5"/>
    <w:rsid w:val="1225609F"/>
    <w:rsid w:val="122907E8"/>
    <w:rsid w:val="12751C80"/>
    <w:rsid w:val="129A1EB9"/>
    <w:rsid w:val="12A2286F"/>
    <w:rsid w:val="12D9250C"/>
    <w:rsid w:val="12EB04AB"/>
    <w:rsid w:val="12ED7A68"/>
    <w:rsid w:val="131124A4"/>
    <w:rsid w:val="132D681A"/>
    <w:rsid w:val="133E2072"/>
    <w:rsid w:val="13521009"/>
    <w:rsid w:val="135734B8"/>
    <w:rsid w:val="13951726"/>
    <w:rsid w:val="13A445CA"/>
    <w:rsid w:val="13B04EA5"/>
    <w:rsid w:val="13BB0EC9"/>
    <w:rsid w:val="14396509"/>
    <w:rsid w:val="14535FF1"/>
    <w:rsid w:val="14655660"/>
    <w:rsid w:val="14AD7585"/>
    <w:rsid w:val="14B2390D"/>
    <w:rsid w:val="14C24112"/>
    <w:rsid w:val="14D07641"/>
    <w:rsid w:val="14D453ED"/>
    <w:rsid w:val="14DD2C3C"/>
    <w:rsid w:val="1509156E"/>
    <w:rsid w:val="15195188"/>
    <w:rsid w:val="15302CB1"/>
    <w:rsid w:val="15361606"/>
    <w:rsid w:val="153B1361"/>
    <w:rsid w:val="1542036D"/>
    <w:rsid w:val="155C011D"/>
    <w:rsid w:val="15632263"/>
    <w:rsid w:val="156404B5"/>
    <w:rsid w:val="15705950"/>
    <w:rsid w:val="1571672E"/>
    <w:rsid w:val="15915022"/>
    <w:rsid w:val="15A023CB"/>
    <w:rsid w:val="15A570D6"/>
    <w:rsid w:val="15B14D7D"/>
    <w:rsid w:val="15B358E4"/>
    <w:rsid w:val="15E04CB3"/>
    <w:rsid w:val="15FE2AFE"/>
    <w:rsid w:val="16087E1D"/>
    <w:rsid w:val="162F4C0B"/>
    <w:rsid w:val="16736B51"/>
    <w:rsid w:val="168A313C"/>
    <w:rsid w:val="169C37CB"/>
    <w:rsid w:val="16C87C08"/>
    <w:rsid w:val="16D843B4"/>
    <w:rsid w:val="17045380"/>
    <w:rsid w:val="17066772"/>
    <w:rsid w:val="170B38F5"/>
    <w:rsid w:val="172B7E38"/>
    <w:rsid w:val="17701D14"/>
    <w:rsid w:val="17735226"/>
    <w:rsid w:val="178F1C7E"/>
    <w:rsid w:val="17995CC4"/>
    <w:rsid w:val="17F673BF"/>
    <w:rsid w:val="18150402"/>
    <w:rsid w:val="18242AF1"/>
    <w:rsid w:val="18506ACF"/>
    <w:rsid w:val="1853036D"/>
    <w:rsid w:val="185D743E"/>
    <w:rsid w:val="186F3DEF"/>
    <w:rsid w:val="187B399D"/>
    <w:rsid w:val="189F624C"/>
    <w:rsid w:val="18C32796"/>
    <w:rsid w:val="19146921"/>
    <w:rsid w:val="19541BC7"/>
    <w:rsid w:val="196B651B"/>
    <w:rsid w:val="19AF6DC0"/>
    <w:rsid w:val="19B0368B"/>
    <w:rsid w:val="19ED2306"/>
    <w:rsid w:val="19F16096"/>
    <w:rsid w:val="1A1C66C0"/>
    <w:rsid w:val="1A202F46"/>
    <w:rsid w:val="1A371BE2"/>
    <w:rsid w:val="1A42393B"/>
    <w:rsid w:val="1A642D06"/>
    <w:rsid w:val="1A8B7BFC"/>
    <w:rsid w:val="1A926D87"/>
    <w:rsid w:val="1AAD45DE"/>
    <w:rsid w:val="1AB71A92"/>
    <w:rsid w:val="1AB90D6F"/>
    <w:rsid w:val="1ABD7428"/>
    <w:rsid w:val="1ADB56B4"/>
    <w:rsid w:val="1AFD38A5"/>
    <w:rsid w:val="1B046F80"/>
    <w:rsid w:val="1B083691"/>
    <w:rsid w:val="1B0E2E7A"/>
    <w:rsid w:val="1B2543A5"/>
    <w:rsid w:val="1B285AE1"/>
    <w:rsid w:val="1B3267B5"/>
    <w:rsid w:val="1B3C333B"/>
    <w:rsid w:val="1B40161D"/>
    <w:rsid w:val="1B441859"/>
    <w:rsid w:val="1B562ACD"/>
    <w:rsid w:val="1B6606B1"/>
    <w:rsid w:val="1B714D42"/>
    <w:rsid w:val="1B8B6070"/>
    <w:rsid w:val="1B9118D8"/>
    <w:rsid w:val="1BAA7E29"/>
    <w:rsid w:val="1BBF0E11"/>
    <w:rsid w:val="1C073948"/>
    <w:rsid w:val="1C0C5403"/>
    <w:rsid w:val="1C1F5AB6"/>
    <w:rsid w:val="1C220782"/>
    <w:rsid w:val="1C4306F9"/>
    <w:rsid w:val="1C50796C"/>
    <w:rsid w:val="1C526E33"/>
    <w:rsid w:val="1C596782"/>
    <w:rsid w:val="1C5E7925"/>
    <w:rsid w:val="1C625023"/>
    <w:rsid w:val="1C666034"/>
    <w:rsid w:val="1C8431EB"/>
    <w:rsid w:val="1C8648BF"/>
    <w:rsid w:val="1CAD0994"/>
    <w:rsid w:val="1CB77C62"/>
    <w:rsid w:val="1CC01D49"/>
    <w:rsid w:val="1CCA7C64"/>
    <w:rsid w:val="1CD001DE"/>
    <w:rsid w:val="1CD01740"/>
    <w:rsid w:val="1CDE331A"/>
    <w:rsid w:val="1CF13EE9"/>
    <w:rsid w:val="1CFD070F"/>
    <w:rsid w:val="1D030B20"/>
    <w:rsid w:val="1D3F35B6"/>
    <w:rsid w:val="1D446657"/>
    <w:rsid w:val="1D5F6196"/>
    <w:rsid w:val="1D6132A5"/>
    <w:rsid w:val="1D626E9E"/>
    <w:rsid w:val="1D63340B"/>
    <w:rsid w:val="1D740C37"/>
    <w:rsid w:val="1D745292"/>
    <w:rsid w:val="1D8773D9"/>
    <w:rsid w:val="1D8965DF"/>
    <w:rsid w:val="1D8A4E9E"/>
    <w:rsid w:val="1D8E56D5"/>
    <w:rsid w:val="1D9649DC"/>
    <w:rsid w:val="1D9C4564"/>
    <w:rsid w:val="1DB96EC4"/>
    <w:rsid w:val="1DDD0CC6"/>
    <w:rsid w:val="1DE953A7"/>
    <w:rsid w:val="1DEB388F"/>
    <w:rsid w:val="1E0D67D0"/>
    <w:rsid w:val="1E2C58E8"/>
    <w:rsid w:val="1E37603B"/>
    <w:rsid w:val="1E572F4F"/>
    <w:rsid w:val="1E731769"/>
    <w:rsid w:val="1E7A43DA"/>
    <w:rsid w:val="1E82756A"/>
    <w:rsid w:val="1E877675"/>
    <w:rsid w:val="1EA6101D"/>
    <w:rsid w:val="1EAE09F3"/>
    <w:rsid w:val="1EB04FC8"/>
    <w:rsid w:val="1EBC18FF"/>
    <w:rsid w:val="1ED65854"/>
    <w:rsid w:val="1ED90AC8"/>
    <w:rsid w:val="1EEA0181"/>
    <w:rsid w:val="1EF82A1B"/>
    <w:rsid w:val="1F0772B9"/>
    <w:rsid w:val="1F1169BC"/>
    <w:rsid w:val="1F3D3B25"/>
    <w:rsid w:val="1F3D61D0"/>
    <w:rsid w:val="1F464A01"/>
    <w:rsid w:val="1F612730"/>
    <w:rsid w:val="1F73106A"/>
    <w:rsid w:val="1F737547"/>
    <w:rsid w:val="1F8C2176"/>
    <w:rsid w:val="1FDF3289"/>
    <w:rsid w:val="1FE7539E"/>
    <w:rsid w:val="1FF06790"/>
    <w:rsid w:val="1FF77F63"/>
    <w:rsid w:val="202573B0"/>
    <w:rsid w:val="20601E8E"/>
    <w:rsid w:val="20671BE0"/>
    <w:rsid w:val="20694682"/>
    <w:rsid w:val="20963CB8"/>
    <w:rsid w:val="20A420AE"/>
    <w:rsid w:val="20A81A1B"/>
    <w:rsid w:val="20B07FB6"/>
    <w:rsid w:val="20B252AA"/>
    <w:rsid w:val="20B646FB"/>
    <w:rsid w:val="20F6042F"/>
    <w:rsid w:val="2105302D"/>
    <w:rsid w:val="212D27FC"/>
    <w:rsid w:val="212F66FE"/>
    <w:rsid w:val="21344874"/>
    <w:rsid w:val="213B74B1"/>
    <w:rsid w:val="215A2310"/>
    <w:rsid w:val="217E5861"/>
    <w:rsid w:val="21AB121A"/>
    <w:rsid w:val="21DE318A"/>
    <w:rsid w:val="21EF5B80"/>
    <w:rsid w:val="21FC1A76"/>
    <w:rsid w:val="221415F4"/>
    <w:rsid w:val="22160D89"/>
    <w:rsid w:val="22250FCC"/>
    <w:rsid w:val="222E64A2"/>
    <w:rsid w:val="22405E06"/>
    <w:rsid w:val="22576990"/>
    <w:rsid w:val="22644863"/>
    <w:rsid w:val="2272779A"/>
    <w:rsid w:val="228C104B"/>
    <w:rsid w:val="22943A5C"/>
    <w:rsid w:val="2296021C"/>
    <w:rsid w:val="22B67192"/>
    <w:rsid w:val="22E279D2"/>
    <w:rsid w:val="22F47480"/>
    <w:rsid w:val="2309444A"/>
    <w:rsid w:val="231019BB"/>
    <w:rsid w:val="23260A0A"/>
    <w:rsid w:val="23395849"/>
    <w:rsid w:val="2341114A"/>
    <w:rsid w:val="234D28AD"/>
    <w:rsid w:val="234D7566"/>
    <w:rsid w:val="23571659"/>
    <w:rsid w:val="235A0115"/>
    <w:rsid w:val="235D2CC1"/>
    <w:rsid w:val="23635DDC"/>
    <w:rsid w:val="23A843AE"/>
    <w:rsid w:val="23C14D25"/>
    <w:rsid w:val="23D6724F"/>
    <w:rsid w:val="23DE1C48"/>
    <w:rsid w:val="24014006"/>
    <w:rsid w:val="240210CD"/>
    <w:rsid w:val="240C263A"/>
    <w:rsid w:val="24297052"/>
    <w:rsid w:val="24373239"/>
    <w:rsid w:val="243948BB"/>
    <w:rsid w:val="24463DC5"/>
    <w:rsid w:val="24577437"/>
    <w:rsid w:val="247B3126"/>
    <w:rsid w:val="247D71CB"/>
    <w:rsid w:val="248C3AC3"/>
    <w:rsid w:val="24BD0774"/>
    <w:rsid w:val="24BF09F7"/>
    <w:rsid w:val="252D53FE"/>
    <w:rsid w:val="252E11C6"/>
    <w:rsid w:val="254824D1"/>
    <w:rsid w:val="25491428"/>
    <w:rsid w:val="259D531E"/>
    <w:rsid w:val="25B05051"/>
    <w:rsid w:val="25CE3729"/>
    <w:rsid w:val="25EC2D81"/>
    <w:rsid w:val="26120812"/>
    <w:rsid w:val="26275AA4"/>
    <w:rsid w:val="2635324D"/>
    <w:rsid w:val="26591048"/>
    <w:rsid w:val="268A1673"/>
    <w:rsid w:val="26B6680A"/>
    <w:rsid w:val="26CA37AC"/>
    <w:rsid w:val="26DF6E32"/>
    <w:rsid w:val="26FE003E"/>
    <w:rsid w:val="270F27FA"/>
    <w:rsid w:val="274E68CF"/>
    <w:rsid w:val="277057A2"/>
    <w:rsid w:val="27A44C95"/>
    <w:rsid w:val="27AE646C"/>
    <w:rsid w:val="27BA3F65"/>
    <w:rsid w:val="27BD77F0"/>
    <w:rsid w:val="27D668C5"/>
    <w:rsid w:val="280A1636"/>
    <w:rsid w:val="28445F24"/>
    <w:rsid w:val="28604DEC"/>
    <w:rsid w:val="28940C5A"/>
    <w:rsid w:val="28B47572"/>
    <w:rsid w:val="28C00C3B"/>
    <w:rsid w:val="28C4174B"/>
    <w:rsid w:val="28DB0D2D"/>
    <w:rsid w:val="28F11C08"/>
    <w:rsid w:val="28FD67FF"/>
    <w:rsid w:val="29086F52"/>
    <w:rsid w:val="29206EB8"/>
    <w:rsid w:val="292875F4"/>
    <w:rsid w:val="29503BF1"/>
    <w:rsid w:val="2953641F"/>
    <w:rsid w:val="2958162A"/>
    <w:rsid w:val="29595666"/>
    <w:rsid w:val="295C2DFA"/>
    <w:rsid w:val="296F54E5"/>
    <w:rsid w:val="29874881"/>
    <w:rsid w:val="298C1931"/>
    <w:rsid w:val="29BF6D01"/>
    <w:rsid w:val="29E325E0"/>
    <w:rsid w:val="29F6324E"/>
    <w:rsid w:val="2A104310"/>
    <w:rsid w:val="2A2E5740"/>
    <w:rsid w:val="2A3A138D"/>
    <w:rsid w:val="2A452503"/>
    <w:rsid w:val="2A726D79"/>
    <w:rsid w:val="2A8116F8"/>
    <w:rsid w:val="2A8201B7"/>
    <w:rsid w:val="2A905451"/>
    <w:rsid w:val="2A92558B"/>
    <w:rsid w:val="2AF123B3"/>
    <w:rsid w:val="2B674404"/>
    <w:rsid w:val="2B726905"/>
    <w:rsid w:val="2B905A06"/>
    <w:rsid w:val="2BA936A8"/>
    <w:rsid w:val="2BA94429"/>
    <w:rsid w:val="2BB46FAD"/>
    <w:rsid w:val="2BDE5F8D"/>
    <w:rsid w:val="2C1B0D4A"/>
    <w:rsid w:val="2C315A5A"/>
    <w:rsid w:val="2C4B1C25"/>
    <w:rsid w:val="2C6B0375"/>
    <w:rsid w:val="2C6D6CE3"/>
    <w:rsid w:val="2C732934"/>
    <w:rsid w:val="2C792F4D"/>
    <w:rsid w:val="2CC476F1"/>
    <w:rsid w:val="2D4744ED"/>
    <w:rsid w:val="2D490F04"/>
    <w:rsid w:val="2D533811"/>
    <w:rsid w:val="2D616C31"/>
    <w:rsid w:val="2D6666A4"/>
    <w:rsid w:val="2D685CBF"/>
    <w:rsid w:val="2D9E56F5"/>
    <w:rsid w:val="2DAF7706"/>
    <w:rsid w:val="2DC5285A"/>
    <w:rsid w:val="2DD45655"/>
    <w:rsid w:val="2E020414"/>
    <w:rsid w:val="2E471B30"/>
    <w:rsid w:val="2E474078"/>
    <w:rsid w:val="2E506F54"/>
    <w:rsid w:val="2E574658"/>
    <w:rsid w:val="2E5D59BA"/>
    <w:rsid w:val="2E6102BE"/>
    <w:rsid w:val="2E622108"/>
    <w:rsid w:val="2E667F96"/>
    <w:rsid w:val="2E695FCC"/>
    <w:rsid w:val="2E8226AB"/>
    <w:rsid w:val="2E9841EA"/>
    <w:rsid w:val="2EBC10A1"/>
    <w:rsid w:val="2ED37C0D"/>
    <w:rsid w:val="2ED7364E"/>
    <w:rsid w:val="2EE31319"/>
    <w:rsid w:val="2EE35F25"/>
    <w:rsid w:val="2EFE0F6B"/>
    <w:rsid w:val="2F126434"/>
    <w:rsid w:val="2F207A4D"/>
    <w:rsid w:val="2F464330"/>
    <w:rsid w:val="2F5753C2"/>
    <w:rsid w:val="2FB11BEB"/>
    <w:rsid w:val="2FD065E6"/>
    <w:rsid w:val="2FD96870"/>
    <w:rsid w:val="2FF41FDE"/>
    <w:rsid w:val="30560313"/>
    <w:rsid w:val="30580BC9"/>
    <w:rsid w:val="30645F8B"/>
    <w:rsid w:val="30885BD1"/>
    <w:rsid w:val="30A03B62"/>
    <w:rsid w:val="30B67125"/>
    <w:rsid w:val="30BF0DDF"/>
    <w:rsid w:val="30C319CE"/>
    <w:rsid w:val="30D82686"/>
    <w:rsid w:val="311E2ED7"/>
    <w:rsid w:val="31330771"/>
    <w:rsid w:val="31523460"/>
    <w:rsid w:val="315619EE"/>
    <w:rsid w:val="315C449C"/>
    <w:rsid w:val="3194599F"/>
    <w:rsid w:val="31B82709"/>
    <w:rsid w:val="31B90365"/>
    <w:rsid w:val="31CE5AC7"/>
    <w:rsid w:val="31D05482"/>
    <w:rsid w:val="31F50595"/>
    <w:rsid w:val="320D4E6E"/>
    <w:rsid w:val="323408B5"/>
    <w:rsid w:val="323E76F3"/>
    <w:rsid w:val="32400B34"/>
    <w:rsid w:val="324F5BF1"/>
    <w:rsid w:val="32504AC8"/>
    <w:rsid w:val="32546D64"/>
    <w:rsid w:val="327853D7"/>
    <w:rsid w:val="327A0EC0"/>
    <w:rsid w:val="329E6876"/>
    <w:rsid w:val="32E33076"/>
    <w:rsid w:val="32E63A7E"/>
    <w:rsid w:val="330B38C7"/>
    <w:rsid w:val="33182327"/>
    <w:rsid w:val="332F72CB"/>
    <w:rsid w:val="333015F2"/>
    <w:rsid w:val="334B6320"/>
    <w:rsid w:val="33552469"/>
    <w:rsid w:val="33796DB6"/>
    <w:rsid w:val="337A2D8B"/>
    <w:rsid w:val="33927790"/>
    <w:rsid w:val="339368AA"/>
    <w:rsid w:val="33AD497E"/>
    <w:rsid w:val="33AD5674"/>
    <w:rsid w:val="33AD7A4F"/>
    <w:rsid w:val="33B201E6"/>
    <w:rsid w:val="33B2193E"/>
    <w:rsid w:val="33D934D4"/>
    <w:rsid w:val="33ED56C2"/>
    <w:rsid w:val="33FE2F6A"/>
    <w:rsid w:val="340541A5"/>
    <w:rsid w:val="340E07E5"/>
    <w:rsid w:val="34221A52"/>
    <w:rsid w:val="34235BF7"/>
    <w:rsid w:val="342A06C4"/>
    <w:rsid w:val="343706EB"/>
    <w:rsid w:val="34676FA3"/>
    <w:rsid w:val="34727A87"/>
    <w:rsid w:val="34AF12C7"/>
    <w:rsid w:val="34BC6A03"/>
    <w:rsid w:val="34D22ACA"/>
    <w:rsid w:val="34D6128E"/>
    <w:rsid w:val="352A2CBD"/>
    <w:rsid w:val="358C5FA8"/>
    <w:rsid w:val="358D4535"/>
    <w:rsid w:val="35C15DF1"/>
    <w:rsid w:val="35C359EC"/>
    <w:rsid w:val="36074A7F"/>
    <w:rsid w:val="363B44C3"/>
    <w:rsid w:val="364E1FC1"/>
    <w:rsid w:val="3652732B"/>
    <w:rsid w:val="36900EC8"/>
    <w:rsid w:val="36923549"/>
    <w:rsid w:val="36B424C7"/>
    <w:rsid w:val="36B75FBF"/>
    <w:rsid w:val="36BD0C45"/>
    <w:rsid w:val="36EC26F0"/>
    <w:rsid w:val="36F80606"/>
    <w:rsid w:val="37070849"/>
    <w:rsid w:val="373F2784"/>
    <w:rsid w:val="37480224"/>
    <w:rsid w:val="37500702"/>
    <w:rsid w:val="37713651"/>
    <w:rsid w:val="378049D7"/>
    <w:rsid w:val="378105FB"/>
    <w:rsid w:val="37991DE9"/>
    <w:rsid w:val="37C22EF3"/>
    <w:rsid w:val="37DC7F27"/>
    <w:rsid w:val="37E00298"/>
    <w:rsid w:val="37EF7C5B"/>
    <w:rsid w:val="37F012DD"/>
    <w:rsid w:val="381B0A50"/>
    <w:rsid w:val="38216388"/>
    <w:rsid w:val="38485A35"/>
    <w:rsid w:val="38590CF2"/>
    <w:rsid w:val="385B5C6B"/>
    <w:rsid w:val="387D3A30"/>
    <w:rsid w:val="389D51B6"/>
    <w:rsid w:val="389F12ED"/>
    <w:rsid w:val="38A87E0A"/>
    <w:rsid w:val="38B302F9"/>
    <w:rsid w:val="38DA4EF4"/>
    <w:rsid w:val="38F12CD3"/>
    <w:rsid w:val="38F94775"/>
    <w:rsid w:val="392515F3"/>
    <w:rsid w:val="39284724"/>
    <w:rsid w:val="392971ED"/>
    <w:rsid w:val="392A361D"/>
    <w:rsid w:val="39325651"/>
    <w:rsid w:val="3936340A"/>
    <w:rsid w:val="39565AB7"/>
    <w:rsid w:val="39617F1C"/>
    <w:rsid w:val="39691347"/>
    <w:rsid w:val="39763A64"/>
    <w:rsid w:val="39A24859"/>
    <w:rsid w:val="39CE5C43"/>
    <w:rsid w:val="39F45F13"/>
    <w:rsid w:val="3A084A00"/>
    <w:rsid w:val="3A0A71C8"/>
    <w:rsid w:val="3A137505"/>
    <w:rsid w:val="3A3C4CAD"/>
    <w:rsid w:val="3A663D03"/>
    <w:rsid w:val="3A872856"/>
    <w:rsid w:val="3AAB6302"/>
    <w:rsid w:val="3ADB44C6"/>
    <w:rsid w:val="3AFB12B3"/>
    <w:rsid w:val="3B356055"/>
    <w:rsid w:val="3B3763D1"/>
    <w:rsid w:val="3B3F4F5D"/>
    <w:rsid w:val="3B5A1C6B"/>
    <w:rsid w:val="3B6B44CB"/>
    <w:rsid w:val="3B7242AD"/>
    <w:rsid w:val="3B8A6F85"/>
    <w:rsid w:val="3BB608A9"/>
    <w:rsid w:val="3BDB3D02"/>
    <w:rsid w:val="3BDE23B1"/>
    <w:rsid w:val="3BF33A92"/>
    <w:rsid w:val="3BFF3938"/>
    <w:rsid w:val="3C0B726F"/>
    <w:rsid w:val="3C161FEF"/>
    <w:rsid w:val="3C2F6E1E"/>
    <w:rsid w:val="3C3B737C"/>
    <w:rsid w:val="3C42517D"/>
    <w:rsid w:val="3C4F64BA"/>
    <w:rsid w:val="3CA31014"/>
    <w:rsid w:val="3CB16CCB"/>
    <w:rsid w:val="3CDA245A"/>
    <w:rsid w:val="3CF0180C"/>
    <w:rsid w:val="3CFC27B5"/>
    <w:rsid w:val="3D037D04"/>
    <w:rsid w:val="3D1D0DC6"/>
    <w:rsid w:val="3D1E06B7"/>
    <w:rsid w:val="3D453656"/>
    <w:rsid w:val="3D54230E"/>
    <w:rsid w:val="3D7F382F"/>
    <w:rsid w:val="3DAF76BF"/>
    <w:rsid w:val="3DD75419"/>
    <w:rsid w:val="3DE543D3"/>
    <w:rsid w:val="3DE96EFA"/>
    <w:rsid w:val="3DFB3B7A"/>
    <w:rsid w:val="3E1C4CA9"/>
    <w:rsid w:val="3E1E5166"/>
    <w:rsid w:val="3E2019A5"/>
    <w:rsid w:val="3E7E0991"/>
    <w:rsid w:val="3E990920"/>
    <w:rsid w:val="3E995B6D"/>
    <w:rsid w:val="3EA03A5D"/>
    <w:rsid w:val="3EBE0289"/>
    <w:rsid w:val="3ECF0BD2"/>
    <w:rsid w:val="3ED30003"/>
    <w:rsid w:val="3EDA0523"/>
    <w:rsid w:val="3EF04485"/>
    <w:rsid w:val="3EF20797"/>
    <w:rsid w:val="3F0264C5"/>
    <w:rsid w:val="3F281CCE"/>
    <w:rsid w:val="3F5938D3"/>
    <w:rsid w:val="3F6262B4"/>
    <w:rsid w:val="3F642EA4"/>
    <w:rsid w:val="3F836EDA"/>
    <w:rsid w:val="3F90024B"/>
    <w:rsid w:val="3F9276C9"/>
    <w:rsid w:val="3FAC5503"/>
    <w:rsid w:val="3FAD1589"/>
    <w:rsid w:val="3FBB5A34"/>
    <w:rsid w:val="40117B40"/>
    <w:rsid w:val="401D6189"/>
    <w:rsid w:val="405368AD"/>
    <w:rsid w:val="405C7953"/>
    <w:rsid w:val="407A6407"/>
    <w:rsid w:val="409F73FA"/>
    <w:rsid w:val="40B20E20"/>
    <w:rsid w:val="40B35643"/>
    <w:rsid w:val="40C33A32"/>
    <w:rsid w:val="40C97D7D"/>
    <w:rsid w:val="40D958F3"/>
    <w:rsid w:val="41037191"/>
    <w:rsid w:val="410822E6"/>
    <w:rsid w:val="410B7187"/>
    <w:rsid w:val="41220057"/>
    <w:rsid w:val="41240137"/>
    <w:rsid w:val="413B2C88"/>
    <w:rsid w:val="413E57AF"/>
    <w:rsid w:val="416E7E42"/>
    <w:rsid w:val="41A27AEC"/>
    <w:rsid w:val="41AF6C07"/>
    <w:rsid w:val="41B059C2"/>
    <w:rsid w:val="41F145CF"/>
    <w:rsid w:val="41FA6155"/>
    <w:rsid w:val="4200449D"/>
    <w:rsid w:val="42253105"/>
    <w:rsid w:val="42295D6B"/>
    <w:rsid w:val="422B0AC7"/>
    <w:rsid w:val="423A3BCC"/>
    <w:rsid w:val="424E57D2"/>
    <w:rsid w:val="427174BE"/>
    <w:rsid w:val="42760DE7"/>
    <w:rsid w:val="42894168"/>
    <w:rsid w:val="42AD6748"/>
    <w:rsid w:val="42B26C49"/>
    <w:rsid w:val="42C276AE"/>
    <w:rsid w:val="42D61123"/>
    <w:rsid w:val="42DE45B7"/>
    <w:rsid w:val="43081B7E"/>
    <w:rsid w:val="430D1A45"/>
    <w:rsid w:val="431542ED"/>
    <w:rsid w:val="433A6FE6"/>
    <w:rsid w:val="433C0A63"/>
    <w:rsid w:val="434263FD"/>
    <w:rsid w:val="43480868"/>
    <w:rsid w:val="4350713C"/>
    <w:rsid w:val="435867C8"/>
    <w:rsid w:val="436653E0"/>
    <w:rsid w:val="43811983"/>
    <w:rsid w:val="43C4431A"/>
    <w:rsid w:val="43C57B7E"/>
    <w:rsid w:val="43EA577A"/>
    <w:rsid w:val="43F42155"/>
    <w:rsid w:val="441E71D2"/>
    <w:rsid w:val="442944F4"/>
    <w:rsid w:val="442A4C1D"/>
    <w:rsid w:val="44352DD4"/>
    <w:rsid w:val="444B0CD4"/>
    <w:rsid w:val="444E7AB7"/>
    <w:rsid w:val="44B951CC"/>
    <w:rsid w:val="44CD14E0"/>
    <w:rsid w:val="44F20B0B"/>
    <w:rsid w:val="44F442D8"/>
    <w:rsid w:val="45041310"/>
    <w:rsid w:val="45115463"/>
    <w:rsid w:val="451850C7"/>
    <w:rsid w:val="45280308"/>
    <w:rsid w:val="452E5F4C"/>
    <w:rsid w:val="452F78E8"/>
    <w:rsid w:val="454B2248"/>
    <w:rsid w:val="45612018"/>
    <w:rsid w:val="458946E9"/>
    <w:rsid w:val="459509D8"/>
    <w:rsid w:val="45A47C0E"/>
    <w:rsid w:val="45A608A5"/>
    <w:rsid w:val="45AB2CE7"/>
    <w:rsid w:val="45B16A11"/>
    <w:rsid w:val="45B56996"/>
    <w:rsid w:val="45D206E8"/>
    <w:rsid w:val="45F24CD1"/>
    <w:rsid w:val="45F428E0"/>
    <w:rsid w:val="46050649"/>
    <w:rsid w:val="460D1EF4"/>
    <w:rsid w:val="46577FD6"/>
    <w:rsid w:val="465D0485"/>
    <w:rsid w:val="465E3DFF"/>
    <w:rsid w:val="46724C12"/>
    <w:rsid w:val="468477C0"/>
    <w:rsid w:val="469A6FE4"/>
    <w:rsid w:val="469B0FAE"/>
    <w:rsid w:val="469E49AF"/>
    <w:rsid w:val="46AB11F1"/>
    <w:rsid w:val="46C41E49"/>
    <w:rsid w:val="46C741DF"/>
    <w:rsid w:val="46D955A7"/>
    <w:rsid w:val="46DF6E08"/>
    <w:rsid w:val="46EC4451"/>
    <w:rsid w:val="47080A13"/>
    <w:rsid w:val="470F4EA1"/>
    <w:rsid w:val="471274C2"/>
    <w:rsid w:val="47133957"/>
    <w:rsid w:val="473C35A1"/>
    <w:rsid w:val="474D158B"/>
    <w:rsid w:val="475A27D9"/>
    <w:rsid w:val="475C073D"/>
    <w:rsid w:val="47607F32"/>
    <w:rsid w:val="477B6ED5"/>
    <w:rsid w:val="477F5000"/>
    <w:rsid w:val="479B637F"/>
    <w:rsid w:val="479C7DAA"/>
    <w:rsid w:val="47A07E0C"/>
    <w:rsid w:val="47A520E4"/>
    <w:rsid w:val="47AE066A"/>
    <w:rsid w:val="47C95308"/>
    <w:rsid w:val="48054E31"/>
    <w:rsid w:val="481324F4"/>
    <w:rsid w:val="481865C3"/>
    <w:rsid w:val="4820176A"/>
    <w:rsid w:val="48217291"/>
    <w:rsid w:val="483A22F9"/>
    <w:rsid w:val="483E46A7"/>
    <w:rsid w:val="48526AAC"/>
    <w:rsid w:val="486A59B4"/>
    <w:rsid w:val="4870272E"/>
    <w:rsid w:val="48744C45"/>
    <w:rsid w:val="4891343E"/>
    <w:rsid w:val="48952489"/>
    <w:rsid w:val="48A759E8"/>
    <w:rsid w:val="48B54599"/>
    <w:rsid w:val="48BE4B42"/>
    <w:rsid w:val="48C06AA9"/>
    <w:rsid w:val="48C309E8"/>
    <w:rsid w:val="48D644A3"/>
    <w:rsid w:val="48D8611F"/>
    <w:rsid w:val="49042AD4"/>
    <w:rsid w:val="49051EA2"/>
    <w:rsid w:val="495A5C25"/>
    <w:rsid w:val="49627B61"/>
    <w:rsid w:val="497965F6"/>
    <w:rsid w:val="49AA1C33"/>
    <w:rsid w:val="49C477F0"/>
    <w:rsid w:val="49D57801"/>
    <w:rsid w:val="49DC7715"/>
    <w:rsid w:val="49DC7913"/>
    <w:rsid w:val="49F21DFA"/>
    <w:rsid w:val="49F37C96"/>
    <w:rsid w:val="49FF610A"/>
    <w:rsid w:val="4A023139"/>
    <w:rsid w:val="4A0F5F3A"/>
    <w:rsid w:val="4A183041"/>
    <w:rsid w:val="4A2028CE"/>
    <w:rsid w:val="4A6022F2"/>
    <w:rsid w:val="4A7B576F"/>
    <w:rsid w:val="4A857FAB"/>
    <w:rsid w:val="4A9D52F4"/>
    <w:rsid w:val="4A9F220E"/>
    <w:rsid w:val="4AAA5C63"/>
    <w:rsid w:val="4AE81727"/>
    <w:rsid w:val="4AEC1C86"/>
    <w:rsid w:val="4AF561A9"/>
    <w:rsid w:val="4AFB1FFD"/>
    <w:rsid w:val="4B0B04B0"/>
    <w:rsid w:val="4B0C6F36"/>
    <w:rsid w:val="4B39411B"/>
    <w:rsid w:val="4B3A470A"/>
    <w:rsid w:val="4B50680B"/>
    <w:rsid w:val="4BCA5BD2"/>
    <w:rsid w:val="4C0667BC"/>
    <w:rsid w:val="4C1625EB"/>
    <w:rsid w:val="4C2A0E0A"/>
    <w:rsid w:val="4C4A0649"/>
    <w:rsid w:val="4C567AEB"/>
    <w:rsid w:val="4C7E5ECA"/>
    <w:rsid w:val="4C876AA5"/>
    <w:rsid w:val="4C995F8F"/>
    <w:rsid w:val="4CA37CC4"/>
    <w:rsid w:val="4CA52CC2"/>
    <w:rsid w:val="4CAE4F4D"/>
    <w:rsid w:val="4CDF7E46"/>
    <w:rsid w:val="4D0E00FB"/>
    <w:rsid w:val="4D1473C4"/>
    <w:rsid w:val="4D176606"/>
    <w:rsid w:val="4D185106"/>
    <w:rsid w:val="4D1E0115"/>
    <w:rsid w:val="4D6E36BB"/>
    <w:rsid w:val="4D863FB8"/>
    <w:rsid w:val="4D9C7AE5"/>
    <w:rsid w:val="4DB27309"/>
    <w:rsid w:val="4DC85F46"/>
    <w:rsid w:val="4DCE1C69"/>
    <w:rsid w:val="4DD454D1"/>
    <w:rsid w:val="4DD70B1D"/>
    <w:rsid w:val="4DDA060D"/>
    <w:rsid w:val="4DE12DC0"/>
    <w:rsid w:val="4DE92324"/>
    <w:rsid w:val="4DEC4FB0"/>
    <w:rsid w:val="4E065795"/>
    <w:rsid w:val="4E075D8A"/>
    <w:rsid w:val="4E0B759E"/>
    <w:rsid w:val="4E333453"/>
    <w:rsid w:val="4E3E57EF"/>
    <w:rsid w:val="4E4043D2"/>
    <w:rsid w:val="4E4D0DDF"/>
    <w:rsid w:val="4EC00FAD"/>
    <w:rsid w:val="4ECA4551"/>
    <w:rsid w:val="4ECD5E03"/>
    <w:rsid w:val="4EDF7007"/>
    <w:rsid w:val="4EE47996"/>
    <w:rsid w:val="4EE47C9B"/>
    <w:rsid w:val="4EFC02A4"/>
    <w:rsid w:val="4F025044"/>
    <w:rsid w:val="4F0F71B2"/>
    <w:rsid w:val="4F304989"/>
    <w:rsid w:val="4F9843DC"/>
    <w:rsid w:val="4FB668CF"/>
    <w:rsid w:val="4FB71E60"/>
    <w:rsid w:val="4FC62A8C"/>
    <w:rsid w:val="4FE20F0D"/>
    <w:rsid w:val="4FE51552"/>
    <w:rsid w:val="4FF5558B"/>
    <w:rsid w:val="502429E5"/>
    <w:rsid w:val="5043693E"/>
    <w:rsid w:val="50504C4B"/>
    <w:rsid w:val="505D0398"/>
    <w:rsid w:val="506D5769"/>
    <w:rsid w:val="5083520F"/>
    <w:rsid w:val="50962F12"/>
    <w:rsid w:val="509C6E7C"/>
    <w:rsid w:val="50B7333F"/>
    <w:rsid w:val="50C0169F"/>
    <w:rsid w:val="50F309D5"/>
    <w:rsid w:val="50FC0EC5"/>
    <w:rsid w:val="5133250E"/>
    <w:rsid w:val="513C4074"/>
    <w:rsid w:val="51453FF0"/>
    <w:rsid w:val="51495A25"/>
    <w:rsid w:val="5162104E"/>
    <w:rsid w:val="51864D34"/>
    <w:rsid w:val="51D67016"/>
    <w:rsid w:val="51E33448"/>
    <w:rsid w:val="51E84F47"/>
    <w:rsid w:val="5203443A"/>
    <w:rsid w:val="52067C23"/>
    <w:rsid w:val="520E6AD8"/>
    <w:rsid w:val="522E0F28"/>
    <w:rsid w:val="525A7F6F"/>
    <w:rsid w:val="52A64F62"/>
    <w:rsid w:val="52B136B7"/>
    <w:rsid w:val="52BE5BBC"/>
    <w:rsid w:val="52DD559A"/>
    <w:rsid w:val="53180AE4"/>
    <w:rsid w:val="533223C9"/>
    <w:rsid w:val="53387252"/>
    <w:rsid w:val="535A625E"/>
    <w:rsid w:val="537868FE"/>
    <w:rsid w:val="537C3ECE"/>
    <w:rsid w:val="53A039CC"/>
    <w:rsid w:val="53A1505A"/>
    <w:rsid w:val="53D8114B"/>
    <w:rsid w:val="54032505"/>
    <w:rsid w:val="54063E08"/>
    <w:rsid w:val="54136912"/>
    <w:rsid w:val="543437E8"/>
    <w:rsid w:val="5438696F"/>
    <w:rsid w:val="543C5B7E"/>
    <w:rsid w:val="544459DB"/>
    <w:rsid w:val="547215A0"/>
    <w:rsid w:val="547A0283"/>
    <w:rsid w:val="54971006"/>
    <w:rsid w:val="549C78B2"/>
    <w:rsid w:val="549E0B9F"/>
    <w:rsid w:val="54A11F65"/>
    <w:rsid w:val="54D040E6"/>
    <w:rsid w:val="54F73313"/>
    <w:rsid w:val="54F772F0"/>
    <w:rsid w:val="54F80955"/>
    <w:rsid w:val="55081F04"/>
    <w:rsid w:val="550876AD"/>
    <w:rsid w:val="552602DA"/>
    <w:rsid w:val="552F7491"/>
    <w:rsid w:val="553E76D4"/>
    <w:rsid w:val="555170A7"/>
    <w:rsid w:val="556844E3"/>
    <w:rsid w:val="55686D75"/>
    <w:rsid w:val="55843F4F"/>
    <w:rsid w:val="558676E6"/>
    <w:rsid w:val="5587536D"/>
    <w:rsid w:val="559B174B"/>
    <w:rsid w:val="55C71477"/>
    <w:rsid w:val="55CE0CF4"/>
    <w:rsid w:val="55D3478A"/>
    <w:rsid w:val="55E018FC"/>
    <w:rsid w:val="55FF1233"/>
    <w:rsid w:val="560E354A"/>
    <w:rsid w:val="561A3C9D"/>
    <w:rsid w:val="56526C27"/>
    <w:rsid w:val="565847C5"/>
    <w:rsid w:val="567C0004"/>
    <w:rsid w:val="568E1A9F"/>
    <w:rsid w:val="56A04640"/>
    <w:rsid w:val="56B22A9C"/>
    <w:rsid w:val="56B440F1"/>
    <w:rsid w:val="56C37E91"/>
    <w:rsid w:val="56C9121F"/>
    <w:rsid w:val="5737262D"/>
    <w:rsid w:val="57697FD9"/>
    <w:rsid w:val="577675F9"/>
    <w:rsid w:val="578D1C5E"/>
    <w:rsid w:val="57923D07"/>
    <w:rsid w:val="57A2219C"/>
    <w:rsid w:val="57A35F14"/>
    <w:rsid w:val="57AA32CA"/>
    <w:rsid w:val="57AC7345"/>
    <w:rsid w:val="57B679F5"/>
    <w:rsid w:val="57B72A76"/>
    <w:rsid w:val="57C0255E"/>
    <w:rsid w:val="57C3426C"/>
    <w:rsid w:val="57C874D4"/>
    <w:rsid w:val="57CE1F93"/>
    <w:rsid w:val="57D1482F"/>
    <w:rsid w:val="581706E5"/>
    <w:rsid w:val="582A0036"/>
    <w:rsid w:val="584E40D2"/>
    <w:rsid w:val="586B07E0"/>
    <w:rsid w:val="586D3CFE"/>
    <w:rsid w:val="588743D1"/>
    <w:rsid w:val="5887701A"/>
    <w:rsid w:val="588A4B2A"/>
    <w:rsid w:val="58943621"/>
    <w:rsid w:val="58952D73"/>
    <w:rsid w:val="58A91308"/>
    <w:rsid w:val="58CF5213"/>
    <w:rsid w:val="58D32D17"/>
    <w:rsid w:val="58F70D73"/>
    <w:rsid w:val="591F4554"/>
    <w:rsid w:val="59625514"/>
    <w:rsid w:val="596347BD"/>
    <w:rsid w:val="597731B4"/>
    <w:rsid w:val="59853B23"/>
    <w:rsid w:val="59A65848"/>
    <w:rsid w:val="59C0439F"/>
    <w:rsid w:val="59EA1BD8"/>
    <w:rsid w:val="5A2F1CE1"/>
    <w:rsid w:val="5A36306F"/>
    <w:rsid w:val="5A476A90"/>
    <w:rsid w:val="5A490724"/>
    <w:rsid w:val="5A522BD0"/>
    <w:rsid w:val="5A534FCF"/>
    <w:rsid w:val="5A5755FC"/>
    <w:rsid w:val="5A5D05FC"/>
    <w:rsid w:val="5A831631"/>
    <w:rsid w:val="5AB3021C"/>
    <w:rsid w:val="5ABE2233"/>
    <w:rsid w:val="5ACD7704"/>
    <w:rsid w:val="5AD81857"/>
    <w:rsid w:val="5B374857"/>
    <w:rsid w:val="5B4E00DE"/>
    <w:rsid w:val="5B77568F"/>
    <w:rsid w:val="5BDF5D95"/>
    <w:rsid w:val="5BE014E5"/>
    <w:rsid w:val="5BEE2D43"/>
    <w:rsid w:val="5BFA1971"/>
    <w:rsid w:val="5BFE7528"/>
    <w:rsid w:val="5C034BC6"/>
    <w:rsid w:val="5C1703A7"/>
    <w:rsid w:val="5C690E1E"/>
    <w:rsid w:val="5C6B34A4"/>
    <w:rsid w:val="5C7F600C"/>
    <w:rsid w:val="5C7F6FA3"/>
    <w:rsid w:val="5C944AA1"/>
    <w:rsid w:val="5C9E2B93"/>
    <w:rsid w:val="5CA16EC6"/>
    <w:rsid w:val="5CD42F5F"/>
    <w:rsid w:val="5CDB7B6F"/>
    <w:rsid w:val="5CE20BE0"/>
    <w:rsid w:val="5D02548B"/>
    <w:rsid w:val="5D192F00"/>
    <w:rsid w:val="5D1A6C78"/>
    <w:rsid w:val="5D3555B2"/>
    <w:rsid w:val="5D3F2234"/>
    <w:rsid w:val="5D3F724C"/>
    <w:rsid w:val="5D445D5A"/>
    <w:rsid w:val="5D6B3030"/>
    <w:rsid w:val="5D913956"/>
    <w:rsid w:val="5D935905"/>
    <w:rsid w:val="5D9F0CAC"/>
    <w:rsid w:val="5DCA244C"/>
    <w:rsid w:val="5DF115D5"/>
    <w:rsid w:val="5DF16C9B"/>
    <w:rsid w:val="5E2467F1"/>
    <w:rsid w:val="5E2E38CF"/>
    <w:rsid w:val="5EE94B54"/>
    <w:rsid w:val="5EF47D9F"/>
    <w:rsid w:val="5F137EEE"/>
    <w:rsid w:val="5F1A2B43"/>
    <w:rsid w:val="5F3B335C"/>
    <w:rsid w:val="5F465B03"/>
    <w:rsid w:val="5F50730E"/>
    <w:rsid w:val="5F815BB6"/>
    <w:rsid w:val="5FA17504"/>
    <w:rsid w:val="5FB837BB"/>
    <w:rsid w:val="5FD07DA6"/>
    <w:rsid w:val="603418FC"/>
    <w:rsid w:val="604519A7"/>
    <w:rsid w:val="604979FC"/>
    <w:rsid w:val="60716BAF"/>
    <w:rsid w:val="60883EF9"/>
    <w:rsid w:val="60B25622"/>
    <w:rsid w:val="60BC5EAA"/>
    <w:rsid w:val="60CB22CE"/>
    <w:rsid w:val="60CC405A"/>
    <w:rsid w:val="60DF6108"/>
    <w:rsid w:val="61181686"/>
    <w:rsid w:val="613D4CE3"/>
    <w:rsid w:val="61560238"/>
    <w:rsid w:val="616E3292"/>
    <w:rsid w:val="618F5FD2"/>
    <w:rsid w:val="61A415A0"/>
    <w:rsid w:val="61CC466A"/>
    <w:rsid w:val="61E215D8"/>
    <w:rsid w:val="61E727D2"/>
    <w:rsid w:val="61EA44ED"/>
    <w:rsid w:val="62133A64"/>
    <w:rsid w:val="621B3775"/>
    <w:rsid w:val="62364782"/>
    <w:rsid w:val="62485301"/>
    <w:rsid w:val="626E6DBF"/>
    <w:rsid w:val="627C128F"/>
    <w:rsid w:val="62AE5E99"/>
    <w:rsid w:val="62DB418E"/>
    <w:rsid w:val="62FB424A"/>
    <w:rsid w:val="63464323"/>
    <w:rsid w:val="635A0389"/>
    <w:rsid w:val="638D0461"/>
    <w:rsid w:val="638E6A5B"/>
    <w:rsid w:val="6394356A"/>
    <w:rsid w:val="63C61B2C"/>
    <w:rsid w:val="63D02CEA"/>
    <w:rsid w:val="63D40BE9"/>
    <w:rsid w:val="63E1404C"/>
    <w:rsid w:val="64102431"/>
    <w:rsid w:val="642C621F"/>
    <w:rsid w:val="64414AEB"/>
    <w:rsid w:val="644A1890"/>
    <w:rsid w:val="644C4275"/>
    <w:rsid w:val="6459389C"/>
    <w:rsid w:val="64772740"/>
    <w:rsid w:val="647A6700"/>
    <w:rsid w:val="64A337C6"/>
    <w:rsid w:val="64A5243A"/>
    <w:rsid w:val="64B86F6C"/>
    <w:rsid w:val="64C73242"/>
    <w:rsid w:val="64CA615E"/>
    <w:rsid w:val="64CC181F"/>
    <w:rsid w:val="64D92F75"/>
    <w:rsid w:val="64F531DE"/>
    <w:rsid w:val="65044496"/>
    <w:rsid w:val="6526277C"/>
    <w:rsid w:val="65373578"/>
    <w:rsid w:val="655366B3"/>
    <w:rsid w:val="65591E42"/>
    <w:rsid w:val="65602EB3"/>
    <w:rsid w:val="65A22A70"/>
    <w:rsid w:val="65CB3FD9"/>
    <w:rsid w:val="65E919EB"/>
    <w:rsid w:val="65F75E06"/>
    <w:rsid w:val="65FF07B9"/>
    <w:rsid w:val="660404C6"/>
    <w:rsid w:val="66105161"/>
    <w:rsid w:val="6635242D"/>
    <w:rsid w:val="66532BCA"/>
    <w:rsid w:val="665A00E6"/>
    <w:rsid w:val="66795380"/>
    <w:rsid w:val="668D7140"/>
    <w:rsid w:val="66A82BFF"/>
    <w:rsid w:val="66C20165"/>
    <w:rsid w:val="66C75326"/>
    <w:rsid w:val="66C832A1"/>
    <w:rsid w:val="6703408D"/>
    <w:rsid w:val="671F124A"/>
    <w:rsid w:val="673D3C8F"/>
    <w:rsid w:val="67681FBC"/>
    <w:rsid w:val="677A33C6"/>
    <w:rsid w:val="678417F1"/>
    <w:rsid w:val="67A30CA0"/>
    <w:rsid w:val="67B6759A"/>
    <w:rsid w:val="67C5042C"/>
    <w:rsid w:val="67D0065F"/>
    <w:rsid w:val="67D55560"/>
    <w:rsid w:val="67DC34E6"/>
    <w:rsid w:val="68050E94"/>
    <w:rsid w:val="680E2F36"/>
    <w:rsid w:val="68130C2A"/>
    <w:rsid w:val="681F6961"/>
    <w:rsid w:val="68423787"/>
    <w:rsid w:val="68453A46"/>
    <w:rsid w:val="68610A2F"/>
    <w:rsid w:val="687C2595"/>
    <w:rsid w:val="687C4343"/>
    <w:rsid w:val="68805514"/>
    <w:rsid w:val="688515F7"/>
    <w:rsid w:val="68A31510"/>
    <w:rsid w:val="68B26B32"/>
    <w:rsid w:val="68B563A1"/>
    <w:rsid w:val="68CC52CB"/>
    <w:rsid w:val="68F6059A"/>
    <w:rsid w:val="68FB014E"/>
    <w:rsid w:val="690E4909"/>
    <w:rsid w:val="6911775A"/>
    <w:rsid w:val="69316E2F"/>
    <w:rsid w:val="69341797"/>
    <w:rsid w:val="693469CC"/>
    <w:rsid w:val="694E2071"/>
    <w:rsid w:val="6951390B"/>
    <w:rsid w:val="69515B9B"/>
    <w:rsid w:val="69687BBD"/>
    <w:rsid w:val="69766163"/>
    <w:rsid w:val="697A3B33"/>
    <w:rsid w:val="697C723F"/>
    <w:rsid w:val="69A34BFB"/>
    <w:rsid w:val="69D44760"/>
    <w:rsid w:val="69DB32EB"/>
    <w:rsid w:val="69E136D2"/>
    <w:rsid w:val="69EE128D"/>
    <w:rsid w:val="6A026ACA"/>
    <w:rsid w:val="6A1F7D6C"/>
    <w:rsid w:val="6A255DE9"/>
    <w:rsid w:val="6A313B65"/>
    <w:rsid w:val="6A4C6C40"/>
    <w:rsid w:val="6A520EC7"/>
    <w:rsid w:val="6A6634FD"/>
    <w:rsid w:val="6AC44C4A"/>
    <w:rsid w:val="6AF40B09"/>
    <w:rsid w:val="6AF87E20"/>
    <w:rsid w:val="6AFE3735"/>
    <w:rsid w:val="6B087983"/>
    <w:rsid w:val="6B1271E1"/>
    <w:rsid w:val="6B1463C9"/>
    <w:rsid w:val="6B197E03"/>
    <w:rsid w:val="6B322639"/>
    <w:rsid w:val="6B4D1FC7"/>
    <w:rsid w:val="6B5B0B88"/>
    <w:rsid w:val="6B5E5F82"/>
    <w:rsid w:val="6B6317EA"/>
    <w:rsid w:val="6B685053"/>
    <w:rsid w:val="6B790618"/>
    <w:rsid w:val="6BAC13E3"/>
    <w:rsid w:val="6BAD2A66"/>
    <w:rsid w:val="6BB838E4"/>
    <w:rsid w:val="6BC67DD0"/>
    <w:rsid w:val="6BF057B5"/>
    <w:rsid w:val="6C093CDC"/>
    <w:rsid w:val="6C136D6D"/>
    <w:rsid w:val="6C1F54A3"/>
    <w:rsid w:val="6C5D3B62"/>
    <w:rsid w:val="6C6266C6"/>
    <w:rsid w:val="6C636C38"/>
    <w:rsid w:val="6CA403EB"/>
    <w:rsid w:val="6CC14A1B"/>
    <w:rsid w:val="6CC22541"/>
    <w:rsid w:val="6CC904D8"/>
    <w:rsid w:val="6CE07597"/>
    <w:rsid w:val="6CE46D64"/>
    <w:rsid w:val="6CF23867"/>
    <w:rsid w:val="6CF6530B"/>
    <w:rsid w:val="6CFA1CDB"/>
    <w:rsid w:val="6D203BE5"/>
    <w:rsid w:val="6D57712D"/>
    <w:rsid w:val="6D5855E5"/>
    <w:rsid w:val="6D6D4BA2"/>
    <w:rsid w:val="6D723894"/>
    <w:rsid w:val="6DA3441B"/>
    <w:rsid w:val="6DB34098"/>
    <w:rsid w:val="6DB545B6"/>
    <w:rsid w:val="6DDE2415"/>
    <w:rsid w:val="6DE02FB4"/>
    <w:rsid w:val="6DEE65C2"/>
    <w:rsid w:val="6E0311B9"/>
    <w:rsid w:val="6E514CED"/>
    <w:rsid w:val="6E597143"/>
    <w:rsid w:val="6E82642B"/>
    <w:rsid w:val="6E9C129B"/>
    <w:rsid w:val="6E9F2B3A"/>
    <w:rsid w:val="6EB563D5"/>
    <w:rsid w:val="6ED722D3"/>
    <w:rsid w:val="6ED92677"/>
    <w:rsid w:val="6EDC3D8E"/>
    <w:rsid w:val="6EDC5B3C"/>
    <w:rsid w:val="6F150CD8"/>
    <w:rsid w:val="6F225983"/>
    <w:rsid w:val="6F353848"/>
    <w:rsid w:val="6F5A3425"/>
    <w:rsid w:val="6F7B6E33"/>
    <w:rsid w:val="6F957738"/>
    <w:rsid w:val="6FBE0934"/>
    <w:rsid w:val="6FC53CF9"/>
    <w:rsid w:val="6FC92C3F"/>
    <w:rsid w:val="6FD96115"/>
    <w:rsid w:val="6FFC5590"/>
    <w:rsid w:val="700510C2"/>
    <w:rsid w:val="70453CFB"/>
    <w:rsid w:val="7047792D"/>
    <w:rsid w:val="706C2EEF"/>
    <w:rsid w:val="706D1DD0"/>
    <w:rsid w:val="70856B87"/>
    <w:rsid w:val="709F6AF2"/>
    <w:rsid w:val="70D527EE"/>
    <w:rsid w:val="70E13B69"/>
    <w:rsid w:val="70F36958"/>
    <w:rsid w:val="71046832"/>
    <w:rsid w:val="712832BA"/>
    <w:rsid w:val="71396C1E"/>
    <w:rsid w:val="7150636D"/>
    <w:rsid w:val="715A10C8"/>
    <w:rsid w:val="715B5300"/>
    <w:rsid w:val="717764D1"/>
    <w:rsid w:val="71816E6E"/>
    <w:rsid w:val="71A233FA"/>
    <w:rsid w:val="71AA1E1F"/>
    <w:rsid w:val="71CB1E97"/>
    <w:rsid w:val="71D27F8A"/>
    <w:rsid w:val="71DB032D"/>
    <w:rsid w:val="71DC2529"/>
    <w:rsid w:val="72001B41"/>
    <w:rsid w:val="724D5E36"/>
    <w:rsid w:val="72553024"/>
    <w:rsid w:val="7288646A"/>
    <w:rsid w:val="72975FE7"/>
    <w:rsid w:val="72976A9F"/>
    <w:rsid w:val="72C64618"/>
    <w:rsid w:val="72D77B9A"/>
    <w:rsid w:val="72DC25AE"/>
    <w:rsid w:val="73031126"/>
    <w:rsid w:val="730B4C41"/>
    <w:rsid w:val="73122968"/>
    <w:rsid w:val="731F5D5E"/>
    <w:rsid w:val="732A0BBC"/>
    <w:rsid w:val="7338355D"/>
    <w:rsid w:val="73412411"/>
    <w:rsid w:val="734805F7"/>
    <w:rsid w:val="734819F2"/>
    <w:rsid w:val="73741E57"/>
    <w:rsid w:val="73C51AD5"/>
    <w:rsid w:val="73CD639B"/>
    <w:rsid w:val="74000E5C"/>
    <w:rsid w:val="74081ADB"/>
    <w:rsid w:val="740E4F9C"/>
    <w:rsid w:val="74122000"/>
    <w:rsid w:val="741E793C"/>
    <w:rsid w:val="74221FFE"/>
    <w:rsid w:val="745E3944"/>
    <w:rsid w:val="74727A91"/>
    <w:rsid w:val="747724D8"/>
    <w:rsid w:val="747777CB"/>
    <w:rsid w:val="748702F8"/>
    <w:rsid w:val="749D0C46"/>
    <w:rsid w:val="74BA1B50"/>
    <w:rsid w:val="74E77D09"/>
    <w:rsid w:val="74F62654"/>
    <w:rsid w:val="751A4A48"/>
    <w:rsid w:val="752F7DFF"/>
    <w:rsid w:val="7548217D"/>
    <w:rsid w:val="755F191B"/>
    <w:rsid w:val="75712C13"/>
    <w:rsid w:val="758807CB"/>
    <w:rsid w:val="758B7B2E"/>
    <w:rsid w:val="75A37C84"/>
    <w:rsid w:val="75B01AD0"/>
    <w:rsid w:val="75FF4CDC"/>
    <w:rsid w:val="760C521F"/>
    <w:rsid w:val="7635099D"/>
    <w:rsid w:val="763E7469"/>
    <w:rsid w:val="764861AD"/>
    <w:rsid w:val="768E73FB"/>
    <w:rsid w:val="76C375E1"/>
    <w:rsid w:val="76D33CC8"/>
    <w:rsid w:val="76D97A5F"/>
    <w:rsid w:val="76EC4D8A"/>
    <w:rsid w:val="76F65C09"/>
    <w:rsid w:val="77195F8F"/>
    <w:rsid w:val="772714C3"/>
    <w:rsid w:val="77385903"/>
    <w:rsid w:val="775F0B5C"/>
    <w:rsid w:val="77617526"/>
    <w:rsid w:val="77762421"/>
    <w:rsid w:val="77763821"/>
    <w:rsid w:val="777A693A"/>
    <w:rsid w:val="777A6FE0"/>
    <w:rsid w:val="77A318EC"/>
    <w:rsid w:val="77B56B1F"/>
    <w:rsid w:val="77E13BB3"/>
    <w:rsid w:val="780F09F4"/>
    <w:rsid w:val="78272F9B"/>
    <w:rsid w:val="782D2A5A"/>
    <w:rsid w:val="783562BD"/>
    <w:rsid w:val="78531FD1"/>
    <w:rsid w:val="788161B2"/>
    <w:rsid w:val="788B6810"/>
    <w:rsid w:val="78A90480"/>
    <w:rsid w:val="78AC4D05"/>
    <w:rsid w:val="78B542A3"/>
    <w:rsid w:val="78C903F0"/>
    <w:rsid w:val="78EC0642"/>
    <w:rsid w:val="78F32400"/>
    <w:rsid w:val="795F7A95"/>
    <w:rsid w:val="798B3FF9"/>
    <w:rsid w:val="79921C19"/>
    <w:rsid w:val="79A951B4"/>
    <w:rsid w:val="79BF22E2"/>
    <w:rsid w:val="7A33190C"/>
    <w:rsid w:val="7A364017"/>
    <w:rsid w:val="7A433CC9"/>
    <w:rsid w:val="7A556FB1"/>
    <w:rsid w:val="7A6F3029"/>
    <w:rsid w:val="7A761A33"/>
    <w:rsid w:val="7A796935"/>
    <w:rsid w:val="7A8265E1"/>
    <w:rsid w:val="7A9E4391"/>
    <w:rsid w:val="7AF4420D"/>
    <w:rsid w:val="7B02692A"/>
    <w:rsid w:val="7B0D1C89"/>
    <w:rsid w:val="7B3B0AF6"/>
    <w:rsid w:val="7B414AB4"/>
    <w:rsid w:val="7B4A16B9"/>
    <w:rsid w:val="7B686D42"/>
    <w:rsid w:val="7B745E1D"/>
    <w:rsid w:val="7B841746"/>
    <w:rsid w:val="7BAE713A"/>
    <w:rsid w:val="7BBD59B5"/>
    <w:rsid w:val="7BC167E5"/>
    <w:rsid w:val="7BE24417"/>
    <w:rsid w:val="7C12703F"/>
    <w:rsid w:val="7C33733A"/>
    <w:rsid w:val="7C4A5F0C"/>
    <w:rsid w:val="7C6C5AC7"/>
    <w:rsid w:val="7CA57EEA"/>
    <w:rsid w:val="7CAB4D9F"/>
    <w:rsid w:val="7CB112B8"/>
    <w:rsid w:val="7CC6544B"/>
    <w:rsid w:val="7CF07F99"/>
    <w:rsid w:val="7CF84BC0"/>
    <w:rsid w:val="7CFB2878"/>
    <w:rsid w:val="7D0239FF"/>
    <w:rsid w:val="7D120563"/>
    <w:rsid w:val="7D2A2168"/>
    <w:rsid w:val="7D5A717D"/>
    <w:rsid w:val="7D5E40CD"/>
    <w:rsid w:val="7D6531A0"/>
    <w:rsid w:val="7D8E1F01"/>
    <w:rsid w:val="7DAE0FEB"/>
    <w:rsid w:val="7DC91B18"/>
    <w:rsid w:val="7DCD56F2"/>
    <w:rsid w:val="7E084A8A"/>
    <w:rsid w:val="7E151A88"/>
    <w:rsid w:val="7E3660CE"/>
    <w:rsid w:val="7E6036C9"/>
    <w:rsid w:val="7E663674"/>
    <w:rsid w:val="7E7458E2"/>
    <w:rsid w:val="7E8E6727"/>
    <w:rsid w:val="7E9006F1"/>
    <w:rsid w:val="7EA321D2"/>
    <w:rsid w:val="7EE2719E"/>
    <w:rsid w:val="7EEA75F0"/>
    <w:rsid w:val="7EFD063C"/>
    <w:rsid w:val="7F001CE7"/>
    <w:rsid w:val="7F531E4A"/>
    <w:rsid w:val="7F6556D9"/>
    <w:rsid w:val="7F6B5261"/>
    <w:rsid w:val="7F6D00CE"/>
    <w:rsid w:val="7F89761A"/>
    <w:rsid w:val="7FB10A67"/>
    <w:rsid w:val="7FC556F1"/>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240" w:lineRule="auto"/>
      <w:ind w:firstLine="0" w:firstLineChars="0"/>
      <w:jc w:val="both"/>
    </w:pPr>
    <w:rPr>
      <w:rFonts w:ascii="Times New Roman" w:hAnsi="Times New Roman" w:eastAsia="宋体" w:cs="Times New Roman"/>
      <w:kern w:val="2"/>
      <w:sz w:val="24"/>
      <w:szCs w:val="24"/>
      <w:lang w:val="en-US" w:eastAsia="zh-CN" w:bidi="ar-SA"/>
    </w:rPr>
  </w:style>
  <w:style w:type="paragraph" w:styleId="5">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unhideWhenUsed/>
    <w:qFormat/>
    <w:uiPriority w:val="9"/>
    <w:pPr>
      <w:keepNext/>
      <w:keepLines/>
      <w:spacing w:before="120" w:after="120"/>
      <w:ind w:firstLine="0" w:firstLineChars="0"/>
      <w:outlineLvl w:val="1"/>
    </w:pPr>
    <w:rPr>
      <w:rFonts w:ascii="Cambria" w:hAnsi="Cambria"/>
      <w:b/>
      <w:bCs/>
      <w:kern w:val="0"/>
      <w:sz w:val="32"/>
      <w:szCs w:val="32"/>
    </w:rPr>
  </w:style>
  <w:style w:type="paragraph" w:styleId="7">
    <w:name w:val="heading 3"/>
    <w:basedOn w:val="1"/>
    <w:next w:val="1"/>
    <w:qFormat/>
    <w:uiPriority w:val="0"/>
    <w:pPr>
      <w:keepNext/>
      <w:keepLines/>
      <w:widowControl w:val="0"/>
      <w:suppressLineNumbers w:val="0"/>
      <w:spacing w:before="260" w:beforeAutospacing="0" w:after="260" w:afterAutospacing="0" w:line="240" w:lineRule="auto"/>
      <w:ind w:left="0" w:right="0"/>
      <w:jc w:val="both"/>
      <w:outlineLvl w:val="2"/>
    </w:pPr>
    <w:rPr>
      <w:rFonts w:ascii="Times New Roman" w:hAnsi="Times New Roman" w:eastAsia="宋体"/>
      <w:b/>
      <w:sz w:val="24"/>
      <w:szCs w:val="32"/>
    </w:rPr>
  </w:style>
  <w:style w:type="paragraph" w:styleId="8">
    <w:name w:val="heading 4"/>
    <w:basedOn w:val="1"/>
    <w:next w:val="1"/>
    <w:unhideWhenUsed/>
    <w:qFormat/>
    <w:uiPriority w:val="0"/>
    <w:pPr>
      <w:keepNext/>
      <w:keepLines/>
      <w:spacing w:before="120" w:after="120"/>
      <w:outlineLvl w:val="3"/>
    </w:pPr>
    <w:rPr>
      <w:rFonts w:ascii="Cambria" w:hAnsi="Cambria"/>
      <w:b/>
      <w:bCs/>
      <w:szCs w:val="28"/>
    </w:rPr>
  </w:style>
  <w:style w:type="character" w:default="1" w:styleId="25">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2">
    <w:name w:val="Body Text"/>
    <w:basedOn w:val="1"/>
    <w:next w:val="3"/>
    <w:link w:val="45"/>
    <w:qFormat/>
    <w:uiPriority w:val="0"/>
    <w:pPr>
      <w:widowControl/>
      <w:snapToGrid w:val="0"/>
      <w:spacing w:before="60" w:after="160" w:line="259" w:lineRule="auto"/>
      <w:ind w:right="113"/>
    </w:pPr>
    <w:rPr>
      <w:kern w:val="0"/>
      <w:sz w:val="18"/>
      <w:szCs w:val="20"/>
    </w:rPr>
  </w:style>
  <w:style w:type="paragraph" w:customStyle="1" w:styleId="3">
    <w:name w:val="xl27"/>
    <w:basedOn w:val="1"/>
    <w:next w:val="4"/>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4">
    <w:name w:val="Body Text Indent 2"/>
    <w:basedOn w:val="1"/>
    <w:next w:val="1"/>
    <w:unhideWhenUsed/>
    <w:qFormat/>
    <w:uiPriority w:val="99"/>
    <w:pPr>
      <w:spacing w:beforeLines="0" w:after="120" w:afterLines="0" w:line="480" w:lineRule="auto"/>
      <w:ind w:left="420" w:leftChars="200"/>
    </w:pPr>
    <w:rPr>
      <w:rFonts w:hint="default"/>
      <w:sz w:val="21"/>
      <w:szCs w:val="24"/>
    </w:rPr>
  </w:style>
  <w:style w:type="paragraph" w:styleId="9">
    <w:name w:val="Normal Indent"/>
    <w:basedOn w:val="1"/>
    <w:unhideWhenUsed/>
    <w:qFormat/>
    <w:uiPriority w:val="0"/>
    <w:pPr>
      <w:ind w:firstLine="420" w:firstLineChars="200"/>
    </w:pPr>
  </w:style>
  <w:style w:type="paragraph" w:styleId="10">
    <w:name w:val="caption"/>
    <w:basedOn w:val="1"/>
    <w:next w:val="1"/>
    <w:qFormat/>
    <w:uiPriority w:val="0"/>
    <w:pPr>
      <w:adjustRightInd w:val="0"/>
      <w:ind w:firstLine="0" w:firstLineChars="0"/>
      <w:jc w:val="center"/>
      <w:textAlignment w:val="baseline"/>
    </w:pPr>
    <w:rPr>
      <w:b/>
      <w:sz w:val="21"/>
      <w:szCs w:val="28"/>
    </w:rPr>
  </w:style>
  <w:style w:type="paragraph" w:styleId="11">
    <w:name w:val="annotation text"/>
    <w:basedOn w:val="1"/>
    <w:link w:val="44"/>
    <w:semiHidden/>
    <w:qFormat/>
    <w:uiPriority w:val="0"/>
    <w:pPr>
      <w:jc w:val="left"/>
    </w:pPr>
    <w:rPr>
      <w:kern w:val="0"/>
      <w:sz w:val="24"/>
      <w:szCs w:val="20"/>
    </w:rPr>
  </w:style>
  <w:style w:type="paragraph" w:styleId="12">
    <w:name w:val="Body Text Indent"/>
    <w:basedOn w:val="1"/>
    <w:next w:val="13"/>
    <w:link w:val="46"/>
    <w:qFormat/>
    <w:uiPriority w:val="0"/>
    <w:pPr>
      <w:spacing w:after="120"/>
      <w:ind w:left="420" w:leftChars="200"/>
    </w:pPr>
    <w:rPr>
      <w:kern w:val="0"/>
      <w:sz w:val="24"/>
      <w:szCs w:val="20"/>
    </w:rPr>
  </w:style>
  <w:style w:type="paragraph" w:customStyle="1" w:styleId="13">
    <w:name w:val="样式 正文文本缩进 + 行距: 1.5 倍行距"/>
    <w:basedOn w:val="12"/>
    <w:qFormat/>
    <w:uiPriority w:val="0"/>
    <w:pPr>
      <w:spacing w:before="0" w:after="120"/>
      <w:ind w:left="90" w:leftChars="32" w:firstLine="560" w:firstLineChars="200"/>
    </w:pPr>
    <w:rPr>
      <w:rFonts w:ascii="Times New Roman" w:cs="宋体"/>
    </w:rPr>
  </w:style>
  <w:style w:type="paragraph" w:styleId="14">
    <w:name w:val="Date"/>
    <w:basedOn w:val="1"/>
    <w:next w:val="1"/>
    <w:link w:val="47"/>
    <w:qFormat/>
    <w:uiPriority w:val="0"/>
    <w:pPr>
      <w:ind w:left="100" w:leftChars="2500"/>
    </w:pPr>
    <w:rPr>
      <w:kern w:val="0"/>
      <w:sz w:val="24"/>
      <w:szCs w:val="20"/>
    </w:rPr>
  </w:style>
  <w:style w:type="paragraph" w:styleId="15">
    <w:name w:val="Balloon Text"/>
    <w:basedOn w:val="1"/>
    <w:link w:val="48"/>
    <w:semiHidden/>
    <w:qFormat/>
    <w:uiPriority w:val="0"/>
    <w:rPr>
      <w:kern w:val="0"/>
      <w:sz w:val="18"/>
      <w:szCs w:val="20"/>
    </w:rPr>
  </w:style>
  <w:style w:type="paragraph" w:styleId="16">
    <w:name w:val="footer"/>
    <w:basedOn w:val="1"/>
    <w:link w:val="49"/>
    <w:qFormat/>
    <w:uiPriority w:val="99"/>
    <w:pPr>
      <w:tabs>
        <w:tab w:val="center" w:pos="4153"/>
        <w:tab w:val="right" w:pos="8306"/>
      </w:tabs>
      <w:snapToGrid w:val="0"/>
      <w:jc w:val="left"/>
    </w:pPr>
    <w:rPr>
      <w:kern w:val="0"/>
      <w:sz w:val="18"/>
      <w:szCs w:val="20"/>
    </w:rPr>
  </w:style>
  <w:style w:type="paragraph" w:styleId="17">
    <w:name w:val="header"/>
    <w:basedOn w:val="1"/>
    <w:link w:val="50"/>
    <w:qFormat/>
    <w:uiPriority w:val="0"/>
    <w:pPr>
      <w:pBdr>
        <w:bottom w:val="single" w:color="auto" w:sz="6" w:space="1"/>
      </w:pBdr>
      <w:tabs>
        <w:tab w:val="center" w:pos="4153"/>
        <w:tab w:val="right" w:pos="8306"/>
      </w:tabs>
      <w:snapToGrid w:val="0"/>
      <w:jc w:val="center"/>
    </w:pPr>
    <w:rPr>
      <w:kern w:val="0"/>
      <w:sz w:val="18"/>
      <w:szCs w:val="20"/>
    </w:rPr>
  </w:style>
  <w:style w:type="paragraph" w:styleId="18">
    <w:name w:val="Normal (Web)"/>
    <w:basedOn w:val="1"/>
    <w:link w:val="51"/>
    <w:qFormat/>
    <w:uiPriority w:val="0"/>
    <w:pPr>
      <w:widowControl/>
      <w:spacing w:before="100" w:beforeAutospacing="1" w:after="100" w:afterAutospacing="1"/>
      <w:jc w:val="left"/>
    </w:pPr>
    <w:rPr>
      <w:rFonts w:ascii="宋体" w:hAnsi="宋体"/>
      <w:kern w:val="0"/>
      <w:sz w:val="24"/>
      <w:szCs w:val="20"/>
    </w:rPr>
  </w:style>
  <w:style w:type="paragraph" w:styleId="19">
    <w:name w:val="annotation subject"/>
    <w:basedOn w:val="11"/>
    <w:next w:val="11"/>
    <w:link w:val="52"/>
    <w:semiHidden/>
    <w:qFormat/>
    <w:uiPriority w:val="0"/>
    <w:rPr>
      <w:b/>
      <w:sz w:val="24"/>
      <w:szCs w:val="20"/>
    </w:rPr>
  </w:style>
  <w:style w:type="paragraph" w:styleId="20">
    <w:name w:val="Body Text First Indent"/>
    <w:basedOn w:val="2"/>
    <w:qFormat/>
    <w:uiPriority w:val="0"/>
    <w:pPr>
      <w:ind w:firstLine="420" w:firstLineChars="100"/>
    </w:pPr>
    <w:rPr>
      <w:rFonts w:ascii="Times New Roman" w:hAnsi="Times New Roman" w:eastAsia="宋体" w:cs="Times New Roman"/>
    </w:rPr>
  </w:style>
  <w:style w:type="paragraph" w:styleId="21">
    <w:name w:val="Body Text First Indent 2"/>
    <w:basedOn w:val="12"/>
    <w:next w:val="1"/>
    <w:qFormat/>
    <w:uiPriority w:val="0"/>
    <w:pPr>
      <w:ind w:firstLine="420"/>
    </w:pPr>
  </w:style>
  <w:style w:type="table" w:styleId="23">
    <w:name w:val="Table Grid"/>
    <w:basedOn w:val="22"/>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4">
    <w:name w:val="Table Grid 5"/>
    <w:basedOn w:val="2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single" w:color="000000" w:sz="12" w:space="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26">
    <w:name w:val="page number"/>
    <w:basedOn w:val="25"/>
    <w:qFormat/>
    <w:uiPriority w:val="0"/>
  </w:style>
  <w:style w:type="character" w:styleId="27">
    <w:name w:val="Hyperlink"/>
    <w:basedOn w:val="25"/>
    <w:qFormat/>
    <w:uiPriority w:val="0"/>
    <w:rPr>
      <w:color w:val="0000FF"/>
      <w:u w:val="single"/>
    </w:rPr>
  </w:style>
  <w:style w:type="character" w:styleId="28">
    <w:name w:val="annotation reference"/>
    <w:semiHidden/>
    <w:qFormat/>
    <w:uiPriority w:val="0"/>
    <w:rPr>
      <w:sz w:val="21"/>
    </w:rPr>
  </w:style>
  <w:style w:type="paragraph" w:customStyle="1" w:styleId="29">
    <w:name w:val="环评正文"/>
    <w:basedOn w:val="1"/>
    <w:qFormat/>
    <w:uiPriority w:val="0"/>
    <w:pPr>
      <w:spacing w:line="360" w:lineRule="auto"/>
      <w:ind w:firstLine="720" w:firstLineChars="200"/>
      <w:jc w:val="center"/>
    </w:pPr>
    <w:rPr>
      <w:rFonts w:ascii="Times New Roman" w:hAnsi="Times New Roman" w:eastAsia="宋体"/>
      <w:sz w:val="24"/>
    </w:rPr>
  </w:style>
  <w:style w:type="paragraph" w:customStyle="1" w:styleId="30">
    <w:name w:val="表格内容"/>
    <w:basedOn w:val="9"/>
    <w:next w:val="31"/>
    <w:qFormat/>
    <w:uiPriority w:val="0"/>
    <w:pPr>
      <w:jc w:val="center"/>
    </w:pPr>
  </w:style>
  <w:style w:type="paragraph" w:customStyle="1" w:styleId="31">
    <w:name w:val="表格表头"/>
    <w:basedOn w:val="1"/>
    <w:link w:val="34"/>
    <w:unhideWhenUsed/>
    <w:qFormat/>
    <w:uiPriority w:val="0"/>
    <w:pPr>
      <w:adjustRightInd w:val="0"/>
      <w:snapToGrid w:val="0"/>
      <w:spacing w:beforeLines="0" w:afterLines="0" w:line="240" w:lineRule="auto"/>
      <w:ind w:firstLine="0" w:firstLineChars="0"/>
      <w:jc w:val="center"/>
    </w:pPr>
    <w:rPr>
      <w:rFonts w:hint="eastAsia" w:ascii="Times New Roman" w:hAnsi="Times New Roman"/>
      <w:b/>
      <w:sz w:val="21"/>
    </w:rPr>
  </w:style>
  <w:style w:type="paragraph" w:customStyle="1" w:styleId="32">
    <w:name w:val="表格标题"/>
    <w:basedOn w:val="1"/>
    <w:link w:val="65"/>
    <w:qFormat/>
    <w:uiPriority w:val="0"/>
    <w:pPr>
      <w:ind w:firstLine="0" w:firstLineChars="0"/>
      <w:jc w:val="center"/>
    </w:pPr>
    <w:rPr>
      <w:b/>
      <w:sz w:val="21"/>
    </w:rPr>
  </w:style>
  <w:style w:type="paragraph" w:customStyle="1" w:styleId="33">
    <w:name w:val="表标题"/>
    <w:basedOn w:val="1"/>
    <w:link w:val="64"/>
    <w:qFormat/>
    <w:uiPriority w:val="0"/>
    <w:pPr>
      <w:spacing w:line="240" w:lineRule="auto"/>
      <w:jc w:val="center"/>
    </w:pPr>
    <w:rPr>
      <w:b/>
      <w:kern w:val="0"/>
      <w:sz w:val="21"/>
      <w:szCs w:val="20"/>
    </w:rPr>
  </w:style>
  <w:style w:type="character" w:customStyle="1" w:styleId="34">
    <w:name w:val="表格表头 Char"/>
    <w:link w:val="31"/>
    <w:qFormat/>
    <w:uiPriority w:val="0"/>
    <w:rPr>
      <w:rFonts w:hint="eastAsia" w:ascii="Times New Roman" w:hAnsi="Times New Roman"/>
      <w:b/>
      <w:sz w:val="21"/>
    </w:rPr>
  </w:style>
  <w:style w:type="paragraph" w:customStyle="1" w:styleId="35">
    <w:name w:val="表格文字"/>
    <w:basedOn w:val="20"/>
    <w:qFormat/>
    <w:uiPriority w:val="0"/>
    <w:pPr>
      <w:adjustRightInd w:val="0"/>
      <w:snapToGrid w:val="0"/>
      <w:spacing w:after="0" w:afterLines="0"/>
      <w:ind w:firstLine="0" w:firstLineChars="0"/>
      <w:jc w:val="center"/>
    </w:pPr>
    <w:rPr>
      <w:rFonts w:ascii="Times New Roman" w:hAnsi="Times New Roman" w:eastAsia="宋体" w:cs="Times New Roman"/>
      <w:sz w:val="21"/>
      <w:szCs w:val="20"/>
    </w:rPr>
  </w:style>
  <w:style w:type="paragraph" w:customStyle="1" w:styleId="36">
    <w:name w:val="正文1"/>
    <w:basedOn w:val="1"/>
    <w:next w:val="1"/>
    <w:link w:val="80"/>
    <w:qFormat/>
    <w:uiPriority w:val="0"/>
    <w:pPr>
      <w:spacing w:line="360" w:lineRule="auto"/>
      <w:ind w:firstLine="723" w:firstLineChars="200"/>
    </w:pPr>
    <w:rPr>
      <w:rFonts w:ascii="Times New Roman" w:hAnsi="Times New Roman" w:eastAsia="宋体"/>
      <w:kern w:val="0"/>
      <w:szCs w:val="20"/>
    </w:rPr>
  </w:style>
  <w:style w:type="paragraph" w:customStyle="1" w:styleId="37">
    <w:name w:val="表字体"/>
    <w:next w:val="1"/>
    <w:qFormat/>
    <w:uiPriority w:val="0"/>
    <w:pPr>
      <w:spacing w:line="240" w:lineRule="auto"/>
      <w:jc w:val="center"/>
    </w:pPr>
    <w:rPr>
      <w:rFonts w:ascii="Times New Roman" w:hAnsi="Times New Roman" w:eastAsia="宋体" w:cs="Times New Roman"/>
      <w:sz w:val="21"/>
    </w:rPr>
  </w:style>
  <w:style w:type="paragraph" w:customStyle="1" w:styleId="38">
    <w:name w:val="四级条标题"/>
    <w:basedOn w:val="39"/>
    <w:next w:val="43"/>
    <w:qFormat/>
    <w:uiPriority w:val="0"/>
    <w:pPr>
      <w:widowControl/>
      <w:numPr>
        <w:ilvl w:val="3"/>
        <w:numId w:val="0"/>
      </w:numPr>
      <w:tabs>
        <w:tab w:val="left" w:pos="1260"/>
        <w:tab w:val="left" w:pos="1680"/>
      </w:tabs>
      <w:outlineLvl w:val="5"/>
    </w:pPr>
    <w:rPr>
      <w:rFonts w:ascii="黑体" w:eastAsia="黑体"/>
      <w:kern w:val="0"/>
      <w:szCs w:val="20"/>
    </w:rPr>
  </w:style>
  <w:style w:type="paragraph" w:customStyle="1" w:styleId="39">
    <w:name w:val="三级条标题"/>
    <w:basedOn w:val="40"/>
    <w:next w:val="43"/>
    <w:qFormat/>
    <w:uiPriority w:val="0"/>
    <w:pPr>
      <w:numPr>
        <w:ilvl w:val="3"/>
        <w:numId w:val="0"/>
      </w:numPr>
      <w:tabs>
        <w:tab w:val="left" w:pos="1260"/>
        <w:tab w:val="left" w:pos="1680"/>
      </w:tabs>
      <w:outlineLvl w:val="4"/>
    </w:pPr>
  </w:style>
  <w:style w:type="paragraph" w:customStyle="1" w:styleId="40">
    <w:name w:val="二级条标题"/>
    <w:basedOn w:val="41"/>
    <w:next w:val="43"/>
    <w:qFormat/>
    <w:uiPriority w:val="0"/>
    <w:pPr>
      <w:numPr>
        <w:ilvl w:val="3"/>
        <w:numId w:val="1"/>
      </w:numPr>
      <w:tabs>
        <w:tab w:val="left" w:pos="1260"/>
      </w:tabs>
      <w:outlineLvl w:val="3"/>
    </w:pPr>
  </w:style>
  <w:style w:type="paragraph" w:customStyle="1" w:styleId="41">
    <w:name w:val="一级条标题"/>
    <w:basedOn w:val="42"/>
    <w:next w:val="43"/>
    <w:qFormat/>
    <w:uiPriority w:val="0"/>
    <w:pPr>
      <w:numPr>
        <w:ilvl w:val="2"/>
        <w:numId w:val="1"/>
      </w:numPr>
      <w:spacing w:before="0" w:beforeLines="0" w:after="0" w:afterLines="0"/>
      <w:outlineLvl w:val="2"/>
    </w:pPr>
  </w:style>
  <w:style w:type="paragraph" w:customStyle="1" w:styleId="42">
    <w:name w:val="章标题"/>
    <w:next w:val="43"/>
    <w:qFormat/>
    <w:uiPriority w:val="0"/>
    <w:pPr>
      <w:spacing w:before="156" w:beforeLines="50" w:after="156" w:afterLines="50"/>
      <w:jc w:val="both"/>
      <w:outlineLvl w:val="1"/>
    </w:pPr>
    <w:rPr>
      <w:rFonts w:ascii="黑体" w:hAnsi="Calibri" w:eastAsia="黑体" w:cs="Times New Roman"/>
      <w:sz w:val="21"/>
      <w:szCs w:val="22"/>
      <w:lang w:val="en-US" w:eastAsia="zh-CN" w:bidi="ar-SA"/>
    </w:rPr>
  </w:style>
  <w:style w:type="paragraph" w:customStyle="1" w:styleId="43">
    <w:name w:val="段"/>
    <w:qFormat/>
    <w:uiPriority w:val="0"/>
    <w:pPr>
      <w:autoSpaceDE w:val="0"/>
      <w:autoSpaceDN w:val="0"/>
      <w:ind w:firstLine="200" w:firstLineChars="200"/>
      <w:jc w:val="both"/>
    </w:pPr>
    <w:rPr>
      <w:rFonts w:ascii="宋体" w:hAnsi="Calibri" w:eastAsia="宋体" w:cs="Times New Roman"/>
      <w:sz w:val="21"/>
      <w:szCs w:val="22"/>
      <w:lang w:val="en-US" w:eastAsia="zh-CN" w:bidi="ar-SA"/>
    </w:rPr>
  </w:style>
  <w:style w:type="character" w:customStyle="1" w:styleId="44">
    <w:name w:val="批注文字 Char"/>
    <w:link w:val="11"/>
    <w:qFormat/>
    <w:uiPriority w:val="0"/>
    <w:rPr>
      <w:rFonts w:ascii="Times New Roman" w:hAnsi="Times New Roman" w:eastAsia="宋体"/>
      <w:sz w:val="24"/>
    </w:rPr>
  </w:style>
  <w:style w:type="character" w:customStyle="1" w:styleId="45">
    <w:name w:val="正文文本 Char"/>
    <w:link w:val="2"/>
    <w:qFormat/>
    <w:uiPriority w:val="0"/>
    <w:rPr>
      <w:sz w:val="18"/>
    </w:rPr>
  </w:style>
  <w:style w:type="character" w:customStyle="1" w:styleId="46">
    <w:name w:val="正文文本缩进 Char"/>
    <w:link w:val="12"/>
    <w:semiHidden/>
    <w:qFormat/>
    <w:uiPriority w:val="0"/>
    <w:rPr>
      <w:rFonts w:ascii="Times New Roman" w:hAnsi="Times New Roman" w:eastAsia="宋体"/>
      <w:sz w:val="24"/>
    </w:rPr>
  </w:style>
  <w:style w:type="character" w:customStyle="1" w:styleId="47">
    <w:name w:val="日期 Char"/>
    <w:link w:val="14"/>
    <w:qFormat/>
    <w:uiPriority w:val="0"/>
    <w:rPr>
      <w:rFonts w:ascii="Times New Roman" w:hAnsi="Times New Roman" w:eastAsia="宋体"/>
      <w:sz w:val="24"/>
    </w:rPr>
  </w:style>
  <w:style w:type="character" w:customStyle="1" w:styleId="48">
    <w:name w:val="批注框文本 Char"/>
    <w:link w:val="15"/>
    <w:semiHidden/>
    <w:qFormat/>
    <w:uiPriority w:val="0"/>
    <w:rPr>
      <w:rFonts w:ascii="Times New Roman" w:hAnsi="Times New Roman" w:eastAsia="宋体"/>
      <w:sz w:val="18"/>
    </w:rPr>
  </w:style>
  <w:style w:type="character" w:customStyle="1" w:styleId="49">
    <w:name w:val="页脚 Char"/>
    <w:link w:val="16"/>
    <w:qFormat/>
    <w:uiPriority w:val="99"/>
    <w:rPr>
      <w:sz w:val="18"/>
    </w:rPr>
  </w:style>
  <w:style w:type="character" w:customStyle="1" w:styleId="50">
    <w:name w:val="页眉 Char"/>
    <w:link w:val="17"/>
    <w:qFormat/>
    <w:uiPriority w:val="0"/>
    <w:rPr>
      <w:sz w:val="18"/>
    </w:rPr>
  </w:style>
  <w:style w:type="character" w:customStyle="1" w:styleId="51">
    <w:name w:val="普通(网站) Char"/>
    <w:link w:val="18"/>
    <w:qFormat/>
    <w:uiPriority w:val="0"/>
    <w:rPr>
      <w:rFonts w:ascii="宋体" w:hAnsi="宋体" w:eastAsia="宋体"/>
      <w:sz w:val="24"/>
    </w:rPr>
  </w:style>
  <w:style w:type="character" w:customStyle="1" w:styleId="52">
    <w:name w:val="批注主题 Char"/>
    <w:link w:val="19"/>
    <w:semiHidden/>
    <w:qFormat/>
    <w:uiPriority w:val="0"/>
    <w:rPr>
      <w:rFonts w:ascii="Times New Roman" w:hAnsi="Times New Roman" w:eastAsia="宋体"/>
      <w:b/>
      <w:kern w:val="2"/>
      <w:sz w:val="24"/>
    </w:rPr>
  </w:style>
  <w:style w:type="paragraph" w:customStyle="1" w:styleId="53">
    <w:name w:val="表格"/>
    <w:basedOn w:val="1"/>
    <w:next w:val="1"/>
    <w:link w:val="54"/>
    <w:qFormat/>
    <w:uiPriority w:val="0"/>
    <w:pPr>
      <w:adjustRightInd w:val="0"/>
      <w:snapToGrid w:val="0"/>
      <w:spacing w:beforeLines="10" w:afterLines="10" w:line="259" w:lineRule="auto"/>
      <w:jc w:val="center"/>
    </w:pPr>
    <w:rPr>
      <w:rFonts w:ascii="宋体"/>
      <w:kern w:val="0"/>
      <w:szCs w:val="20"/>
    </w:rPr>
  </w:style>
  <w:style w:type="character" w:customStyle="1" w:styleId="54">
    <w:name w:val="表格 Char"/>
    <w:link w:val="53"/>
    <w:qFormat/>
    <w:uiPriority w:val="0"/>
    <w:rPr>
      <w:rFonts w:ascii="宋体"/>
      <w:sz w:val="21"/>
    </w:rPr>
  </w:style>
  <w:style w:type="paragraph" w:customStyle="1" w:styleId="55">
    <w:name w:val="标题一级"/>
    <w:basedOn w:val="1"/>
    <w:qFormat/>
    <w:uiPriority w:val="0"/>
    <w:pPr>
      <w:spacing w:line="360" w:lineRule="auto"/>
      <w:ind w:firstLine="0" w:firstLineChars="0"/>
      <w:jc w:val="left"/>
    </w:pPr>
    <w:rPr>
      <w:rFonts w:ascii="Times New Roman" w:hAnsi="Times New Roman" w:eastAsia="宋体"/>
      <w:b/>
      <w:sz w:val="28"/>
      <w:szCs w:val="28"/>
    </w:rPr>
  </w:style>
  <w:style w:type="paragraph" w:customStyle="1" w:styleId="56">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7">
    <w:name w:val="环评正文Z"/>
    <w:basedOn w:val="1"/>
    <w:link w:val="58"/>
    <w:qFormat/>
    <w:uiPriority w:val="0"/>
    <w:pPr>
      <w:spacing w:line="360" w:lineRule="auto"/>
      <w:ind w:firstLine="723" w:firstLineChars="200"/>
    </w:pPr>
    <w:rPr>
      <w:sz w:val="24"/>
    </w:rPr>
  </w:style>
  <w:style w:type="character" w:customStyle="1" w:styleId="58">
    <w:name w:val="环评正文Z Char"/>
    <w:link w:val="57"/>
    <w:qFormat/>
    <w:uiPriority w:val="0"/>
    <w:rPr>
      <w:sz w:val="24"/>
    </w:rPr>
  </w:style>
  <w:style w:type="paragraph" w:customStyle="1" w:styleId="59">
    <w:name w:val="二级标题"/>
    <w:basedOn w:val="1"/>
    <w:next w:val="60"/>
    <w:qFormat/>
    <w:uiPriority w:val="0"/>
    <w:pPr>
      <w:spacing w:line="360" w:lineRule="auto"/>
      <w:ind w:firstLine="723" w:firstLineChars="200"/>
    </w:pPr>
    <w:rPr>
      <w:b/>
      <w:sz w:val="24"/>
    </w:rPr>
  </w:style>
  <w:style w:type="paragraph" w:customStyle="1" w:styleId="60">
    <w:name w:val="环评正文Zhou Bin"/>
    <w:basedOn w:val="1"/>
    <w:qFormat/>
    <w:uiPriority w:val="0"/>
    <w:pPr>
      <w:spacing w:line="360" w:lineRule="auto"/>
      <w:ind w:firstLine="723" w:firstLineChars="200"/>
    </w:pPr>
    <w:rPr>
      <w:rFonts w:ascii="Times New Roman" w:hAnsi="Times New Roman" w:eastAsia="宋体" w:cs="Times New Roman"/>
      <w:sz w:val="24"/>
    </w:rPr>
  </w:style>
  <w:style w:type="paragraph" w:customStyle="1" w:styleId="61">
    <w:name w:val="表图表题"/>
    <w:basedOn w:val="1"/>
    <w:next w:val="30"/>
    <w:link w:val="62"/>
    <w:qFormat/>
    <w:uiPriority w:val="0"/>
    <w:pPr>
      <w:jc w:val="center"/>
    </w:pPr>
    <w:rPr>
      <w:b/>
    </w:rPr>
  </w:style>
  <w:style w:type="character" w:customStyle="1" w:styleId="62">
    <w:name w:val="表图表题 Char"/>
    <w:link w:val="61"/>
    <w:qFormat/>
    <w:uiPriority w:val="0"/>
    <w:rPr>
      <w:b/>
    </w:rPr>
  </w:style>
  <w:style w:type="paragraph" w:customStyle="1" w:styleId="63">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64">
    <w:name w:val="表标题 Char"/>
    <w:link w:val="33"/>
    <w:qFormat/>
    <w:uiPriority w:val="0"/>
    <w:rPr>
      <w:b/>
      <w:kern w:val="0"/>
      <w:sz w:val="21"/>
      <w:szCs w:val="20"/>
    </w:rPr>
  </w:style>
  <w:style w:type="character" w:customStyle="1" w:styleId="65">
    <w:name w:val="表格标题 Char"/>
    <w:link w:val="32"/>
    <w:qFormat/>
    <w:uiPriority w:val="0"/>
    <w:rPr>
      <w:b/>
      <w:sz w:val="21"/>
    </w:rPr>
  </w:style>
  <w:style w:type="paragraph" w:customStyle="1" w:styleId="66">
    <w:name w:val="标题二级"/>
    <w:basedOn w:val="1"/>
    <w:qFormat/>
    <w:uiPriority w:val="0"/>
    <w:pPr>
      <w:ind w:firstLine="720" w:firstLineChars="200"/>
      <w:jc w:val="left"/>
    </w:pPr>
    <w:rPr>
      <w:rFonts w:ascii="Times New Roman" w:hAnsi="Times New Roman" w:eastAsia="宋体"/>
      <w:b/>
      <w:sz w:val="24"/>
    </w:rPr>
  </w:style>
  <w:style w:type="paragraph" w:customStyle="1" w:styleId="67">
    <w:name w:val="备注"/>
    <w:basedOn w:val="1"/>
    <w:qFormat/>
    <w:uiPriority w:val="0"/>
    <w:pPr>
      <w:spacing w:line="240" w:lineRule="auto"/>
      <w:ind w:firstLine="723" w:firstLineChars="200"/>
    </w:pPr>
    <w:rPr>
      <w:rFonts w:ascii="Times New Roman" w:hAnsi="Times New Roman" w:eastAsia="宋体"/>
      <w:b/>
      <w:sz w:val="21"/>
      <w:szCs w:val="21"/>
    </w:rPr>
  </w:style>
  <w:style w:type="character" w:customStyle="1" w:styleId="68">
    <w:name w:val="页脚 字符"/>
    <w:basedOn w:val="25"/>
    <w:qFormat/>
    <w:uiPriority w:val="99"/>
  </w:style>
  <w:style w:type="character" w:customStyle="1" w:styleId="69">
    <w:name w:val="日期 字符"/>
    <w:semiHidden/>
    <w:qFormat/>
    <w:uiPriority w:val="0"/>
    <w:rPr>
      <w:rFonts w:ascii="Times New Roman" w:hAnsi="Times New Roman" w:eastAsia="宋体"/>
      <w:sz w:val="24"/>
    </w:rPr>
  </w:style>
  <w:style w:type="character" w:customStyle="1" w:styleId="70">
    <w:name w:val="批注文字 字符1"/>
    <w:semiHidden/>
    <w:qFormat/>
    <w:uiPriority w:val="0"/>
    <w:rPr>
      <w:rFonts w:ascii="Times New Roman" w:hAnsi="Times New Roman" w:eastAsia="宋体"/>
      <w:sz w:val="24"/>
    </w:rPr>
  </w:style>
  <w:style w:type="character" w:customStyle="1" w:styleId="71">
    <w:name w:val="正文文本 字符1"/>
    <w:semiHidden/>
    <w:qFormat/>
    <w:uiPriority w:val="0"/>
    <w:rPr>
      <w:rFonts w:ascii="Times New Roman" w:hAnsi="Times New Roman" w:eastAsia="宋体"/>
      <w:sz w:val="24"/>
    </w:rPr>
  </w:style>
  <w:style w:type="paragraph" w:customStyle="1" w:styleId="72">
    <w:name w:val="1标题"/>
    <w:basedOn w:val="1"/>
    <w:qFormat/>
    <w:uiPriority w:val="0"/>
    <w:pPr>
      <w:spacing w:line="360" w:lineRule="auto"/>
    </w:pPr>
    <w:rPr>
      <w:rFonts w:ascii="Times New Roman" w:hAnsi="Times New Roman"/>
      <w:sz w:val="24"/>
    </w:rPr>
  </w:style>
  <w:style w:type="paragraph" w:customStyle="1" w:styleId="73">
    <w:name w:val="样式1"/>
    <w:basedOn w:val="1"/>
    <w:link w:val="74"/>
    <w:qFormat/>
    <w:uiPriority w:val="0"/>
    <w:pPr>
      <w:bidi/>
      <w:spacing w:before="50" w:beforeLines="50" w:line="360" w:lineRule="auto"/>
      <w:jc w:val="center"/>
      <w:outlineLvl w:val="9"/>
    </w:pPr>
    <w:rPr>
      <w:rFonts w:hint="eastAsia" w:ascii="Times New Roman" w:hAnsi="Times New Roman"/>
    </w:rPr>
  </w:style>
  <w:style w:type="character" w:customStyle="1" w:styleId="74">
    <w:name w:val="样式1 Char"/>
    <w:link w:val="73"/>
    <w:qFormat/>
    <w:uiPriority w:val="0"/>
    <w:rPr>
      <w:rFonts w:hint="eastAsia" w:ascii="Times New Roman" w:hAnsi="Times New Roman"/>
    </w:rPr>
  </w:style>
  <w:style w:type="character" w:customStyle="1" w:styleId="75">
    <w:name w:val="font11"/>
    <w:basedOn w:val="25"/>
    <w:qFormat/>
    <w:uiPriority w:val="0"/>
    <w:rPr>
      <w:rFonts w:hint="eastAsia" w:ascii="宋体" w:hAnsi="宋体" w:eastAsia="宋体" w:cs="宋体"/>
      <w:color w:val="000000"/>
      <w:sz w:val="21"/>
      <w:szCs w:val="21"/>
      <w:u w:val="none"/>
    </w:rPr>
  </w:style>
  <w:style w:type="character" w:customStyle="1" w:styleId="76">
    <w:name w:val="font31"/>
    <w:basedOn w:val="25"/>
    <w:qFormat/>
    <w:uiPriority w:val="0"/>
    <w:rPr>
      <w:rFonts w:hint="default" w:ascii="Times New Roman" w:hAnsi="Times New Roman" w:cs="Times New Roman"/>
      <w:color w:val="000000"/>
      <w:sz w:val="21"/>
      <w:szCs w:val="21"/>
      <w:u w:val="none"/>
    </w:rPr>
  </w:style>
  <w:style w:type="character" w:customStyle="1" w:styleId="77">
    <w:name w:val="font01"/>
    <w:basedOn w:val="25"/>
    <w:qFormat/>
    <w:uiPriority w:val="0"/>
    <w:rPr>
      <w:rFonts w:hint="default" w:ascii="Times New Roman" w:hAnsi="Times New Roman" w:cs="Times New Roman"/>
      <w:color w:val="000000"/>
      <w:sz w:val="21"/>
      <w:szCs w:val="21"/>
      <w:u w:val="none"/>
      <w:vertAlign w:val="superscript"/>
    </w:rPr>
  </w:style>
  <w:style w:type="paragraph" w:customStyle="1" w:styleId="78">
    <w:name w:val="CM6"/>
    <w:basedOn w:val="79"/>
    <w:next w:val="79"/>
    <w:qFormat/>
    <w:uiPriority w:val="0"/>
    <w:pPr>
      <w:spacing w:line="468" w:lineRule="atLeast"/>
    </w:pPr>
    <w:rPr>
      <w:rFonts w:ascii="Calibri" w:hAnsi="Calibri" w:eastAsia="宋体" w:cs="Times New Roman"/>
      <w:color w:val="auto"/>
    </w:rPr>
  </w:style>
  <w:style w:type="paragraph" w:customStyle="1" w:styleId="79">
    <w:name w:val="Default"/>
    <w:unhideWhenUsed/>
    <w:qFormat/>
    <w:uiPriority w:val="99"/>
    <w:pPr>
      <w:widowControl w:val="0"/>
      <w:autoSpaceDE w:val="0"/>
      <w:autoSpaceDN w:val="0"/>
      <w:adjustRightInd w:val="0"/>
    </w:pPr>
    <w:rPr>
      <w:rFonts w:hint="eastAsia" w:ascii="Times New Roman" w:hAnsi="Times New Roman" w:eastAsia="Times New Roman" w:cs="Times New Roman"/>
      <w:color w:val="000000"/>
      <w:sz w:val="24"/>
      <w:szCs w:val="22"/>
      <w:lang w:val="en-US" w:eastAsia="zh-CN" w:bidi="ar-SA"/>
    </w:rPr>
  </w:style>
  <w:style w:type="character" w:customStyle="1" w:styleId="80">
    <w:name w:val="正文1 Char1"/>
    <w:link w:val="36"/>
    <w:qFormat/>
    <w:uiPriority w:val="0"/>
    <w:rPr>
      <w:rFonts w:ascii="Times New Roman" w:hAnsi="Times New Roman" w:eastAsia="宋体"/>
      <w:kern w:val="0"/>
      <w:szCs w:val="20"/>
    </w:rPr>
  </w:style>
  <w:style w:type="paragraph" w:customStyle="1" w:styleId="81">
    <w:name w:val="表格内格式"/>
    <w:basedOn w:val="1"/>
    <w:next w:val="1"/>
    <w:qFormat/>
    <w:uiPriority w:val="0"/>
    <w:pPr>
      <w:widowControl/>
      <w:spacing w:line="360" w:lineRule="exact"/>
      <w:jc w:val="center"/>
    </w:pPr>
    <w:rPr>
      <w:rFonts w:ascii="Times New Roman" w:hAnsi="Times New Roman" w:eastAsia="宋体"/>
      <w:kern w:val="0"/>
      <w:szCs w:val="20"/>
    </w:rPr>
  </w:style>
  <w:style w:type="paragraph" w:customStyle="1" w:styleId="82">
    <w:name w:val="表图标题"/>
    <w:basedOn w:val="1"/>
    <w:qFormat/>
    <w:uiPriority w:val="0"/>
    <w:pPr>
      <w:spacing w:before="50" w:beforeLines="50" w:line="240" w:lineRule="auto"/>
      <w:ind w:firstLine="0" w:firstLineChars="0"/>
      <w:jc w:val="center"/>
    </w:pPr>
    <w:rPr>
      <w:rFonts w:cs="Times New Roman"/>
      <w:b/>
      <w:sz w:val="21"/>
      <w:szCs w:val="21"/>
    </w:rPr>
  </w:style>
  <w:style w:type="table" w:customStyle="1" w:styleId="83">
    <w:name w:val="网格型浅色1"/>
    <w:basedOn w:val="22"/>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paragraph" w:customStyle="1" w:styleId="84">
    <w:name w:val="表文字"/>
    <w:basedOn w:val="1"/>
    <w:qFormat/>
    <w:uiPriority w:val="0"/>
    <w:pPr>
      <w:overflowPunct w:val="0"/>
      <w:autoSpaceDE w:val="0"/>
      <w:autoSpaceDN w:val="0"/>
      <w:adjustRightInd w:val="0"/>
      <w:spacing w:line="240" w:lineRule="atLeast"/>
      <w:jc w:val="center"/>
      <w:textAlignment w:val="baseline"/>
    </w:pPr>
    <w:rPr>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2" Type="http://schemas.microsoft.com/office/2011/relationships/people" Target="people.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wmf"/><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56</Pages>
  <Words>31157</Words>
  <Characters>35317</Characters>
  <Lines>13</Lines>
  <Paragraphs>3</Paragraphs>
  <TotalTime>22</TotalTime>
  <ScaleCrop>false</ScaleCrop>
  <LinksUpToDate>false</LinksUpToDate>
  <CharactersWithSpaces>35413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左脸明媚右脸悲伤1407724796</cp:lastModifiedBy>
  <cp:lastPrinted>2020-12-29T02:43:00Z</cp:lastPrinted>
  <dcterms:modified xsi:type="dcterms:W3CDTF">2022-10-12T07:29:46Z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48CA09AD8A21410A8E290A13FBC6B76D</vt:lpwstr>
  </property>
</Properties>
</file>