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-4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pacing w:val="-4"/>
          <w:sz w:val="28"/>
          <w:szCs w:val="28"/>
        </w:rPr>
        <w:t>附件</w:t>
      </w:r>
    </w:p>
    <w:p>
      <w:pPr>
        <w:spacing w:before="91" w:line="213" w:lineRule="auto"/>
        <w:jc w:val="center"/>
        <w:rPr>
          <w:rFonts w:ascii="方正小标宋简体" w:hAnsi="微软雅黑" w:eastAsia="方正小标宋简体" w:cs="微软雅黑"/>
          <w:spacing w:val="9"/>
          <w:sz w:val="35"/>
          <w:szCs w:val="35"/>
        </w:rPr>
      </w:pPr>
      <w:r>
        <w:rPr>
          <w:rFonts w:hint="eastAsia" w:ascii="方正小标宋简体" w:hAnsi="微软雅黑" w:eastAsia="方正小标宋简体" w:cs="微软雅黑"/>
          <w:spacing w:val="9"/>
          <w:sz w:val="35"/>
          <w:szCs w:val="35"/>
        </w:rPr>
        <w:t>洪江区</w:t>
      </w:r>
      <w:r>
        <w:rPr>
          <w:rFonts w:ascii="Times New Roman" w:hAnsi="Times New Roman" w:eastAsia="方正小标宋简体" w:cs="Times New Roman"/>
          <w:spacing w:val="9"/>
          <w:sz w:val="35"/>
          <w:szCs w:val="35"/>
        </w:rPr>
        <w:t>202</w:t>
      </w:r>
      <w:r>
        <w:rPr>
          <w:rFonts w:hint="eastAsia" w:ascii="Times New Roman" w:hAnsi="Times New Roman" w:eastAsia="方正小标宋简体" w:cs="Times New Roman"/>
          <w:spacing w:val="9"/>
          <w:sz w:val="35"/>
          <w:szCs w:val="35"/>
        </w:rPr>
        <w:t>4</w:t>
      </w:r>
      <w:r>
        <w:rPr>
          <w:rFonts w:hint="eastAsia" w:ascii="方正小标宋简体" w:hAnsi="微软雅黑" w:eastAsia="方正小标宋简体" w:cs="微软雅黑"/>
          <w:spacing w:val="9"/>
          <w:sz w:val="35"/>
          <w:szCs w:val="35"/>
        </w:rPr>
        <w:t>年度巩固拓展脱贫攻坚成果和乡村振兴项目库拟入库项目申报表</w:t>
      </w: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单位：（盖章）                                                         时间：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hint="eastAsia" w:ascii="仿宋_GB2312"/>
          <w:sz w:val="28"/>
          <w:szCs w:val="28"/>
        </w:rPr>
        <w:t>年    月    日</w:t>
      </w:r>
    </w:p>
    <w:tbl>
      <w:tblPr>
        <w:tblStyle w:val="4"/>
        <w:tblW w:w="501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334"/>
        <w:gridCol w:w="334"/>
        <w:gridCol w:w="378"/>
        <w:gridCol w:w="593"/>
        <w:gridCol w:w="593"/>
        <w:gridCol w:w="593"/>
        <w:gridCol w:w="299"/>
        <w:gridCol w:w="630"/>
        <w:gridCol w:w="593"/>
        <w:gridCol w:w="593"/>
        <w:gridCol w:w="299"/>
        <w:gridCol w:w="1823"/>
        <w:gridCol w:w="523"/>
        <w:gridCol w:w="612"/>
        <w:gridCol w:w="593"/>
        <w:gridCol w:w="593"/>
        <w:gridCol w:w="593"/>
        <w:gridCol w:w="471"/>
        <w:gridCol w:w="803"/>
        <w:gridCol w:w="575"/>
        <w:gridCol w:w="694"/>
        <w:gridCol w:w="889"/>
        <w:gridCol w:w="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spacing w:line="229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3" w:type="pct"/>
            <w:gridSpan w:val="3"/>
            <w:vAlign w:val="center"/>
          </w:tcPr>
          <w:p>
            <w:pPr>
              <w:spacing w:line="229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30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27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21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7" w:type="pct"/>
            <w:vMerge w:val="restart"/>
            <w:tcBorders>
              <w:bottom w:val="nil"/>
            </w:tcBorders>
            <w:vAlign w:val="center"/>
          </w:tcPr>
          <w:p>
            <w:pPr>
              <w:spacing w:line="233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建设性质</w:t>
            </w:r>
          </w:p>
        </w:tc>
        <w:tc>
          <w:tcPr>
            <w:tcW w:w="225" w:type="pct"/>
            <w:vMerge w:val="restart"/>
            <w:tcBorders>
              <w:bottom w:val="nil"/>
            </w:tcBorders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424" w:type="pct"/>
            <w:gridSpan w:val="2"/>
            <w:vAlign w:val="center"/>
          </w:tcPr>
          <w:p>
            <w:pPr>
              <w:spacing w:line="229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时间进度</w:t>
            </w:r>
          </w:p>
        </w:tc>
        <w:tc>
          <w:tcPr>
            <w:tcW w:w="107" w:type="pct"/>
            <w:vMerge w:val="restart"/>
            <w:tcBorders>
              <w:bottom w:val="nil"/>
            </w:tcBorders>
            <w:vAlign w:val="center"/>
          </w:tcPr>
          <w:p>
            <w:pPr>
              <w:spacing w:line="234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650" w:type="pct"/>
            <w:vMerge w:val="restart"/>
            <w:tcBorders>
              <w:bottom w:val="nil"/>
            </w:tcBorders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建设内容及规模</w:t>
            </w:r>
          </w:p>
        </w:tc>
        <w:tc>
          <w:tcPr>
            <w:tcW w:w="186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17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217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  <w:p>
            <w:pPr>
              <w:spacing w:line="217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18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补助</w:t>
            </w:r>
          </w:p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295" w:type="pct"/>
            <w:gridSpan w:val="6"/>
            <w:vAlign w:val="center"/>
          </w:tcPr>
          <w:p>
            <w:pPr>
              <w:spacing w:line="229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受益对象</w:t>
            </w:r>
          </w:p>
        </w:tc>
        <w:tc>
          <w:tcPr>
            <w:tcW w:w="247" w:type="pct"/>
            <w:vMerge w:val="restart"/>
            <w:tcBorders>
              <w:bottom w:val="nil"/>
            </w:tcBorders>
            <w:vAlign w:val="center"/>
          </w:tcPr>
          <w:p>
            <w:pPr>
              <w:spacing w:line="234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绩效目标</w:t>
            </w:r>
          </w:p>
        </w:tc>
        <w:tc>
          <w:tcPr>
            <w:tcW w:w="317" w:type="pct"/>
            <w:vMerge w:val="restart"/>
            <w:tcBorders>
              <w:bottom w:val="nil"/>
            </w:tcBorders>
            <w:vAlign w:val="center"/>
          </w:tcPr>
          <w:p>
            <w:pPr>
              <w:spacing w:line="227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联农带农机制</w:t>
            </w:r>
          </w:p>
        </w:tc>
        <w:tc>
          <w:tcPr>
            <w:tcW w:w="102" w:type="pct"/>
            <w:vMerge w:val="restart"/>
            <w:tcBorders>
              <w:bottom w:val="nil"/>
            </w:tcBorders>
            <w:vAlign w:val="center"/>
          </w:tcPr>
          <w:p>
            <w:pPr>
              <w:spacing w:line="230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" w:type="pct"/>
            <w:vMerge w:val="restart"/>
            <w:tcBorders>
              <w:bottom w:val="nil"/>
            </w:tcBorders>
            <w:vAlign w:val="center"/>
          </w:tcPr>
          <w:p>
            <w:pPr>
              <w:spacing w:line="231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19" w:type="pct"/>
            <w:vMerge w:val="restart"/>
            <w:tcBorders>
              <w:bottom w:val="nil"/>
            </w:tcBorders>
            <w:vAlign w:val="center"/>
          </w:tcPr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二级项目类型</w:t>
            </w:r>
          </w:p>
        </w:tc>
        <w:tc>
          <w:tcPr>
            <w:tcW w:w="135" w:type="pct"/>
            <w:vMerge w:val="restart"/>
            <w:tcBorders>
              <w:bottom w:val="nil"/>
            </w:tcBorders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子类型</w:t>
            </w:r>
          </w:p>
        </w:tc>
        <w:tc>
          <w:tcPr>
            <w:tcW w:w="212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计划开工时间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计划完工时间</w:t>
            </w:r>
          </w:p>
        </w:tc>
        <w:tc>
          <w:tcPr>
            <w:tcW w:w="10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</w:t>
            </w:r>
          </w:p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村数</w:t>
            </w:r>
          </w:p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</w:t>
            </w:r>
          </w:p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  <w:p>
            <w:pPr>
              <w:spacing w:line="232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(户)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</w:t>
            </w:r>
          </w:p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人口数(人)</w:t>
            </w:r>
          </w:p>
        </w:tc>
        <w:tc>
          <w:tcPr>
            <w:tcW w:w="658" w:type="pct"/>
            <w:gridSpan w:val="3"/>
            <w:vAlign w:val="center"/>
          </w:tcPr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" w:type="pct"/>
            <w:vAlign w:val="center"/>
          </w:tcPr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</w:t>
            </w:r>
          </w:p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脱贫村</w:t>
            </w:r>
          </w:p>
          <w:p>
            <w:pPr>
              <w:spacing w:line="228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数(个)</w:t>
            </w:r>
          </w:p>
        </w:tc>
        <w:tc>
          <w:tcPr>
            <w:tcW w:w="286" w:type="pct"/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受益脱贫户数及防止返贫监测对象户数(户)</w:t>
            </w:r>
          </w:p>
        </w:tc>
        <w:tc>
          <w:tcPr>
            <w:tcW w:w="203" w:type="pct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受益脱贫人口数及防止返贫监测对象人口数(人)</w:t>
            </w:r>
          </w:p>
        </w:tc>
        <w:tc>
          <w:tcPr>
            <w:tcW w:w="24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堆边村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尖坡果园品改升级改造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尖坡果木场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①引进优质新品种品改2个以上；②设施建设50亩；③品质提升150亩。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3000元/亩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3（堆边、楠木田、茅头园）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带动项目村建档立卡户增加收入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产业服务支撑项目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高素质农民培训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培育高素质农民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200名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2000元/人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专业技能型和社会服务型职业农民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提高农民素质，增强农民就业、创业机会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化肥农药减量增效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①测土配方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10000亩；②种植绿肥3100亩。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23元/亩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推广测土配方施肥技术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1万亩；种植绿肥3100亩。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降低农药、化肥施用量，增加农户收入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堆边村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果木场桃园改造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尖坡果木场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①引进优质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新品种2个以上；②设施建设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3（堆边、楠木田、茅头园）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带动项目村建档立卡户增加收入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菖蒲、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渔梁、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岩门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蔬菜稳产保供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菖蒲、渔梁、岩门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2024年2月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①创建示范园2个；②减少化学农药使用；③保障绿色蔬菜供给。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800元/亩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3（渔梁、菖蒲、岩门）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农产品品质提升、高产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农民增收，居民享受放心菜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农作物绿色防控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2024年3月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①创建绿色防控示范园3个；②安装物理杀虫器械；③推广植保新技术3项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50元/亩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带动项目村建档立卡户增加收入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" w:type="pct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乡村治理和精神文明建设</w:t>
            </w: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乡村治理</w:t>
            </w:r>
          </w:p>
        </w:tc>
        <w:tc>
          <w:tcPr>
            <w:tcW w:w="1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开展乡村治理示范创建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评选1个村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开展2024年度区级乡村治理示范村创建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荣誉评定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综合评选1个村为区级乡村治理示范村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2024年12月低前完成评选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乡村治理能力建设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乡村治理能力显著提升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有效增强村民在乡村治理中发挥主人翁意识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桂花园乡，横岩乡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所有村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种植业农产品质量安全监测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洪江区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定性定量70批次，快速检测1000批次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10.4</w:t>
            </w:r>
          </w:p>
        </w:tc>
        <w:tc>
          <w:tcPr>
            <w:tcW w:w="2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定性定量1200元每批次，快速检测20元每批次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全部完成任务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确保全区种植业农产品质量安全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" w:type="pct"/>
            <w:vAlign w:val="center"/>
          </w:tcPr>
          <w:p>
            <w:pPr>
              <w:spacing w:line="231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乡村建设行动</w:t>
            </w:r>
          </w:p>
        </w:tc>
        <w:tc>
          <w:tcPr>
            <w:tcW w:w="119" w:type="pct"/>
            <w:vAlign w:val="center"/>
          </w:tcPr>
          <w:p>
            <w:pPr>
              <w:spacing w:line="232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农村基础设施</w:t>
            </w:r>
          </w:p>
        </w:tc>
        <w:tc>
          <w:tcPr>
            <w:tcW w:w="1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农村供水保障设施建设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茅头园、楠木田村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洪江区桂花园乡农村安全饮水保障工程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洪江区桂花园乡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2024年9月30日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完成水源井1处，管道3.5km，配套设施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管道75元/m，其他费用3.75万元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改善农村供水水源条件，解决农村供水保障问题，提高农村供水保证率。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就近带动群众投工投劳，以工代赈，增加群众劳务收益。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产业服务支撑项目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桂花园乡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所有村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洪江区农业产业高质量发展扶持项目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洪江区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对洪江区各企业、合作社、种植大户等经营主体发展种植业、畜牧业、农业产业化等给予适当的补助和扶持。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按奖补办法补助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15个村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带动洪江区农业产业高质量发展，促进农民致富增收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带动群众致富增收和就业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种植业基地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桂花园乡、横岩乡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基地建设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桂花园乡、横岩乡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优质稻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建设面积为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2200亩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200元/亩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改善群众种植生产条件，实现粮田生产增收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解决邻近村民投工投劳和务工稳定增收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桂花园乡、横岩乡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各村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油菜千亩示范基地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桂花园乡、横岩乡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年4月</w:t>
            </w:r>
          </w:p>
        </w:tc>
        <w:tc>
          <w:tcPr>
            <w:tcW w:w="1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油菜千亩示范基地，建设面积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1000亩</w:t>
            </w:r>
          </w:p>
        </w:tc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150元/亩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促进油菜生产增产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增效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增加农民收入</w:t>
            </w:r>
          </w:p>
        </w:tc>
        <w:tc>
          <w:tcPr>
            <w:tcW w:w="1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产业服务支撑项目</w:t>
            </w:r>
          </w:p>
        </w:tc>
        <w:tc>
          <w:tcPr>
            <w:tcW w:w="13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农业社会化服务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桂花园乡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横岩乡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农机应急资金支持体系建设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22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①开展农机专项培训班， ②选聘10人成立常态化农机应急作业服务队,③常态化储备可作业农机10台，④选聘30人组建农机作业应急快反小分队，确保实现农机应急作业各村全覆盖；⑤聘请优秀机手，开展作业服务、应急防灾救灾作业、就近参与当地农作物生产应急作业。</w:t>
            </w:r>
          </w:p>
        </w:tc>
        <w:tc>
          <w:tcPr>
            <w:tcW w:w="1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完善农机应急服务作业体系</w:t>
            </w:r>
          </w:p>
        </w:tc>
        <w:tc>
          <w:tcPr>
            <w:tcW w:w="31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保障春耕秋耕更高效运行</w:t>
            </w:r>
          </w:p>
        </w:tc>
        <w:tc>
          <w:tcPr>
            <w:tcW w:w="10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受污染耕地安全利用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①利用土壤酸碱度调节及优化施肥技术，完成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安全利用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2000亩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土壤污染治理，提升种植耕地质量；②利用种植结构调整技术，完成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严格管控区64.12亩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土壤污染治理，提升种植耕地质量。</w:t>
            </w:r>
          </w:p>
        </w:tc>
        <w:tc>
          <w:tcPr>
            <w:tcW w:w="1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种植结构调整600元/亩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3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全面完成上级下达的目标任务</w:t>
            </w:r>
          </w:p>
        </w:tc>
        <w:tc>
          <w:tcPr>
            <w:tcW w:w="31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确保全区粮食安全提升种植耕地质量</w:t>
            </w:r>
          </w:p>
        </w:tc>
        <w:tc>
          <w:tcPr>
            <w:tcW w:w="10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9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乡村建设行动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13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农村垃圾治理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农业投入品废弃物回收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农膜及农药包装废弃物回收，提高垃圾综合利用率</w:t>
            </w:r>
          </w:p>
        </w:tc>
        <w:tc>
          <w:tcPr>
            <w:tcW w:w="1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根据实施方案补助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农业投入品废弃物回收利用率达80%以上。</w:t>
            </w:r>
          </w:p>
        </w:tc>
        <w:tc>
          <w:tcPr>
            <w:tcW w:w="31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确保全区村（居）民身心健康</w:t>
            </w:r>
          </w:p>
        </w:tc>
        <w:tc>
          <w:tcPr>
            <w:tcW w:w="10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119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生产项目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外来物种入侵治理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人工铲除及物力化学防治福寿螺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500亩</w:t>
            </w:r>
          </w:p>
        </w:tc>
        <w:tc>
          <w:tcPr>
            <w:tcW w:w="1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150元/人次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3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4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防治效果达75%</w:t>
            </w:r>
          </w:p>
        </w:tc>
        <w:tc>
          <w:tcPr>
            <w:tcW w:w="31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确保全区农业生态环境</w:t>
            </w:r>
          </w:p>
        </w:tc>
        <w:tc>
          <w:tcPr>
            <w:tcW w:w="10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乡村建设行动</w:t>
            </w:r>
          </w:p>
        </w:tc>
        <w:tc>
          <w:tcPr>
            <w:tcW w:w="119" w:type="pct"/>
            <w:vAlign w:val="center"/>
          </w:tcPr>
          <w:p>
            <w:pPr>
              <w:spacing w:line="232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135" w:type="pct"/>
            <w:vAlign w:val="center"/>
          </w:tcPr>
          <w:p>
            <w:pPr>
              <w:spacing w:line="23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村容村貌提升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秸秆综合利用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两乡各村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秸秆禁烧、喂牛、深耕还田，实现两乡秸秆综合利用率达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86%以上，提升农作物资源绿色循坏利用，建设绿色乡村</w:t>
            </w:r>
          </w:p>
        </w:tc>
        <w:tc>
          <w:tcPr>
            <w:tcW w:w="1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根据实施方案补助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1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68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秸秆综合利用率达86%以上</w:t>
            </w:r>
          </w:p>
        </w:tc>
        <w:tc>
          <w:tcPr>
            <w:tcW w:w="31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确保全区绿色乡村发展</w:t>
            </w:r>
          </w:p>
        </w:tc>
        <w:tc>
          <w:tcPr>
            <w:tcW w:w="10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乡村建设行动</w:t>
            </w:r>
          </w:p>
        </w:tc>
        <w:tc>
          <w:tcPr>
            <w:tcW w:w="119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13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村容村貌提升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桂花园乡、横岩乡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所有村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家禽圈养示范基地建设</w:t>
            </w:r>
          </w:p>
        </w:tc>
        <w:tc>
          <w:tcPr>
            <w:tcW w:w="107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公益性</w:t>
            </w:r>
          </w:p>
        </w:tc>
        <w:tc>
          <w:tcPr>
            <w:tcW w:w="22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桂花园乡、横岩乡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07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农水局</w:t>
            </w:r>
          </w:p>
        </w:tc>
        <w:tc>
          <w:tcPr>
            <w:tcW w:w="65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对全区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15个村（居）有养殖家禽需求的农户建设家禽圈养基地</w:t>
            </w:r>
          </w:p>
        </w:tc>
        <w:tc>
          <w:tcPr>
            <w:tcW w:w="18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8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10元/米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15个村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村容村貌提升</w:t>
            </w:r>
          </w:p>
        </w:tc>
        <w:tc>
          <w:tcPr>
            <w:tcW w:w="317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改善村容村貌，提升人居环境，建设和美乡村</w:t>
            </w:r>
          </w:p>
        </w:tc>
        <w:tc>
          <w:tcPr>
            <w:tcW w:w="102" w:type="pct"/>
            <w:vAlign w:val="center"/>
          </w:tcPr>
          <w:p>
            <w:pPr>
              <w:spacing w:line="235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/>
          <w:sz w:val="22"/>
          <w:szCs w:val="22"/>
        </w:rPr>
        <w:t>注：项目类别中项目类型、二级项目类型、项目子类型需参照《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hint="eastAsia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hint="eastAsia"/>
          <w:sz w:val="22"/>
          <w:szCs w:val="22"/>
        </w:rPr>
        <w:t xml:space="preserve"> 县级巩固拓展脱贫攻坚成果和乡村振兴项目库项目分类表》填写。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jViZDJjOTk3NzM5MWY1OGQ0NjdiYzI1M2M5MTkifQ=="/>
  </w:docVars>
  <w:rsids>
    <w:rsidRoot w:val="00000000"/>
    <w:rsid w:val="3C9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2023-12-03T03:56:32Z</dcterms:created>
  <dc:creator>Administrator</dc:creator>
  <cp:lastModifiedBy>晓晓</cp:lastModifiedBy>
  <dcterms:modified xsi:type="dcterms:W3CDTF">2023-12-03T03:57:00Z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51EABFC8B6BA4E569D9DA78295795663_12</vt:lpwstr>
  </property>
</Properties>
</file>