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hd w:val="clear" w:color="auto" w:fill="FFFFFF"/>
        <w:spacing w:before="0" w:beforeAutospacing="0" w:after="0" w:afterAutospacing="0" w:line="620" w:lineRule="exact"/>
        <w:jc w:val="both"/>
        <w:rPr>
          <w:rFonts w:hint="eastAsia" w:ascii="仿宋_GB2312" w:hAnsi="方正小标宋_GBK" w:eastAsia="仿宋_GB2312" w:cs="方正小标宋_GBK"/>
          <w:color w:val="000000"/>
          <w:sz w:val="32"/>
          <w:szCs w:val="32"/>
          <w:shd w:val="clear" w:color="auto" w:fill="FFFFFF"/>
        </w:rPr>
      </w:pPr>
      <w:r>
        <w:rPr>
          <w:rFonts w:hint="eastAsia" w:ascii="仿宋_GB2312" w:hAnsi="方正小标宋_GBK" w:eastAsia="仿宋_GB2312" w:cs="方正小标宋_GBK"/>
          <w:color w:val="000000"/>
          <w:sz w:val="32"/>
          <w:szCs w:val="32"/>
          <w:shd w:val="clear" w:color="auto" w:fill="FFFFFF"/>
        </w:rPr>
        <w:t>附件1</w:t>
      </w:r>
    </w:p>
    <w:p>
      <w:pPr>
        <w:pStyle w:val="2"/>
        <w:widowControl/>
        <w:shd w:val="clear" w:color="auto" w:fill="FFFFFF"/>
        <w:spacing w:before="0" w:beforeAutospacing="0" w:after="0" w:afterAutospacing="0" w:line="480" w:lineRule="atLeast"/>
        <w:jc w:val="center"/>
        <w:rPr>
          <w:rFonts w:hint="eastAsia" w:ascii="黑体" w:hAnsi="黑体" w:eastAsia="黑体" w:cs="黑体"/>
          <w:color w:val="000000"/>
          <w:sz w:val="52"/>
          <w:szCs w:val="52"/>
          <w:shd w:val="clear" w:color="auto" w:fill="FFFFFF"/>
        </w:rPr>
      </w:pPr>
    </w:p>
    <w:p>
      <w:pPr>
        <w:pStyle w:val="2"/>
        <w:widowControl/>
        <w:shd w:val="clear" w:color="auto" w:fill="FFFFFF"/>
        <w:spacing w:before="0" w:beforeAutospacing="0" w:after="0" w:afterAutospacing="0" w:line="480" w:lineRule="atLeast"/>
        <w:jc w:val="center"/>
        <w:rPr>
          <w:rFonts w:hint="eastAsia" w:ascii="黑体" w:hAnsi="黑体" w:eastAsia="黑体" w:cs="黑体"/>
          <w:color w:val="000000"/>
          <w:sz w:val="52"/>
          <w:szCs w:val="52"/>
          <w:shd w:val="clear" w:color="auto" w:fill="FFFFFF"/>
        </w:rPr>
      </w:pPr>
    </w:p>
    <w:p>
      <w:pPr>
        <w:pStyle w:val="2"/>
        <w:widowControl/>
        <w:shd w:val="clear" w:color="auto" w:fill="FFFFFF"/>
        <w:spacing w:before="0" w:beforeAutospacing="0" w:after="0" w:afterAutospacing="0" w:line="480" w:lineRule="atLeast"/>
        <w:jc w:val="center"/>
        <w:rPr>
          <w:rFonts w:hint="eastAsia" w:ascii="黑体" w:hAnsi="黑体" w:eastAsia="黑体" w:cs="黑体"/>
          <w:color w:val="000000"/>
          <w:sz w:val="52"/>
          <w:szCs w:val="52"/>
          <w:shd w:val="clear" w:color="auto" w:fill="FFFFFF"/>
        </w:rPr>
      </w:pPr>
    </w:p>
    <w:p>
      <w:pPr>
        <w:pStyle w:val="2"/>
        <w:widowControl/>
        <w:shd w:val="clear" w:color="auto" w:fill="FFFFFF"/>
        <w:spacing w:before="0" w:beforeAutospacing="0" w:after="0" w:afterAutospacing="0" w:line="480" w:lineRule="atLeast"/>
        <w:jc w:val="center"/>
        <w:rPr>
          <w:rFonts w:hint="eastAsia" w:ascii="黑体" w:hAnsi="黑体" w:eastAsia="黑体" w:cs="黑体"/>
          <w:color w:val="000000"/>
          <w:sz w:val="52"/>
          <w:szCs w:val="52"/>
          <w:shd w:val="clear" w:color="auto" w:fill="FFFFFF"/>
        </w:rPr>
      </w:pPr>
    </w:p>
    <w:p>
      <w:pPr>
        <w:pStyle w:val="2"/>
        <w:widowControl/>
        <w:shd w:val="clear" w:color="auto" w:fill="FFFFFF"/>
        <w:spacing w:before="0" w:beforeAutospacing="0" w:after="0" w:afterAutospacing="0" w:line="480" w:lineRule="atLeast"/>
        <w:jc w:val="center"/>
        <w:rPr>
          <w:rFonts w:hint="eastAsia" w:ascii="方正小标宋简体" w:hAnsi="黑体" w:eastAsia="方正小标宋简体" w:cs="黑体"/>
          <w:color w:val="000000"/>
          <w:sz w:val="52"/>
          <w:szCs w:val="52"/>
          <w:shd w:val="clear" w:color="auto" w:fill="FFFFFF"/>
        </w:rPr>
      </w:pPr>
      <w:r>
        <w:rPr>
          <w:rFonts w:hint="eastAsia" w:ascii="方正小标宋简体" w:hAnsi="黑体" w:eastAsia="方正小标宋简体" w:cs="黑体"/>
          <w:color w:val="000000"/>
          <w:sz w:val="52"/>
          <w:szCs w:val="52"/>
          <w:shd w:val="clear" w:color="auto" w:fill="FFFFFF"/>
        </w:rPr>
        <w:t>2023年度</w:t>
      </w:r>
      <w:r>
        <w:rPr>
          <w:rFonts w:hint="eastAsia" w:ascii="方正小标宋简体" w:hAnsi="黑体" w:eastAsia="方正小标宋简体" w:cs="黑体"/>
          <w:color w:val="000000"/>
          <w:sz w:val="48"/>
          <w:szCs w:val="48"/>
          <w:shd w:val="clear" w:color="auto" w:fill="FFFFFF"/>
          <w:lang w:eastAsia="zh-CN"/>
        </w:rPr>
        <w:t>洪江区就业中心</w:t>
      </w:r>
      <w:r>
        <w:rPr>
          <w:rFonts w:hint="eastAsia" w:ascii="方正小标宋简体" w:hAnsi="黑体" w:eastAsia="方正小标宋简体" w:cs="黑体"/>
          <w:color w:val="000000"/>
          <w:sz w:val="52"/>
          <w:szCs w:val="52"/>
          <w:shd w:val="clear" w:color="auto" w:fill="FFFFFF"/>
        </w:rPr>
        <w:t>整体支出</w:t>
      </w:r>
    </w:p>
    <w:p>
      <w:pPr>
        <w:pStyle w:val="2"/>
        <w:widowControl/>
        <w:shd w:val="clear" w:color="auto" w:fill="FFFFFF"/>
        <w:spacing w:before="0" w:beforeAutospacing="0" w:after="0" w:afterAutospacing="0" w:line="480" w:lineRule="atLeast"/>
        <w:jc w:val="center"/>
        <w:rPr>
          <w:rFonts w:hint="eastAsia" w:ascii="方正小标宋简体" w:hAnsi="黑体" w:eastAsia="方正小标宋简体" w:cs="黑体"/>
          <w:color w:val="000000"/>
          <w:sz w:val="52"/>
          <w:szCs w:val="52"/>
          <w:shd w:val="clear" w:color="auto" w:fill="FFFFFF"/>
        </w:rPr>
      </w:pPr>
      <w:r>
        <w:rPr>
          <w:rFonts w:hint="eastAsia" w:ascii="方正小标宋简体" w:hAnsi="黑体" w:eastAsia="方正小标宋简体" w:cs="黑体"/>
          <w:color w:val="000000"/>
          <w:sz w:val="52"/>
          <w:szCs w:val="52"/>
          <w:shd w:val="clear" w:color="auto" w:fill="FFFFFF"/>
        </w:rPr>
        <w:t>绩效自评报告</w:t>
      </w:r>
    </w:p>
    <w:p>
      <w:pPr>
        <w:pStyle w:val="2"/>
        <w:widowControl/>
        <w:shd w:val="clear" w:color="auto" w:fill="FFFFFF"/>
        <w:spacing w:before="0" w:beforeAutospacing="0" w:after="0" w:afterAutospacing="0" w:line="480" w:lineRule="atLeast"/>
        <w:jc w:val="center"/>
        <w:rPr>
          <w:rFonts w:hint="eastAsia" w:ascii="黑体" w:hAnsi="黑体" w:eastAsia="黑体" w:cs="黑体"/>
          <w:color w:val="000000"/>
          <w:sz w:val="52"/>
          <w:szCs w:val="52"/>
          <w:shd w:val="clear" w:color="auto" w:fill="FFFFFF"/>
        </w:rPr>
      </w:pPr>
    </w:p>
    <w:p>
      <w:pPr>
        <w:pStyle w:val="2"/>
        <w:widowControl/>
        <w:shd w:val="clear" w:color="auto" w:fill="FFFFFF"/>
        <w:spacing w:before="0" w:beforeAutospacing="0" w:after="0" w:afterAutospacing="0" w:line="480" w:lineRule="atLeast"/>
        <w:jc w:val="center"/>
        <w:rPr>
          <w:rFonts w:hint="eastAsia" w:ascii="黑体" w:hAnsi="黑体" w:eastAsia="黑体" w:cs="黑体"/>
          <w:color w:val="000000"/>
          <w:sz w:val="52"/>
          <w:szCs w:val="52"/>
          <w:shd w:val="clear" w:color="auto" w:fill="FFFFFF"/>
        </w:rPr>
      </w:pPr>
    </w:p>
    <w:p>
      <w:pPr>
        <w:pStyle w:val="2"/>
        <w:widowControl/>
        <w:shd w:val="clear" w:color="auto" w:fill="FFFFFF"/>
        <w:spacing w:before="0" w:beforeAutospacing="0" w:after="0" w:afterAutospacing="0" w:line="480" w:lineRule="atLeast"/>
        <w:jc w:val="center"/>
        <w:rPr>
          <w:rFonts w:hint="eastAsia" w:ascii="黑体" w:hAnsi="黑体" w:eastAsia="黑体" w:cs="黑体"/>
          <w:color w:val="000000"/>
          <w:sz w:val="52"/>
          <w:szCs w:val="52"/>
          <w:shd w:val="clear" w:color="auto" w:fill="FFFFFF"/>
        </w:rPr>
      </w:pPr>
    </w:p>
    <w:p>
      <w:pPr>
        <w:pStyle w:val="2"/>
        <w:widowControl/>
        <w:shd w:val="clear" w:color="auto" w:fill="FFFFFF"/>
        <w:spacing w:before="0" w:beforeAutospacing="0" w:after="0" w:afterAutospacing="0" w:line="480" w:lineRule="atLeast"/>
        <w:jc w:val="center"/>
        <w:rPr>
          <w:rFonts w:hint="eastAsia" w:ascii="黑体" w:hAnsi="黑体" w:eastAsia="黑体" w:cs="黑体"/>
          <w:color w:val="000000"/>
          <w:sz w:val="52"/>
          <w:szCs w:val="52"/>
          <w:shd w:val="clear" w:color="auto" w:fill="FFFFFF"/>
        </w:rPr>
      </w:pPr>
    </w:p>
    <w:p>
      <w:pPr>
        <w:pStyle w:val="2"/>
        <w:widowControl/>
        <w:shd w:val="clear" w:color="auto" w:fill="FFFFFF"/>
        <w:spacing w:before="0" w:beforeAutospacing="0" w:after="0" w:afterAutospacing="0" w:line="480" w:lineRule="atLeast"/>
        <w:jc w:val="center"/>
        <w:rPr>
          <w:rFonts w:hint="eastAsia" w:ascii="黑体" w:hAnsi="黑体" w:eastAsia="黑体" w:cs="黑体"/>
          <w:color w:val="000000"/>
          <w:sz w:val="52"/>
          <w:szCs w:val="52"/>
          <w:shd w:val="clear" w:color="auto" w:fill="FFFFFF"/>
        </w:rPr>
      </w:pPr>
    </w:p>
    <w:p>
      <w:pPr>
        <w:pStyle w:val="2"/>
        <w:widowControl/>
        <w:shd w:val="clear" w:color="auto" w:fill="FFFFFF"/>
        <w:spacing w:before="0" w:beforeAutospacing="0" w:after="0" w:afterAutospacing="0" w:line="480" w:lineRule="atLeast"/>
        <w:jc w:val="center"/>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部门（单位）名称：</w:t>
      </w:r>
      <w:r>
        <w:rPr>
          <w:rFonts w:hint="eastAsia" w:ascii="仿宋_GB2312" w:hAnsi="仿宋_GB2312" w:eastAsia="仿宋_GB2312" w:cs="仿宋_GB2312"/>
          <w:color w:val="000000"/>
          <w:sz w:val="32"/>
          <w:szCs w:val="32"/>
          <w:u w:val="single"/>
          <w:shd w:val="clear" w:color="auto" w:fill="FFFFFF"/>
        </w:rPr>
        <w:t xml:space="preserve">    （盖章）    </w:t>
      </w:r>
    </w:p>
    <w:p>
      <w:pPr>
        <w:pStyle w:val="2"/>
        <w:widowControl/>
        <w:shd w:val="clear" w:color="auto" w:fill="FFFFFF"/>
        <w:spacing w:before="0" w:beforeAutospacing="0" w:after="0" w:afterAutospacing="0" w:line="480" w:lineRule="atLeast"/>
        <w:jc w:val="center"/>
        <w:rPr>
          <w:rFonts w:hint="eastAsia" w:ascii="仿宋_GB2312" w:hAnsi="仿宋_GB2312" w:eastAsia="仿宋_GB2312" w:cs="仿宋_GB2312"/>
          <w:color w:val="000000"/>
          <w:sz w:val="32"/>
          <w:szCs w:val="32"/>
          <w:shd w:val="clear" w:color="auto" w:fill="FFFFFF"/>
        </w:rPr>
      </w:pPr>
    </w:p>
    <w:p>
      <w:pPr>
        <w:pStyle w:val="2"/>
        <w:widowControl/>
        <w:shd w:val="clear" w:color="auto" w:fill="FFFFFF"/>
        <w:spacing w:before="0" w:beforeAutospacing="0" w:after="0" w:afterAutospacing="0" w:line="480" w:lineRule="atLeast"/>
        <w:jc w:val="center"/>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年  月  日</w:t>
      </w:r>
    </w:p>
    <w:p>
      <w:pPr>
        <w:pStyle w:val="2"/>
        <w:widowControl/>
        <w:shd w:val="clear" w:color="auto" w:fill="FFFFFF"/>
        <w:spacing w:before="0" w:beforeAutospacing="0" w:after="0" w:afterAutospacing="0" w:line="480" w:lineRule="atLeast"/>
        <w:jc w:val="center"/>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（此页为封面）</w:t>
      </w:r>
    </w:p>
    <w:p>
      <w:pPr>
        <w:pStyle w:val="2"/>
        <w:widowControl/>
        <w:shd w:val="clear" w:color="auto" w:fill="FFFFFF"/>
        <w:spacing w:before="0" w:beforeAutospacing="0" w:after="0" w:afterAutospacing="0" w:line="480" w:lineRule="atLeast"/>
        <w:jc w:val="center"/>
        <w:rPr>
          <w:rFonts w:hint="eastAsia" w:ascii="方正小标宋简体" w:hAnsi="仿宋_GB2312" w:eastAsia="方正小标宋简体" w:cs="仿宋_GB2312"/>
          <w:color w:val="000000"/>
          <w:sz w:val="44"/>
          <w:szCs w:val="44"/>
          <w:shd w:val="clear" w:color="auto" w:fill="FFFFFF"/>
        </w:rPr>
      </w:pPr>
      <w:r>
        <w:rPr>
          <w:rFonts w:ascii="仿宋_GB2312" w:hAnsi="仿宋_GB2312" w:eastAsia="仿宋_GB2312" w:cs="仿宋_GB2312"/>
          <w:color w:val="000000"/>
          <w:sz w:val="32"/>
          <w:szCs w:val="32"/>
          <w:shd w:val="clear" w:color="auto" w:fill="FFFFFF"/>
        </w:rPr>
        <w:br w:type="page"/>
      </w:r>
      <w:r>
        <w:rPr>
          <w:rFonts w:hint="eastAsia" w:ascii="方正小标宋简体" w:hAnsi="仿宋_GB2312" w:eastAsia="方正小标宋简体" w:cs="仿宋_GB2312"/>
          <w:color w:val="000000"/>
          <w:sz w:val="44"/>
          <w:szCs w:val="44"/>
          <w:shd w:val="clear" w:color="auto" w:fill="FFFFFF"/>
        </w:rPr>
        <w:t>2023年度</w:t>
      </w:r>
      <w:r>
        <w:rPr>
          <w:rFonts w:hint="eastAsia" w:ascii="方正小标宋简体" w:hAnsi="仿宋_GB2312" w:eastAsia="方正小标宋简体" w:cs="仿宋_GB2312"/>
          <w:color w:val="000000"/>
          <w:sz w:val="44"/>
          <w:szCs w:val="44"/>
          <w:shd w:val="clear" w:color="auto" w:fill="FFFFFF"/>
          <w:lang w:eastAsia="zh-CN"/>
        </w:rPr>
        <w:t>洪江区就业中心</w:t>
      </w:r>
      <w:r>
        <w:rPr>
          <w:rFonts w:hint="eastAsia" w:ascii="方正小标宋简体" w:hAnsi="仿宋_GB2312" w:eastAsia="方正小标宋简体" w:cs="仿宋_GB2312"/>
          <w:color w:val="000000"/>
          <w:sz w:val="44"/>
          <w:szCs w:val="44"/>
          <w:shd w:val="clear" w:color="auto" w:fill="FFFFFF"/>
        </w:rPr>
        <w:t>整体支出</w:t>
      </w:r>
    </w:p>
    <w:p>
      <w:pPr>
        <w:pStyle w:val="2"/>
        <w:widowControl/>
        <w:shd w:val="clear" w:color="auto" w:fill="FFFFFF"/>
        <w:snapToGrid w:val="0"/>
        <w:spacing w:before="0" w:beforeAutospacing="0" w:after="0" w:afterAutospacing="0" w:line="520" w:lineRule="exact"/>
        <w:jc w:val="center"/>
        <w:rPr>
          <w:rFonts w:hint="eastAsia" w:ascii="方正小标宋简体" w:hAnsi="仿宋_GB2312" w:eastAsia="方正小标宋简体" w:cs="仿宋_GB2312"/>
          <w:color w:val="000000"/>
          <w:sz w:val="44"/>
          <w:szCs w:val="44"/>
        </w:rPr>
      </w:pPr>
      <w:r>
        <w:rPr>
          <w:rFonts w:hint="eastAsia" w:ascii="方正小标宋简体" w:hAnsi="仿宋_GB2312" w:eastAsia="方正小标宋简体" w:cs="仿宋_GB2312"/>
          <w:color w:val="000000"/>
          <w:sz w:val="44"/>
          <w:szCs w:val="44"/>
          <w:shd w:val="clear" w:color="auto" w:fill="FFFFFF"/>
        </w:rPr>
        <w:t>绩效自评报告</w:t>
      </w:r>
    </w:p>
    <w:p>
      <w:pPr>
        <w:pStyle w:val="2"/>
        <w:widowControl/>
        <w:shd w:val="clear" w:color="auto" w:fill="FFFFFF"/>
        <w:snapToGrid w:val="0"/>
        <w:spacing w:before="0" w:beforeAutospacing="0" w:after="0" w:afterAutospacing="0" w:line="520" w:lineRule="exact"/>
        <w:jc w:val="center"/>
        <w:rPr>
          <w:rFonts w:ascii="仿宋_GB2312" w:eastAsia="仿宋_GB2312" w:cs="仿宋_GB2312"/>
          <w:color w:val="000000"/>
        </w:rPr>
      </w:pPr>
    </w:p>
    <w:p>
      <w:pPr>
        <w:pStyle w:val="2"/>
        <w:widowControl/>
        <w:shd w:val="clear" w:color="auto" w:fill="FFFFFF"/>
        <w:snapToGrid w:val="0"/>
        <w:spacing w:before="0" w:beforeAutospacing="0" w:after="0" w:afterAutospacing="0" w:line="620" w:lineRule="exact"/>
        <w:ind w:firstLine="640" w:firstLineChars="200"/>
        <w:rPr>
          <w:rFonts w:hint="eastAsia" w:ascii="黑体" w:hAnsi="黑体" w:eastAsia="黑体" w:cs="黑体"/>
          <w:color w:val="000000"/>
          <w:sz w:val="32"/>
          <w:szCs w:val="32"/>
        </w:rPr>
      </w:pPr>
      <w:r>
        <w:rPr>
          <w:rFonts w:hint="eastAsia" w:ascii="黑体" w:hAnsi="黑体" w:eastAsia="黑体" w:cs="黑体"/>
          <w:color w:val="000000"/>
          <w:sz w:val="32"/>
          <w:szCs w:val="32"/>
          <w:shd w:val="clear" w:color="auto" w:fill="FFFFFF"/>
        </w:rPr>
        <w:t>一、部门单位基本情况</w:t>
      </w:r>
    </w:p>
    <w:p>
      <w:pPr>
        <w:pStyle w:val="2"/>
        <w:widowControl/>
        <w:shd w:val="clear" w:color="auto" w:fill="FFFFFF"/>
        <w:snapToGrid w:val="0"/>
        <w:spacing w:before="0" w:beforeAutospacing="0" w:after="0" w:afterAutospacing="0" w:line="620" w:lineRule="exact"/>
        <w:ind w:firstLine="640" w:firstLineChars="200"/>
        <w:rPr>
          <w:rFonts w:ascii="楷体_GB2312" w:eastAsia="楷体_GB2312" w:cs="楷体_GB2312"/>
          <w:color w:val="000000"/>
          <w:sz w:val="32"/>
          <w:szCs w:val="32"/>
          <w:shd w:val="clear" w:color="auto" w:fill="FFFFFF"/>
        </w:rPr>
      </w:pPr>
      <w:r>
        <w:rPr>
          <w:rFonts w:ascii="楷体_GB2312" w:eastAsia="楷体_GB2312" w:cs="楷体_GB2312"/>
          <w:color w:val="000000"/>
          <w:sz w:val="32"/>
          <w:szCs w:val="32"/>
          <w:shd w:val="clear" w:color="auto" w:fill="FFFFFF"/>
        </w:rPr>
        <w:t>（一）机构设置情况</w:t>
      </w:r>
    </w:p>
    <w:p>
      <w:pPr>
        <w:pStyle w:val="2"/>
        <w:widowControl/>
        <w:shd w:val="clear" w:color="auto" w:fill="FFFFFF"/>
        <w:spacing w:before="0" w:beforeAutospacing="0" w:after="0" w:afterAutospacing="0" w:line="600" w:lineRule="atLeast"/>
        <w:ind w:firstLine="643"/>
        <w:jc w:val="both"/>
        <w:rPr>
          <w:rFonts w:ascii="楷体_GB2312" w:eastAsia="楷体_GB2312" w:cs="楷体_GB2312"/>
          <w:color w:val="000000"/>
          <w:sz w:val="32"/>
          <w:szCs w:val="32"/>
          <w:shd w:val="clear" w:color="auto" w:fill="FFFFFF"/>
        </w:rPr>
      </w:pPr>
      <w:r>
        <w:rPr>
          <w:rFonts w:hint="eastAsia" w:ascii="仿宋_GB2312" w:hAnsi="仿宋_GB2312" w:eastAsia="仿宋_GB2312" w:cs="仿宋_GB2312"/>
          <w:color w:val="auto"/>
          <w:kern w:val="0"/>
          <w:sz w:val="32"/>
          <w:szCs w:val="32"/>
        </w:rPr>
        <w:t>洪江区</w:t>
      </w:r>
      <w:r>
        <w:rPr>
          <w:rFonts w:hint="eastAsia" w:ascii="仿宋_GB2312" w:hAnsi="仿宋_GB2312" w:eastAsia="仿宋_GB2312" w:cs="仿宋_GB2312"/>
          <w:color w:val="auto"/>
          <w:kern w:val="0"/>
          <w:sz w:val="32"/>
          <w:szCs w:val="32"/>
          <w:lang w:val="en-US" w:eastAsia="zh-CN"/>
        </w:rPr>
        <w:t>就业服务中心</w:t>
      </w:r>
      <w:r>
        <w:rPr>
          <w:rFonts w:hint="eastAsia" w:ascii="仿宋_GB2312" w:hAnsi="仿宋_GB2312" w:eastAsia="仿宋_GB2312" w:cs="仿宋_GB2312"/>
          <w:color w:val="auto"/>
          <w:kern w:val="0"/>
          <w:sz w:val="32"/>
          <w:szCs w:val="32"/>
        </w:rPr>
        <w:t>为副科级全额拨款事业单位。内设</w:t>
      </w:r>
      <w:r>
        <w:rPr>
          <w:rFonts w:hint="eastAsia" w:ascii="仿宋_GB2312" w:hAnsi="仿宋_GB2312" w:eastAsia="仿宋_GB2312" w:cs="仿宋_GB2312"/>
          <w:color w:val="auto"/>
          <w:kern w:val="0"/>
          <w:sz w:val="32"/>
          <w:szCs w:val="32"/>
          <w:lang w:eastAsia="zh-CN"/>
        </w:rPr>
        <w:t>综合部</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eastAsia="zh-CN"/>
        </w:rPr>
        <w:t>培训部、就业服务部、失业保险部、财务部、</w:t>
      </w:r>
      <w:r>
        <w:rPr>
          <w:rFonts w:hint="eastAsia" w:ascii="仿宋_GB2312" w:hAnsi="仿宋_GB2312" w:eastAsia="仿宋_GB2312" w:cs="仿宋_GB2312"/>
          <w:color w:val="auto"/>
          <w:kern w:val="0"/>
          <w:sz w:val="32"/>
          <w:szCs w:val="32"/>
        </w:rPr>
        <w:t>等</w:t>
      </w:r>
      <w:r>
        <w:rPr>
          <w:rFonts w:hint="eastAsia" w:ascii="仿宋_GB2312" w:hAnsi="仿宋_GB2312" w:eastAsia="仿宋_GB2312" w:cs="仿宋_GB2312"/>
          <w:color w:val="auto"/>
          <w:kern w:val="0"/>
          <w:sz w:val="32"/>
          <w:szCs w:val="32"/>
          <w:lang w:val="en-US" w:eastAsia="zh-CN"/>
        </w:rPr>
        <w:t>5</w:t>
      </w:r>
      <w:r>
        <w:rPr>
          <w:rFonts w:hint="eastAsia" w:ascii="仿宋_GB2312" w:hAnsi="仿宋_GB2312" w:eastAsia="仿宋_GB2312" w:cs="仿宋_GB2312"/>
          <w:color w:val="auto"/>
          <w:kern w:val="0"/>
          <w:sz w:val="32"/>
          <w:szCs w:val="32"/>
        </w:rPr>
        <w:t>个职能股室。</w:t>
      </w:r>
    </w:p>
    <w:p>
      <w:pPr>
        <w:pStyle w:val="2"/>
        <w:widowControl/>
        <w:numPr>
          <w:ilvl w:val="0"/>
          <w:numId w:val="1"/>
        </w:numPr>
        <w:shd w:val="clear" w:color="auto" w:fill="FFFFFF"/>
        <w:snapToGrid w:val="0"/>
        <w:spacing w:before="0" w:beforeAutospacing="0" w:after="0" w:afterAutospacing="0" w:line="620" w:lineRule="exact"/>
        <w:ind w:firstLine="640" w:firstLineChars="200"/>
        <w:rPr>
          <w:rFonts w:ascii="楷体_GB2312" w:eastAsia="楷体_GB2312" w:cs="楷体_GB2312"/>
          <w:color w:val="000000"/>
          <w:sz w:val="32"/>
          <w:szCs w:val="32"/>
          <w:shd w:val="clear" w:color="auto" w:fill="FFFFFF"/>
        </w:rPr>
      </w:pPr>
      <w:r>
        <w:rPr>
          <w:rFonts w:ascii="楷体_GB2312" w:eastAsia="楷体_GB2312" w:cs="楷体_GB2312"/>
          <w:color w:val="000000"/>
          <w:sz w:val="32"/>
          <w:szCs w:val="32"/>
          <w:shd w:val="clear" w:color="auto" w:fill="FFFFFF"/>
        </w:rPr>
        <w:t>人员编制情况</w:t>
      </w:r>
    </w:p>
    <w:p>
      <w:pPr>
        <w:pStyle w:val="2"/>
        <w:widowControl/>
        <w:shd w:val="clear" w:color="auto" w:fill="FFFFFF"/>
        <w:spacing w:before="0" w:beforeAutospacing="0" w:after="0" w:afterAutospacing="0" w:line="600" w:lineRule="atLeast"/>
        <w:ind w:firstLine="643"/>
        <w:jc w:val="both"/>
        <w:rPr>
          <w:rFonts w:ascii="楷体_GB2312" w:eastAsia="楷体_GB2312" w:cs="楷体_GB2312"/>
          <w:color w:val="000000"/>
          <w:sz w:val="32"/>
          <w:szCs w:val="32"/>
          <w:shd w:val="clear" w:color="auto" w:fill="FFFFFF"/>
        </w:rPr>
      </w:pPr>
      <w:r>
        <w:rPr>
          <w:rFonts w:hint="eastAsia" w:ascii="仿宋_GB2312" w:hAnsi="仿宋_GB2312" w:eastAsia="仿宋_GB2312" w:cs="仿宋_GB2312"/>
          <w:color w:val="auto"/>
          <w:kern w:val="0"/>
          <w:sz w:val="32"/>
          <w:szCs w:val="32"/>
        </w:rPr>
        <w:t>核定编制</w:t>
      </w:r>
      <w:r>
        <w:rPr>
          <w:rFonts w:hint="eastAsia" w:ascii="仿宋_GB2312" w:hAnsi="仿宋_GB2312" w:eastAsia="仿宋_GB2312" w:cs="仿宋_GB2312"/>
          <w:color w:val="auto"/>
          <w:kern w:val="0"/>
          <w:sz w:val="32"/>
          <w:szCs w:val="32"/>
          <w:lang w:val="en-US" w:eastAsia="zh-CN"/>
        </w:rPr>
        <w:t>14</w:t>
      </w:r>
      <w:r>
        <w:rPr>
          <w:rFonts w:hint="eastAsia" w:ascii="仿宋_GB2312" w:hAnsi="仿宋_GB2312" w:eastAsia="仿宋_GB2312" w:cs="仿宋_GB2312"/>
          <w:color w:val="auto"/>
          <w:kern w:val="0"/>
          <w:sz w:val="32"/>
          <w:szCs w:val="32"/>
        </w:rPr>
        <w:t>人，在职人员</w:t>
      </w:r>
      <w:r>
        <w:rPr>
          <w:rFonts w:hint="eastAsia" w:ascii="仿宋_GB2312" w:hAnsi="仿宋_GB2312" w:eastAsia="仿宋_GB2312" w:cs="仿宋_GB2312"/>
          <w:color w:val="auto"/>
          <w:kern w:val="0"/>
          <w:sz w:val="32"/>
          <w:szCs w:val="32"/>
          <w:lang w:val="en-US" w:eastAsia="zh-CN"/>
        </w:rPr>
        <w:t>9</w:t>
      </w:r>
      <w:r>
        <w:rPr>
          <w:rFonts w:hint="eastAsia" w:ascii="仿宋_GB2312" w:hAnsi="仿宋_GB2312" w:eastAsia="仿宋_GB2312" w:cs="仿宋_GB2312"/>
          <w:color w:val="auto"/>
          <w:kern w:val="0"/>
          <w:sz w:val="32"/>
          <w:szCs w:val="32"/>
        </w:rPr>
        <w:t>人，离退休人员</w:t>
      </w:r>
      <w:r>
        <w:rPr>
          <w:rFonts w:hint="eastAsia" w:ascii="仿宋_GB2312" w:hAnsi="仿宋_GB2312" w:eastAsia="仿宋_GB2312" w:cs="仿宋_GB2312"/>
          <w:color w:val="auto"/>
          <w:kern w:val="0"/>
          <w:sz w:val="32"/>
          <w:szCs w:val="32"/>
          <w:lang w:val="en-US" w:eastAsia="zh-CN"/>
        </w:rPr>
        <w:t>9</w:t>
      </w:r>
      <w:r>
        <w:rPr>
          <w:rFonts w:hint="eastAsia" w:ascii="仿宋_GB2312" w:hAnsi="仿宋_GB2312" w:eastAsia="仿宋_GB2312" w:cs="仿宋_GB2312"/>
          <w:color w:val="auto"/>
          <w:kern w:val="0"/>
          <w:sz w:val="32"/>
          <w:szCs w:val="32"/>
        </w:rPr>
        <w:t>人，</w:t>
      </w:r>
      <w:r>
        <w:rPr>
          <w:rFonts w:hint="eastAsia" w:ascii="仿宋_GB2312" w:hAnsi="仿宋_GB2312" w:eastAsia="仿宋_GB2312" w:cs="仿宋_GB2312"/>
          <w:color w:val="auto"/>
          <w:kern w:val="0"/>
          <w:sz w:val="32"/>
          <w:szCs w:val="32"/>
          <w:lang w:eastAsia="zh-CN"/>
        </w:rPr>
        <w:t>公益性岗位</w:t>
      </w:r>
      <w:r>
        <w:rPr>
          <w:rFonts w:hint="eastAsia" w:ascii="仿宋_GB2312" w:hAnsi="仿宋_GB2312" w:eastAsia="仿宋_GB2312" w:cs="仿宋_GB2312"/>
          <w:color w:val="auto"/>
          <w:kern w:val="0"/>
          <w:sz w:val="32"/>
          <w:szCs w:val="32"/>
          <w:lang w:val="en-US" w:eastAsia="zh-CN"/>
        </w:rPr>
        <w:t>3人，</w:t>
      </w:r>
      <w:r>
        <w:rPr>
          <w:rFonts w:hint="eastAsia" w:ascii="仿宋_GB2312" w:hAnsi="仿宋_GB2312" w:eastAsia="仿宋_GB2312" w:cs="仿宋_GB2312"/>
          <w:color w:val="auto"/>
          <w:kern w:val="0"/>
          <w:sz w:val="32"/>
          <w:szCs w:val="32"/>
        </w:rPr>
        <w:t>临时人员</w:t>
      </w:r>
      <w:r>
        <w:rPr>
          <w:rFonts w:hint="eastAsia" w:ascii="仿宋_GB2312" w:hAnsi="仿宋_GB2312" w:eastAsia="仿宋_GB2312" w:cs="仿宋_GB2312"/>
          <w:color w:val="auto"/>
          <w:kern w:val="0"/>
          <w:sz w:val="32"/>
          <w:szCs w:val="32"/>
          <w:lang w:val="en-US" w:eastAsia="zh-CN"/>
        </w:rPr>
        <w:t>7人</w:t>
      </w:r>
      <w:r>
        <w:rPr>
          <w:rFonts w:hint="eastAsia" w:ascii="仿宋_GB2312" w:hAnsi="仿宋_GB2312" w:eastAsia="仿宋_GB2312" w:cs="仿宋_GB2312"/>
          <w:color w:val="auto"/>
          <w:kern w:val="0"/>
          <w:sz w:val="32"/>
          <w:szCs w:val="32"/>
        </w:rPr>
        <w:t>。现有车辆</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台。</w:t>
      </w:r>
    </w:p>
    <w:p>
      <w:pPr>
        <w:pStyle w:val="2"/>
        <w:widowControl/>
        <w:numPr>
          <w:ilvl w:val="0"/>
          <w:numId w:val="1"/>
        </w:numPr>
        <w:shd w:val="clear" w:color="auto" w:fill="FFFFFF"/>
        <w:snapToGrid w:val="0"/>
        <w:spacing w:before="0" w:beforeAutospacing="0" w:after="0" w:afterAutospacing="0" w:line="620" w:lineRule="exact"/>
        <w:ind w:left="0" w:leftChars="0" w:firstLine="640" w:firstLineChars="200"/>
        <w:rPr>
          <w:rFonts w:ascii="楷体_GB2312" w:eastAsia="楷体_GB2312" w:cs="楷体_GB2312"/>
          <w:color w:val="000000"/>
          <w:sz w:val="32"/>
          <w:szCs w:val="32"/>
          <w:shd w:val="clear" w:color="auto" w:fill="FFFFFF"/>
        </w:rPr>
      </w:pPr>
      <w:r>
        <w:rPr>
          <w:rFonts w:ascii="楷体_GB2312" w:eastAsia="楷体_GB2312" w:cs="楷体_GB2312"/>
          <w:color w:val="000000"/>
          <w:sz w:val="32"/>
          <w:szCs w:val="32"/>
          <w:shd w:val="clear" w:color="auto" w:fill="FFFFFF"/>
        </w:rPr>
        <w:t>主要职能职责</w:t>
      </w:r>
    </w:p>
    <w:p>
      <w:pPr>
        <w:pStyle w:val="2"/>
        <w:pBdr>
          <w:top w:val="none" w:color="auto" w:sz="0" w:space="0"/>
          <w:left w:val="none" w:color="auto" w:sz="0" w:space="0"/>
          <w:bottom w:val="none" w:color="auto" w:sz="0" w:space="0"/>
          <w:right w:val="none" w:color="auto" w:sz="0" w:space="0"/>
        </w:pBdr>
        <w:shd w:val="clear" w:color="auto" w:fill="auto"/>
        <w:spacing w:before="0" w:beforeAutospacing="0" w:after="0" w:afterAutospacing="0" w:line="240" w:lineRule="auto"/>
        <w:ind w:firstLine="0"/>
        <w:jc w:val="both"/>
        <w:rPr>
          <w:rFonts w:hint="default" w:ascii="仿宋_GB2312" w:hAnsi="仿宋_GB2312" w:eastAsia="仿宋_GB2312" w:cs="仿宋_GB2312"/>
          <w:color w:val="auto"/>
          <w:kern w:val="0"/>
          <w:sz w:val="32"/>
          <w:szCs w:val="32"/>
          <w:lang w:val="en-US" w:eastAsia="zh-CN"/>
        </w:rPr>
      </w:pPr>
      <w:r>
        <w:rPr>
          <w:rFonts w:hint="eastAsia" w:ascii="楷体_GB2312" w:eastAsia="楷体_GB2312" w:cs="楷体_GB2312"/>
          <w:color w:val="000000"/>
          <w:sz w:val="32"/>
          <w:szCs w:val="32"/>
          <w:shd w:val="clear" w:color="auto" w:fill="FFFFFF"/>
          <w:lang w:val="en-US" w:eastAsia="zh-CN"/>
        </w:rPr>
        <w:t xml:space="preserve">  </w:t>
      </w: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color w:val="auto"/>
          <w:kern w:val="0"/>
          <w:sz w:val="32"/>
          <w:szCs w:val="32"/>
        </w:rPr>
        <w:t>贯彻落实党中央、省委市委关于就业服务工作的方针政策和决策部署，全面落实区工委关于就业服务工作的部署要求，在履行职责过程中坚持和加强党对就业服务工作的集中统一领导。主要职责是：承担组织落实促进就业各项政策措施相关事务性工作、承担组织落实创业带动就业政策措施相关事务性工作、承担组织落实职业技能培训和创业培训相关事务性工作、承担组织落实失业保险各项政策相关事务性工作，承担区企事业单位失业保险经办服务工作、为公共就业服务信息化建设提供技术支持和服务保障,承担就业失业相关统计分析、就业失业信息监测工作等。</w:t>
      </w:r>
    </w:p>
    <w:p>
      <w:pPr>
        <w:pStyle w:val="2"/>
        <w:widowControl/>
        <w:numPr>
          <w:ilvl w:val="0"/>
          <w:numId w:val="1"/>
        </w:numPr>
        <w:shd w:val="clear" w:color="auto" w:fill="FFFFFF"/>
        <w:snapToGrid w:val="0"/>
        <w:spacing w:before="0" w:beforeAutospacing="0" w:after="0" w:afterAutospacing="0" w:line="620" w:lineRule="exact"/>
        <w:ind w:left="0" w:leftChars="0" w:firstLine="640" w:firstLineChars="200"/>
        <w:rPr>
          <w:rFonts w:ascii="楷体_GB2312" w:eastAsia="楷体_GB2312" w:cs="楷体_GB2312"/>
          <w:color w:val="000000"/>
          <w:sz w:val="32"/>
          <w:szCs w:val="32"/>
          <w:shd w:val="clear" w:color="auto" w:fill="FFFFFF"/>
        </w:rPr>
      </w:pPr>
      <w:r>
        <w:rPr>
          <w:rFonts w:ascii="楷体_GB2312" w:eastAsia="楷体_GB2312" w:cs="楷体_GB2312"/>
          <w:color w:val="000000"/>
          <w:sz w:val="32"/>
          <w:szCs w:val="32"/>
          <w:shd w:val="clear" w:color="auto" w:fill="FFFFFF"/>
        </w:rPr>
        <w:t>绩效目标设定情况</w:t>
      </w:r>
    </w:p>
    <w:p>
      <w:pPr>
        <w:snapToGrid w:val="0"/>
        <w:spacing w:line="620" w:lineRule="exact"/>
        <w:ind w:firstLine="640" w:firstLineChars="200"/>
        <w:rPr>
          <w:rFonts w:hint="eastAsia" w:ascii="黑体" w:hAnsi="黑体" w:eastAsia="黑体" w:cs="黑体"/>
          <w:color w:val="000000"/>
          <w:kern w:val="0"/>
          <w:sz w:val="32"/>
          <w:szCs w:val="32"/>
          <w:shd w:val="clear" w:color="auto" w:fill="FFFFFF"/>
          <w:lang w:bidi="ar"/>
        </w:rPr>
      </w:pPr>
      <w:r>
        <w:rPr>
          <w:rFonts w:hint="eastAsia" w:ascii="黑体" w:hAnsi="黑体" w:eastAsia="黑体" w:cs="黑体"/>
          <w:color w:val="000000"/>
          <w:kern w:val="0"/>
          <w:sz w:val="32"/>
          <w:szCs w:val="32"/>
          <w:shd w:val="clear" w:color="auto" w:fill="FFFFFF"/>
          <w:lang w:bidi="ar"/>
        </w:rPr>
        <w:t>二、一般公共预算支出情况</w:t>
      </w:r>
    </w:p>
    <w:p>
      <w:pPr>
        <w:pStyle w:val="2"/>
        <w:pBdr>
          <w:top w:val="none" w:color="auto" w:sz="0" w:space="0"/>
          <w:left w:val="none" w:color="auto" w:sz="0" w:space="0"/>
          <w:bottom w:val="none" w:color="auto" w:sz="0" w:space="0"/>
          <w:right w:val="none" w:color="auto" w:sz="0" w:space="0"/>
        </w:pBdr>
        <w:shd w:val="clear" w:color="auto" w:fill="auto"/>
        <w:spacing w:before="0" w:beforeAutospacing="0" w:after="0" w:afterAutospacing="0" w:line="240" w:lineRule="auto"/>
        <w:ind w:firstLine="640" w:firstLineChars="200"/>
        <w:jc w:val="both"/>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（一）基本支出情况</w:t>
      </w:r>
    </w:p>
    <w:p>
      <w:pPr>
        <w:pStyle w:val="2"/>
        <w:pBdr>
          <w:top w:val="none" w:color="auto" w:sz="0" w:space="0"/>
          <w:left w:val="none" w:color="auto" w:sz="0" w:space="0"/>
          <w:bottom w:val="none" w:color="auto" w:sz="0" w:space="0"/>
          <w:right w:val="none" w:color="auto" w:sz="0" w:space="0"/>
        </w:pBdr>
        <w:shd w:val="clear" w:color="auto" w:fill="auto"/>
        <w:spacing w:before="0" w:beforeAutospacing="0" w:after="0" w:afterAutospacing="0" w:line="240" w:lineRule="auto"/>
        <w:ind w:firstLine="640" w:firstLineChars="200"/>
        <w:jc w:val="both"/>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人员支出：72.45万元；日常开支：8万元 ；</w:t>
      </w:r>
    </w:p>
    <w:p>
      <w:pPr>
        <w:pStyle w:val="2"/>
        <w:pBdr>
          <w:top w:val="none" w:color="auto" w:sz="0" w:space="0"/>
          <w:left w:val="none" w:color="auto" w:sz="0" w:space="0"/>
          <w:bottom w:val="none" w:color="auto" w:sz="0" w:space="0"/>
          <w:right w:val="none" w:color="auto" w:sz="0" w:space="0"/>
        </w:pBdr>
        <w:shd w:val="clear" w:color="auto" w:fill="auto"/>
        <w:spacing w:before="0" w:beforeAutospacing="0" w:after="0" w:afterAutospacing="0" w:line="240" w:lineRule="auto"/>
        <w:ind w:firstLine="640" w:firstLineChars="200"/>
        <w:jc w:val="both"/>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支出合计：80.45万元</w:t>
      </w:r>
    </w:p>
    <w:p>
      <w:pPr>
        <w:pStyle w:val="2"/>
        <w:pBdr>
          <w:top w:val="none" w:color="auto" w:sz="0" w:space="0"/>
          <w:left w:val="none" w:color="auto" w:sz="0" w:space="0"/>
          <w:bottom w:val="none" w:color="auto" w:sz="0" w:space="0"/>
          <w:right w:val="none" w:color="auto" w:sz="0" w:space="0"/>
        </w:pBdr>
        <w:shd w:val="clear" w:color="auto" w:fill="auto"/>
        <w:spacing w:before="0" w:beforeAutospacing="0" w:after="0" w:afterAutospacing="0" w:line="240" w:lineRule="auto"/>
        <w:ind w:firstLine="640" w:firstLineChars="200"/>
        <w:jc w:val="both"/>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（二）项目支出情况</w:t>
      </w:r>
    </w:p>
    <w:p>
      <w:pPr>
        <w:pStyle w:val="2"/>
        <w:pBdr>
          <w:top w:val="none" w:color="auto" w:sz="0" w:space="0"/>
          <w:left w:val="none" w:color="auto" w:sz="0" w:space="0"/>
          <w:bottom w:val="none" w:color="auto" w:sz="0" w:space="0"/>
          <w:right w:val="none" w:color="auto" w:sz="0" w:space="0"/>
        </w:pBdr>
        <w:shd w:val="clear" w:color="auto" w:fill="auto"/>
        <w:spacing w:before="0" w:beforeAutospacing="0" w:after="0" w:afterAutospacing="0" w:line="240" w:lineRule="auto"/>
        <w:ind w:firstLine="640" w:firstLineChars="200"/>
        <w:jc w:val="both"/>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人员支出：3万元；日常开支：20.25万元 ；</w:t>
      </w:r>
    </w:p>
    <w:p>
      <w:pPr>
        <w:pStyle w:val="2"/>
        <w:pBdr>
          <w:top w:val="none" w:color="auto" w:sz="0" w:space="0"/>
          <w:left w:val="none" w:color="auto" w:sz="0" w:space="0"/>
          <w:bottom w:val="none" w:color="auto" w:sz="0" w:space="0"/>
          <w:right w:val="none" w:color="auto" w:sz="0" w:space="0"/>
        </w:pBdr>
        <w:shd w:val="clear" w:color="auto" w:fill="auto"/>
        <w:spacing w:before="0" w:beforeAutospacing="0" w:after="0" w:afterAutospacing="0" w:line="240" w:lineRule="auto"/>
        <w:ind w:firstLine="640" w:firstLineChars="200"/>
        <w:jc w:val="both"/>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支出合计：23.25万元</w:t>
      </w:r>
    </w:p>
    <w:p>
      <w:pPr>
        <w:pStyle w:val="2"/>
        <w:pBdr>
          <w:top w:val="none" w:color="auto" w:sz="0" w:space="0"/>
          <w:left w:val="none" w:color="auto" w:sz="0" w:space="0"/>
          <w:bottom w:val="none" w:color="auto" w:sz="0" w:space="0"/>
          <w:right w:val="none" w:color="auto" w:sz="0" w:space="0"/>
        </w:pBdr>
        <w:shd w:val="clear" w:color="auto" w:fill="auto"/>
        <w:spacing w:before="0" w:beforeAutospacing="0" w:after="0" w:afterAutospacing="0" w:line="240" w:lineRule="auto"/>
        <w:ind w:firstLine="640" w:firstLineChars="200"/>
        <w:jc w:val="both"/>
        <w:rPr>
          <w:rFonts w:hint="eastAsia" w:ascii="黑体" w:hAnsi="黑体" w:eastAsia="黑体" w:cs="黑体"/>
          <w:color w:val="000000"/>
          <w:sz w:val="32"/>
          <w:szCs w:val="32"/>
          <w:shd w:val="clear" w:color="auto" w:fill="FFFFFF"/>
        </w:rPr>
      </w:pPr>
      <w:r>
        <w:rPr>
          <w:rFonts w:hint="eastAsia" w:ascii="黑体" w:hAnsi="黑体" w:eastAsia="黑体" w:cs="黑体"/>
          <w:color w:val="000000"/>
          <w:sz w:val="32"/>
          <w:szCs w:val="32"/>
          <w:shd w:val="clear" w:color="auto" w:fill="FFFFFF"/>
          <w:lang w:val="en-US" w:eastAsia="zh-CN"/>
        </w:rPr>
        <w:t>三、</w:t>
      </w:r>
      <w:r>
        <w:rPr>
          <w:rFonts w:hint="eastAsia" w:ascii="黑体" w:hAnsi="黑体" w:eastAsia="黑体" w:cs="黑体"/>
          <w:color w:val="000000"/>
          <w:sz w:val="32"/>
          <w:szCs w:val="32"/>
          <w:shd w:val="clear" w:color="auto" w:fill="FFFFFF"/>
        </w:rPr>
        <w:t>政府性基金预算支出情况</w:t>
      </w:r>
    </w:p>
    <w:p>
      <w:pPr>
        <w:pStyle w:val="2"/>
        <w:numPr>
          <w:numId w:val="0"/>
        </w:numPr>
        <w:pBdr>
          <w:top w:val="none" w:color="auto" w:sz="0" w:space="0"/>
          <w:left w:val="none" w:color="auto" w:sz="0" w:space="0"/>
          <w:bottom w:val="none" w:color="auto" w:sz="0" w:space="0"/>
          <w:right w:val="none" w:color="auto" w:sz="0" w:space="0"/>
        </w:pBdr>
        <w:shd w:val="clear" w:color="auto" w:fill="auto"/>
        <w:spacing w:before="0" w:beforeAutospacing="0" w:after="0" w:afterAutospacing="0" w:line="240" w:lineRule="auto"/>
        <w:ind w:left="0" w:leftChars="0" w:right="0" w:rightChars="0"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本单位无政府性基金预算支出情况</w:t>
      </w:r>
    </w:p>
    <w:p>
      <w:pPr>
        <w:pStyle w:val="2"/>
        <w:widowControl/>
        <w:numPr>
          <w:ilvl w:val="0"/>
          <w:numId w:val="2"/>
        </w:numPr>
        <w:shd w:val="clear" w:color="auto" w:fill="FFFFFF"/>
        <w:snapToGrid w:val="0"/>
        <w:spacing w:before="0" w:beforeAutospacing="0" w:after="0" w:afterAutospacing="0" w:line="620" w:lineRule="exact"/>
        <w:ind w:firstLine="640" w:firstLineChars="200"/>
        <w:rPr>
          <w:rFonts w:hint="eastAsia" w:ascii="黑体" w:hAnsi="黑体" w:eastAsia="黑体" w:cs="黑体"/>
          <w:color w:val="000000"/>
          <w:sz w:val="32"/>
          <w:szCs w:val="32"/>
          <w:shd w:val="clear" w:color="auto" w:fill="FFFFFF"/>
        </w:rPr>
      </w:pPr>
      <w:r>
        <w:rPr>
          <w:rFonts w:hint="eastAsia" w:ascii="黑体" w:hAnsi="黑体" w:eastAsia="黑体" w:cs="黑体"/>
          <w:color w:val="000000"/>
          <w:sz w:val="32"/>
          <w:szCs w:val="32"/>
          <w:shd w:val="clear" w:color="auto" w:fill="FFFFFF"/>
        </w:rPr>
        <w:t>社会保险基金预算支出情况</w:t>
      </w:r>
    </w:p>
    <w:p>
      <w:pPr>
        <w:pStyle w:val="5"/>
        <w:widowControl/>
        <w:numPr>
          <w:ilvl w:val="0"/>
          <w:numId w:val="0"/>
        </w:numPr>
        <w:spacing w:line="600" w:lineRule="exact"/>
        <w:ind w:left="640" w:leftChars="0"/>
        <w:jc w:val="left"/>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本单位无国有资本经营预算支出情况</w:t>
      </w:r>
    </w:p>
    <w:p>
      <w:pPr>
        <w:pStyle w:val="2"/>
        <w:widowControl/>
        <w:numPr>
          <w:ilvl w:val="0"/>
          <w:numId w:val="2"/>
        </w:numPr>
        <w:shd w:val="clear" w:color="auto" w:fill="FFFFFF"/>
        <w:snapToGrid w:val="0"/>
        <w:spacing w:before="0" w:beforeAutospacing="0" w:after="0" w:afterAutospacing="0" w:line="620" w:lineRule="exact"/>
        <w:ind w:left="0" w:leftChars="0" w:firstLine="640" w:firstLineChars="200"/>
        <w:rPr>
          <w:rFonts w:hint="eastAsia" w:ascii="黑体" w:hAnsi="黑体" w:eastAsia="黑体" w:cs="黑体"/>
          <w:color w:val="000000"/>
          <w:sz w:val="32"/>
          <w:szCs w:val="32"/>
          <w:shd w:val="clear" w:color="auto" w:fill="FFFFFF"/>
        </w:rPr>
      </w:pPr>
      <w:r>
        <w:rPr>
          <w:rFonts w:hint="eastAsia" w:ascii="黑体" w:hAnsi="黑体" w:eastAsia="黑体" w:cs="黑体"/>
          <w:color w:val="000000"/>
          <w:sz w:val="32"/>
          <w:szCs w:val="32"/>
          <w:shd w:val="clear" w:color="auto" w:fill="FFFFFF"/>
        </w:rPr>
        <w:t>国有资本经营预算支出情况</w:t>
      </w:r>
    </w:p>
    <w:p>
      <w:pPr>
        <w:pStyle w:val="5"/>
        <w:widowControl/>
        <w:numPr>
          <w:ilvl w:val="0"/>
          <w:numId w:val="0"/>
        </w:numPr>
        <w:spacing w:line="600" w:lineRule="exact"/>
        <w:ind w:left="640" w:leftChars="0"/>
        <w:jc w:val="left"/>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本单位无社会保险基金预算支出情况</w:t>
      </w:r>
    </w:p>
    <w:p>
      <w:pPr>
        <w:pStyle w:val="2"/>
        <w:widowControl/>
        <w:shd w:val="clear" w:color="auto" w:fill="FFFFFF"/>
        <w:snapToGrid w:val="0"/>
        <w:spacing w:before="0" w:beforeAutospacing="0" w:after="0" w:afterAutospacing="0" w:line="620" w:lineRule="exact"/>
        <w:ind w:firstLine="640" w:firstLineChars="200"/>
        <w:rPr>
          <w:rFonts w:hint="eastAsia" w:ascii="黑体" w:hAnsi="黑体" w:eastAsia="黑体" w:cs="黑体"/>
          <w:color w:val="000000"/>
          <w:sz w:val="32"/>
          <w:szCs w:val="32"/>
        </w:rPr>
      </w:pPr>
      <w:r>
        <w:rPr>
          <w:rFonts w:hint="eastAsia" w:ascii="黑体" w:hAnsi="黑体" w:eastAsia="黑体" w:cs="黑体"/>
          <w:color w:val="000000"/>
          <w:sz w:val="32"/>
          <w:szCs w:val="32"/>
          <w:shd w:val="clear" w:color="auto" w:fill="FFFFFF"/>
        </w:rPr>
        <w:t>六、部门整体支出绩效情况</w:t>
      </w:r>
    </w:p>
    <w:p>
      <w:pPr>
        <w:pStyle w:val="5"/>
        <w:widowControl/>
        <w:numPr>
          <w:ilvl w:val="0"/>
          <w:numId w:val="0"/>
        </w:numPr>
        <w:spacing w:line="600" w:lineRule="exact"/>
        <w:ind w:left="640" w:leftChars="0" w:firstLine="640" w:firstLineChars="200"/>
        <w:jc w:val="left"/>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我单位预算安排基本保障了正常工作运转，在财政部门的指导和监督下资金运用方面作到了合理安排，尽量节约，收支平衡。</w:t>
      </w:r>
    </w:p>
    <w:p>
      <w:pPr>
        <w:pStyle w:val="5"/>
        <w:widowControl/>
        <w:numPr>
          <w:ilvl w:val="0"/>
          <w:numId w:val="0"/>
        </w:numPr>
        <w:spacing w:line="600" w:lineRule="exact"/>
        <w:ind w:left="640" w:leftChars="0" w:firstLine="640" w:firstLineChars="200"/>
        <w:jc w:val="left"/>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我们严格按照省市有关文件精神，做好失业保险待遇支付工作。在失业保险基金管理上，我们严把基金支付关，对每个领取失业金的人员认真审核，坚持审核制度，采取了征缴部门初审，待遇审核股审核，财务部门复核，中心主任审批。以遏制违规行为的发生，确保了基金安全。</w:t>
      </w:r>
    </w:p>
    <w:p>
      <w:pPr>
        <w:pStyle w:val="5"/>
        <w:widowControl/>
        <w:numPr>
          <w:ilvl w:val="0"/>
          <w:numId w:val="0"/>
        </w:numPr>
        <w:spacing w:line="600" w:lineRule="exact"/>
        <w:ind w:left="640" w:leftChars="0" w:firstLine="640" w:firstLineChars="200"/>
        <w:jc w:val="left"/>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总结归纳部门、单位基本支出和项目支出（包括本级及上级专项资金），政府性基金预算支出、国有资本经营预算支出和社会保险基金预算支出的绩效目标完成情况，各项预算支出的产出和效益情况。</w:t>
      </w:r>
    </w:p>
    <w:p>
      <w:pPr>
        <w:pStyle w:val="2"/>
        <w:widowControl/>
        <w:numPr>
          <w:ilvl w:val="0"/>
          <w:numId w:val="2"/>
        </w:numPr>
        <w:shd w:val="clear" w:color="auto" w:fill="FFFFFF"/>
        <w:snapToGrid w:val="0"/>
        <w:spacing w:before="0" w:beforeAutospacing="0" w:after="0" w:afterAutospacing="0" w:line="620" w:lineRule="exact"/>
        <w:ind w:left="0" w:leftChars="0" w:firstLine="640" w:firstLineChars="200"/>
        <w:rPr>
          <w:rFonts w:hint="eastAsia" w:ascii="黑体" w:hAnsi="黑体" w:eastAsia="黑体" w:cs="黑体"/>
          <w:color w:val="000000"/>
          <w:sz w:val="32"/>
          <w:szCs w:val="32"/>
          <w:shd w:val="clear" w:color="auto" w:fill="FFFFFF"/>
        </w:rPr>
      </w:pPr>
      <w:r>
        <w:rPr>
          <w:rFonts w:hint="eastAsia" w:ascii="黑体" w:hAnsi="黑体" w:eastAsia="黑体" w:cs="黑体"/>
          <w:color w:val="000000"/>
          <w:sz w:val="32"/>
          <w:szCs w:val="32"/>
          <w:shd w:val="clear" w:color="auto" w:fill="FFFFFF"/>
        </w:rPr>
        <w:t>存在的问题及原因分析</w:t>
      </w:r>
    </w:p>
    <w:p>
      <w:pPr>
        <w:pStyle w:val="5"/>
        <w:widowControl/>
        <w:numPr>
          <w:ilvl w:val="0"/>
          <w:numId w:val="0"/>
        </w:numPr>
        <w:spacing w:line="600" w:lineRule="exact"/>
        <w:ind w:left="640" w:leftChars="0" w:firstLine="640" w:firstLineChars="200"/>
        <w:jc w:val="left"/>
        <w:rPr>
          <w:rFonts w:hint="default" w:ascii="仿宋_GB2312" w:hAnsi="仿宋_GB2312" w:eastAsia="仿宋_GB2312" w:cs="仿宋_GB2312"/>
          <w:color w:val="auto"/>
          <w:kern w:val="0"/>
          <w:sz w:val="32"/>
          <w:szCs w:val="32"/>
          <w:lang w:val="en-US" w:eastAsia="zh-CN" w:bidi="ar"/>
        </w:rPr>
      </w:pPr>
      <w:bookmarkStart w:id="0" w:name="_GoBack"/>
      <w:bookmarkEnd w:id="0"/>
      <w:r>
        <w:rPr>
          <w:rFonts w:hint="eastAsia" w:ascii="仿宋_GB2312" w:hAnsi="仿宋_GB2312" w:eastAsia="仿宋_GB2312" w:cs="仿宋_GB2312"/>
          <w:color w:val="auto"/>
          <w:kern w:val="0"/>
          <w:sz w:val="32"/>
          <w:szCs w:val="32"/>
          <w:lang w:val="en-US" w:eastAsia="zh-CN" w:bidi="ar"/>
        </w:rPr>
        <w:t>就业工作压力大，企业招工难，惠企惠民政策落实难度大，基层公共就业服务能力薄弱。</w:t>
      </w:r>
    </w:p>
    <w:p>
      <w:pPr>
        <w:pStyle w:val="2"/>
        <w:widowControl/>
        <w:shd w:val="clear" w:color="auto" w:fill="FFFFFF"/>
        <w:snapToGrid w:val="0"/>
        <w:spacing w:before="0" w:beforeAutospacing="0" w:after="0" w:afterAutospacing="0" w:line="620" w:lineRule="exact"/>
        <w:ind w:firstLine="640" w:firstLineChars="200"/>
        <w:rPr>
          <w:rFonts w:hint="eastAsia" w:ascii="黑体" w:hAnsi="黑体" w:eastAsia="黑体" w:cs="黑体"/>
          <w:color w:val="000000"/>
          <w:sz w:val="32"/>
          <w:szCs w:val="32"/>
          <w:shd w:val="clear" w:color="auto" w:fill="FFFFFF"/>
        </w:rPr>
      </w:pPr>
      <w:r>
        <w:rPr>
          <w:rFonts w:hint="eastAsia" w:ascii="黑体" w:hAnsi="黑体" w:eastAsia="黑体" w:cs="黑体"/>
          <w:color w:val="000000"/>
          <w:sz w:val="32"/>
          <w:szCs w:val="32"/>
          <w:shd w:val="clear" w:color="auto" w:fill="FFFFFF"/>
        </w:rPr>
        <w:t>八、下一步改进措施</w:t>
      </w:r>
    </w:p>
    <w:p>
      <w:pPr>
        <w:pStyle w:val="5"/>
        <w:widowControl/>
        <w:numPr>
          <w:ilvl w:val="0"/>
          <w:numId w:val="0"/>
        </w:numPr>
        <w:spacing w:line="600" w:lineRule="exact"/>
        <w:ind w:left="640" w:leftChars="0" w:firstLine="640" w:firstLineChars="200"/>
        <w:jc w:val="left"/>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1、促进重点群体就业，对辖区内就业困难人员、残疾人、脱贫人口、高校毕业生等重点群体做好就业帮扶，运用好公益性岗位兜底安置和灵活就业社保补贴政策，促进劳动者积极就业创业。</w:t>
      </w:r>
    </w:p>
    <w:p>
      <w:pPr>
        <w:pStyle w:val="5"/>
        <w:widowControl/>
        <w:numPr>
          <w:ilvl w:val="0"/>
          <w:numId w:val="0"/>
        </w:numPr>
        <w:spacing w:line="600" w:lineRule="exact"/>
        <w:ind w:left="640" w:leftChars="0" w:firstLine="640" w:firstLineChars="200"/>
        <w:jc w:val="left"/>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2、落实惠企创业扶持政策，鼓励劳动者返乡创业。</w:t>
      </w:r>
    </w:p>
    <w:p>
      <w:pPr>
        <w:pStyle w:val="2"/>
        <w:widowControl/>
        <w:shd w:val="clear" w:color="auto" w:fill="FFFFFF"/>
        <w:snapToGrid w:val="0"/>
        <w:spacing w:before="0" w:beforeAutospacing="0" w:after="0" w:afterAutospacing="0" w:line="620" w:lineRule="exact"/>
        <w:ind w:firstLine="640" w:firstLineChars="200"/>
        <w:rPr>
          <w:rFonts w:hint="eastAsia" w:ascii="黑体" w:hAnsi="黑体" w:eastAsia="黑体" w:cs="黑体"/>
          <w:color w:val="000000"/>
          <w:sz w:val="32"/>
          <w:szCs w:val="32"/>
        </w:rPr>
      </w:pPr>
      <w:r>
        <w:rPr>
          <w:rFonts w:hint="eastAsia" w:ascii="黑体" w:hAnsi="黑体" w:eastAsia="黑体" w:cs="黑体"/>
          <w:color w:val="000000"/>
          <w:sz w:val="32"/>
          <w:szCs w:val="32"/>
          <w:shd w:val="clear" w:color="auto" w:fill="FFFFFF"/>
        </w:rPr>
        <w:t>九、其他需要说明的情况</w:t>
      </w:r>
    </w:p>
    <w:p>
      <w:pPr>
        <w:pStyle w:val="2"/>
        <w:widowControl/>
        <w:shd w:val="clear" w:color="auto" w:fill="FFFFFF"/>
        <w:snapToGrid w:val="0"/>
        <w:spacing w:before="0" w:beforeAutospacing="0" w:after="0" w:afterAutospacing="0" w:line="620" w:lineRule="exact"/>
        <w:ind w:firstLine="1280" w:firstLineChars="400"/>
        <w:rPr>
          <w:rFonts w:hint="eastAsia" w:ascii="仿宋_GB2312" w:eastAsia="仿宋_GB2312" w:cs="仿宋_GB2312"/>
          <w:color w:val="000000"/>
          <w:sz w:val="32"/>
          <w:szCs w:val="32"/>
          <w:shd w:val="clear" w:color="auto" w:fill="FFFFFF"/>
          <w:lang w:eastAsia="zh-CN"/>
        </w:rPr>
      </w:pPr>
      <w:r>
        <w:rPr>
          <w:rFonts w:hint="eastAsia" w:ascii="仿宋_GB2312" w:eastAsia="仿宋_GB2312" w:cs="仿宋_GB2312"/>
          <w:color w:val="000000"/>
          <w:sz w:val="32"/>
          <w:szCs w:val="32"/>
          <w:shd w:val="clear" w:color="auto" w:fill="FFFFFF"/>
          <w:lang w:eastAsia="zh-CN"/>
        </w:rPr>
        <w:t>无</w:t>
      </w:r>
    </w:p>
    <w:p>
      <w:pPr>
        <w:pStyle w:val="2"/>
        <w:widowControl/>
        <w:shd w:val="clear" w:color="auto" w:fill="FFFFFF"/>
        <w:snapToGrid w:val="0"/>
        <w:spacing w:before="0" w:beforeAutospacing="0" w:after="0" w:afterAutospacing="0" w:line="620" w:lineRule="exact"/>
        <w:ind w:firstLine="640" w:firstLineChars="200"/>
        <w:rPr>
          <w:rFonts w:ascii="仿宋_GB2312" w:eastAsia="仿宋_GB2312" w:cs="仿宋_GB2312"/>
          <w:color w:val="000000"/>
          <w:sz w:val="32"/>
          <w:szCs w:val="32"/>
          <w:shd w:val="clear" w:color="auto" w:fill="FFFFFF"/>
        </w:rPr>
      </w:pPr>
      <w:r>
        <w:rPr>
          <w:rFonts w:ascii="仿宋_GB2312" w:eastAsia="仿宋_GB2312" w:cs="仿宋_GB2312"/>
          <w:color w:val="000000"/>
          <w:sz w:val="32"/>
          <w:szCs w:val="32"/>
          <w:shd w:val="clear" w:color="auto" w:fill="FFFFFF"/>
        </w:rPr>
        <w:t>报告应包括以下附件：</w:t>
      </w:r>
    </w:p>
    <w:p>
      <w:pPr>
        <w:pStyle w:val="2"/>
        <w:widowControl/>
        <w:shd w:val="clear" w:color="auto" w:fill="FFFFFF"/>
        <w:snapToGrid w:val="0"/>
        <w:spacing w:before="0" w:beforeAutospacing="0" w:after="0" w:afterAutospacing="0" w:line="620" w:lineRule="exact"/>
        <w:ind w:firstLine="640" w:firstLineChars="200"/>
        <w:rPr>
          <w:rFonts w:ascii="仿宋_GB2312" w:eastAsia="仿宋_GB2312" w:cs="仿宋_GB2312"/>
          <w:color w:val="000000"/>
          <w:sz w:val="32"/>
          <w:szCs w:val="32"/>
          <w:shd w:val="clear" w:color="auto" w:fill="FFFFFF"/>
        </w:rPr>
      </w:pPr>
      <w:r>
        <w:rPr>
          <w:rFonts w:hint="eastAsia" w:ascii="仿宋_GB2312" w:eastAsia="仿宋_GB2312" w:cs="仿宋_GB2312"/>
          <w:color w:val="000000"/>
          <w:sz w:val="32"/>
          <w:szCs w:val="32"/>
          <w:shd w:val="clear" w:color="auto" w:fill="FFFFFF"/>
        </w:rPr>
        <w:t>1、2023年度</w:t>
      </w:r>
      <w:r>
        <w:rPr>
          <w:rFonts w:ascii="仿宋_GB2312" w:eastAsia="仿宋_GB2312" w:cs="仿宋_GB2312"/>
          <w:color w:val="000000"/>
          <w:sz w:val="32"/>
          <w:szCs w:val="32"/>
          <w:shd w:val="clear" w:color="auto" w:fill="FFFFFF"/>
        </w:rPr>
        <w:t>部门整体支出绩效评价基础数据表</w:t>
      </w:r>
      <w:r>
        <w:rPr>
          <w:rFonts w:hint="eastAsia" w:ascii="仿宋_GB2312" w:eastAsia="仿宋_GB2312" w:cs="仿宋_GB2312"/>
          <w:color w:val="000000"/>
          <w:sz w:val="32"/>
          <w:szCs w:val="32"/>
          <w:shd w:val="clear" w:color="auto" w:fill="FFFFFF"/>
        </w:rPr>
        <w:t xml:space="preserve">  </w:t>
      </w:r>
    </w:p>
    <w:p>
      <w:pPr>
        <w:pStyle w:val="2"/>
        <w:widowControl/>
        <w:shd w:val="clear" w:color="auto" w:fill="FFFFFF"/>
        <w:snapToGrid w:val="0"/>
        <w:spacing w:before="0" w:beforeAutospacing="0" w:after="0" w:afterAutospacing="0" w:line="620" w:lineRule="exact"/>
        <w:ind w:firstLine="640" w:firstLineChars="200"/>
        <w:rPr>
          <w:rFonts w:ascii="仿宋_GB2312" w:eastAsia="仿宋_GB2312" w:cs="仿宋_GB2312"/>
          <w:color w:val="000000"/>
          <w:sz w:val="32"/>
          <w:szCs w:val="32"/>
          <w:shd w:val="clear" w:color="auto" w:fill="FFFFFF"/>
        </w:rPr>
      </w:pPr>
      <w:r>
        <w:rPr>
          <w:rFonts w:hint="eastAsia" w:ascii="仿宋_GB2312" w:eastAsia="仿宋_GB2312" w:cs="仿宋_GB2312"/>
          <w:color w:val="000000"/>
          <w:sz w:val="32"/>
          <w:szCs w:val="32"/>
          <w:shd w:val="clear" w:color="auto" w:fill="FFFFFF"/>
        </w:rPr>
        <w:t>2、2023年度</w:t>
      </w:r>
      <w:r>
        <w:rPr>
          <w:rFonts w:ascii="仿宋_GB2312" w:eastAsia="仿宋_GB2312" w:cs="仿宋_GB2312"/>
          <w:color w:val="000000"/>
          <w:sz w:val="32"/>
          <w:szCs w:val="32"/>
          <w:shd w:val="clear" w:color="auto" w:fill="FFFFFF"/>
        </w:rPr>
        <w:t>部门整体支出绩效自评表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宋体"/>
    <w:panose1 w:val="03000509000000000000"/>
    <w:charset w:val="86"/>
    <w:family w:val="script"/>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698A104"/>
    <w:multiLevelType w:val="singleLevel"/>
    <w:tmpl w:val="F698A104"/>
    <w:lvl w:ilvl="0" w:tentative="0">
      <w:start w:val="2"/>
      <w:numFmt w:val="chineseCounting"/>
      <w:suff w:val="nothing"/>
      <w:lvlText w:val="（%1）"/>
      <w:lvlJc w:val="left"/>
      <w:rPr>
        <w:rFonts w:hint="eastAsia"/>
      </w:rPr>
    </w:lvl>
  </w:abstractNum>
  <w:abstractNum w:abstractNumId="1">
    <w:nsid w:val="18EADFCF"/>
    <w:multiLevelType w:val="singleLevel"/>
    <w:tmpl w:val="18EADFCF"/>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F372F1"/>
    <w:rsid w:val="4A3F7F5E"/>
    <w:rsid w:val="7DBD57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5">
    <w:name w:val="List Paragraph"/>
    <w:basedOn w:val="1"/>
    <w:qFormat/>
    <w:uiPriority w:val="0"/>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2024-11-04T01:37:00Z</dcterms:created>
  <dc:creator>Administrator</dc:creator>
  <cp:lastModifiedBy>Administrator</cp:lastModifiedBy>
  <cp:lastPrinted>2024-11-04T06:50:54Z</cp:lastPrinted>
  <dcterms:modified xsi:type="dcterms:W3CDTF">2024-11-04T06:51:40Z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