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ED" w:rsidRDefault="000B13ED" w:rsidP="000B13ED">
      <w:pPr>
        <w:pStyle w:val="a5"/>
        <w:shd w:val="clear" w:color="auto" w:fill="FFFFFF"/>
        <w:spacing w:before="0" w:beforeAutospacing="0" w:after="0" w:afterAutospacing="0" w:line="620" w:lineRule="exact"/>
        <w:jc w:val="both"/>
        <w:rPr>
          <w:rFonts w:ascii="仿宋_GB2312" w:eastAsia="仿宋_GB2312" w:hAnsi="方正小标宋_GBK" w:cs="方正小标宋_GBK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方正小标宋_GBK" w:cs="方正小标宋_GBK" w:hint="eastAsia"/>
          <w:color w:val="000000"/>
          <w:sz w:val="32"/>
          <w:szCs w:val="32"/>
          <w:shd w:val="clear" w:color="auto" w:fill="FFFFFF"/>
        </w:rPr>
        <w:t>附件1</w:t>
      </w: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方正小标宋简体" w:eastAsia="方正小标宋简体" w:hAnsi="黑体" w:cs="黑体" w:hint="eastAsia"/>
          <w:color w:val="000000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黑体" w:cs="黑体" w:hint="eastAsia"/>
          <w:color w:val="000000"/>
          <w:sz w:val="52"/>
          <w:szCs w:val="52"/>
          <w:shd w:val="clear" w:color="auto" w:fill="FFFFFF"/>
        </w:rPr>
        <w:t>2023年度怀化市洪江公安局部门整体支出绩效自评报告</w:t>
      </w: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黑体" w:eastAsia="黑体" w:hAnsi="黑体" w:cs="黑体" w:hint="eastAsia"/>
          <w:color w:val="000000"/>
          <w:sz w:val="52"/>
          <w:szCs w:val="5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部门（单位）名称：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shd w:val="clear" w:color="auto" w:fill="FFFFFF"/>
        </w:rPr>
        <w:t xml:space="preserve">    （盖章）    </w:t>
      </w: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  月  日</w:t>
      </w: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（此页为封面）</w:t>
      </w: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center"/>
        <w:rPr>
          <w:rFonts w:ascii="方正小标宋简体" w:eastAsia="方正小标宋简体" w:hAnsi="仿宋_GB2312" w:cs="仿宋_GB2312" w:hint="eastAsia"/>
          <w:color w:val="000000"/>
          <w:sz w:val="44"/>
          <w:szCs w:val="44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br w:type="page"/>
      </w:r>
      <w:r>
        <w:rPr>
          <w:rFonts w:ascii="方正小标宋简体" w:eastAsia="方正小标宋简体" w:hAnsi="仿宋_GB2312" w:cs="仿宋_GB2312" w:hint="eastAsia"/>
          <w:color w:val="000000"/>
          <w:sz w:val="44"/>
          <w:szCs w:val="44"/>
          <w:shd w:val="clear" w:color="auto" w:fill="FFFFFF"/>
        </w:rPr>
        <w:lastRenderedPageBreak/>
        <w:t>2023年度怀化市洪江公安局部门整体支出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520" w:lineRule="exact"/>
        <w:jc w:val="center"/>
        <w:rPr>
          <w:rFonts w:ascii="方正小标宋简体" w:eastAsia="方正小标宋简体" w:hAnsi="仿宋_GB2312" w:cs="仿宋_GB2312" w:hint="eastAsia"/>
          <w:color w:val="000000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color w:val="000000"/>
          <w:sz w:val="44"/>
          <w:szCs w:val="44"/>
          <w:shd w:val="clear" w:color="auto" w:fill="FFFFFF"/>
        </w:rPr>
        <w:t>绩效自评报告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520" w:lineRule="exact"/>
        <w:jc w:val="center"/>
        <w:rPr>
          <w:rFonts w:ascii="仿宋_GB2312" w:eastAsia="仿宋_GB2312" w:cs="仿宋_GB2312"/>
          <w:color w:val="000000"/>
        </w:rPr>
      </w:pPr>
    </w:p>
    <w:p w:rsidR="000B13ED" w:rsidRDefault="000B13ED" w:rsidP="000B13E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部门单位基本情况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leftChars="200" w:left="420"/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（一）机构设置情况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怀化市洪江公安局设7个内设机构、3个大队、5个派出所：指挥中心、侦查中心、防控中心、队伍管理中心、执法监管中心、监所管理中心、交通管理中心、网络安全保卫大队、禁毒大队、反恐怖大队、河滨路派出所、沅江路派出所、新街派出所、桂花园派出所、横岩派出所。</w:t>
      </w:r>
    </w:p>
    <w:p w:rsidR="000B13ED" w:rsidRDefault="000B13ED" w:rsidP="000B13ED">
      <w:pPr>
        <w:pStyle w:val="a5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620" w:lineRule="exact"/>
        <w:ind w:firstLine="320"/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人员编制情况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leftChars="100" w:left="210"/>
        <w:rPr>
          <w:rFonts w:ascii="仿宋" w:eastAsia="仿宋" w:hAnsi="仿宋" w:cs="仿宋_GB2312"/>
          <w:bCs/>
          <w:spacing w:val="-2"/>
          <w:sz w:val="32"/>
          <w:szCs w:val="32"/>
        </w:rPr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 xml:space="preserve"> 截至2023年底，怀化市洪江公安局现核定行政编制148名。2023年年末民警128人。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100" w:firstLine="320"/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>（三）</w:t>
      </w: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主要职能职责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公安机关是指国家依照法律设立的，代表国家行使公安职权和履行公安职责的，具有武装性质的国家机关。公安机关担负着日常的社会治安管理工作外，负有处置突发事件，侦破各种刑事犯罪案件，参与和组织抢险救灾等重大责任。具体表现在：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预防、制止和侦查违法犯罪活动；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防范、打击恐怖活动；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维护社会治安秩序，制止危害社会治安秩序的行为；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lastRenderedPageBreak/>
        <w:t>管理交通、消防、危险物品；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管理户口、居民身份证、国籍、出入境事务和外国人在中国境内居留、旅行的有关事务；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维护国（边）境地区的治安秩序；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警卫国家规定的特定人员、守卫重要场所和设施；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管理集会、游行和示威活动；</w:t>
      </w:r>
    </w:p>
    <w:p w:rsidR="000B13ED" w:rsidRDefault="000B13ED" w:rsidP="000B13ED">
      <w:pPr>
        <w:pStyle w:val="a5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sz w:val="32"/>
          <w:szCs w:val="32"/>
        </w:rPr>
      </w:pPr>
      <w:r>
        <w:rPr>
          <w:rFonts w:ascii="仿宋" w:eastAsia="仿宋" w:hAnsi="仿宋" w:cs="仿宋_GB2312" w:hint="eastAsia"/>
          <w:bCs/>
          <w:spacing w:val="-2"/>
          <w:sz w:val="32"/>
          <w:szCs w:val="32"/>
        </w:rPr>
        <w:t>监督管理公共信息网络的安全监察工作。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100" w:firstLine="320"/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 w:hint="eastAsia"/>
          <w:color w:val="000000"/>
          <w:sz w:val="32"/>
          <w:szCs w:val="32"/>
          <w:shd w:val="clear" w:color="auto" w:fill="FFFFFF"/>
        </w:rPr>
        <w:t>（四）</w:t>
      </w: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绩效目标设定情况</w:t>
      </w:r>
    </w:p>
    <w:p w:rsidR="000B13ED" w:rsidRDefault="000B13ED" w:rsidP="000B13ED">
      <w:pPr>
        <w:snapToGrid w:val="0"/>
        <w:spacing w:line="620" w:lineRule="exact"/>
        <w:ind w:firstLineChars="200" w:firstLine="632"/>
        <w:rPr>
          <w:rFonts w:ascii="仿宋" w:eastAsia="仿宋" w:hAnsi="仿宋" w:cs="仿宋_GB2312" w:hint="eastAsia"/>
          <w:bCs/>
          <w:spacing w:val="-2"/>
          <w:kern w:val="0"/>
          <w:sz w:val="32"/>
          <w:szCs w:val="32"/>
          <w:lang/>
        </w:rPr>
      </w:pPr>
      <w:r>
        <w:rPr>
          <w:rFonts w:ascii="仿宋" w:eastAsia="仿宋" w:hAnsi="仿宋" w:cs="仿宋_GB2312" w:hint="eastAsia"/>
          <w:bCs/>
          <w:spacing w:val="-2"/>
          <w:kern w:val="0"/>
          <w:sz w:val="32"/>
          <w:szCs w:val="32"/>
          <w:lang/>
        </w:rPr>
        <w:t>维护社会政治治安安全稳定，强化打防管制，保持对刑事犯罪的高压和主动进攻态势，增强社会治安管控，创造稳定的社会环境和良好的治安环境，强化服务民生能力，为地方经济发展保驾护航。</w:t>
      </w:r>
    </w:p>
    <w:p w:rsidR="000B13ED" w:rsidRDefault="000B13ED" w:rsidP="000B13ED">
      <w:pPr>
        <w:snapToGrid w:val="0"/>
        <w:spacing w:line="620" w:lineRule="exact"/>
        <w:ind w:firstLineChars="200" w:firstLine="640"/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/>
        </w:rPr>
        <w:t>二、一般公共预算支出情况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基本支出情况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2023年部门基本支出3205.03万，主要用于发放人员工资及津补贴、社保、住房公积金及奖金、办公费、水电费、公务用车运行维护费、劳务费、维修费、其他商品服务支出及办公设备购置、车辆购置等。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“三公”经费77.2万，其中公务用车运行维护费43.59万，公务用车购置30.84万、公务接待费2.77万。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（二）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项目支出情况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2023年部门项目支出178.44万，其中业务工作经费178.44万。</w:t>
      </w:r>
    </w:p>
    <w:p w:rsidR="000B13ED" w:rsidRDefault="000B13ED" w:rsidP="000B13ED">
      <w:pPr>
        <w:pStyle w:val="a5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看守所、拘留所经费39.89万，该项目支出主要用于加强公安监管场所经费保障和管理，保障监管人员的合法权益，主要用于保障监管场所羁押人员伙食、医疗、水电等方面的开支。</w:t>
      </w:r>
    </w:p>
    <w:p w:rsidR="000B13ED" w:rsidRDefault="000B13ED" w:rsidP="000B13ED">
      <w:pPr>
        <w:pStyle w:val="a5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反恐专项经费6万，该项目支出主要用于始终把维护社会政治稳定作为首要职责，保持高度敏锐性和警惕性，采取有效措施，积极做好各项反恐工作。</w:t>
      </w:r>
    </w:p>
    <w:p w:rsidR="000B13ED" w:rsidRDefault="000B13ED" w:rsidP="000B13ED">
      <w:pPr>
        <w:pStyle w:val="a5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维稳情报非7万，该项目支出主要用于维稳应急处置、维稳的调研和培训、维稳考评、建立健全维稳工作劝返站点常设机制，确保全区维稳工作顺利进行。</w:t>
      </w:r>
    </w:p>
    <w:p w:rsidR="000B13ED" w:rsidRDefault="000B13ED" w:rsidP="000B13ED">
      <w:pPr>
        <w:pStyle w:val="a5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城市治安电子防控维护费38万，该项目支出主要用于在党委、政府的领导下，以公安机关为骨干，各部门充分发挥职能作用，科学整合现有警力和社会资源，综合运用预防、打击、管理、控制等多种手段，建立的一个对社会治安进行全方位动态防控的完整体系。</w:t>
      </w:r>
    </w:p>
    <w:p w:rsidR="000B13ED" w:rsidRDefault="000B13ED" w:rsidP="000B13ED">
      <w:pPr>
        <w:pStyle w:val="a5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看守所医疗社会化7万，该项目支出主要用于看守所医疗社会化服务。</w:t>
      </w:r>
    </w:p>
    <w:p w:rsidR="000B13ED" w:rsidRPr="006A2337" w:rsidRDefault="000B13ED" w:rsidP="000B13ED">
      <w:pPr>
        <w:pStyle w:val="a5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非税80.55万，该项目支出主要用于全力维护政治安全、社会安定、人民安宁，确保社会治安秩序持续良好，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弥补公安机关办案经费、部分基础建设投入及科技投入的不足。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三、政府性基金预算支出情况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leftChars="200" w:left="42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 xml:space="preserve"> 无</w:t>
      </w:r>
    </w:p>
    <w:p w:rsidR="000B13ED" w:rsidRDefault="000B13ED" w:rsidP="000B13ED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社会保险基金预算支出情况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无</w:t>
      </w:r>
    </w:p>
    <w:p w:rsidR="000B13ED" w:rsidRDefault="000B13ED" w:rsidP="000B13ED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国有资本经营预算支出情况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无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六、部门整体支出绩效情况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（一）综合评价结论。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反映自评得分及评价等级。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1、数量指标：专项工作完成率100%，自评分15分。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2、质量指标：整体项目绩效达标率100%，自评分15分。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3、时效指标：2023年12月31日前完成，自评分10分。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4、成本指标：整体支出成本节约率0%，自评分10分。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5、经济效益指标：提高财政资金的使用效益效果明显，自评分10分。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6、社会效益指标：改善治安环境显著，自评分10分。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7、生态效益指标：美化城乡人文环境效果明显，自评分5分。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8、可持续影响指标：保证全区社会大局稳定效果明显，自评分5分。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9、服务对象满意度指标：服务对象满意度≥90，自评分10分。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cs="楷体_GB2312"/>
          <w:color w:val="000000"/>
          <w:sz w:val="32"/>
          <w:szCs w:val="32"/>
          <w:shd w:val="clear" w:color="auto" w:fill="FFFFFF"/>
        </w:rPr>
        <w:t>（二）评价指标分析（或综合评价情况）。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1、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预算编制符合要求。我局严格按照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区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财政预算编制的原则和要求，结合202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年度部门履职需要和年度工作重点，在不同项目、不同用途之间合理分配预算资金。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2、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预算执行规范。我局资金支出比较规范，资金下达及时，财政资金使用效率有所提升，从严控制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三公经费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支出，国库集中支付结转结余存量资金效率性有所提高，符合部门预算经济性要求，预决算信息公开等方面表现良好。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3、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资产管理规范有序。我局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定期或不定期对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固定资产进行全面盘点和清查，建立了较为完备资产管理的制度，登记管理工作严格有序。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4、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内部管理制度基本健全。我局内部管理制度与工作职能衔接程度较好，相关制度规范随工作开展情况不断完善。制定了《财务管理办法》、《政府采购管理实施办法》、《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执法执勤车辆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管理办法》、《公务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接待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管理办法》等相关制度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进一步加强对内部规范化管理，提升内部管理效率。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七、存在的问题及原因分析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预算编制工作有待细化，预算编制不科学，导致专项资金的预算调整较大，预算编制的合理性需要提高，预算执行力度还要进一步加强。</w:t>
      </w:r>
    </w:p>
    <w:p w:rsidR="000B13ED" w:rsidRDefault="000B13ED" w:rsidP="000B13ED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lastRenderedPageBreak/>
        <w:t>下一步改进措施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1、加强预算编制及执行管理。进一步加强本单位预算编制的基本支出与项目支出，对预算的事前、事中、事后进行全过程控制，加大对预算编制与执行的监督管理力度，提高预算资金使用效率。同时提高专项资金责任人员对预算资金使用效益的认识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2、加强财务会计核算。加强本单位财务会计核算，健全单位财务管理制度体系，规范单位财务行为，严格执行财经法规。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3、加强内控制度执行。进一步落实固定资产的清理核算制度，确保国有资产管理到位。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九、其他需要说明的情况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无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报告应包括以下附件：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1、2023年度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部门整体支出绩效评价基础数据表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</w:p>
    <w:p w:rsidR="000B13ED" w:rsidRDefault="000B13ED" w:rsidP="000B13ED">
      <w:pPr>
        <w:pStyle w:val="a5"/>
        <w:widowControl/>
        <w:shd w:val="clear" w:color="auto" w:fill="FFFFFF"/>
        <w:snapToGrid w:val="0"/>
        <w:spacing w:before="0" w:beforeAutospacing="0" w:after="0" w:afterAutospacing="0" w:line="62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2、2023年度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部门整体支出绩效自评表</w:t>
      </w: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both"/>
        <w:rPr>
          <w:rFonts w:cs="Calibri"/>
          <w:color w:val="000000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both"/>
        <w:rPr>
          <w:rFonts w:cs="Calibri"/>
          <w:color w:val="000000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both"/>
        <w:rPr>
          <w:rFonts w:cs="Calibri"/>
          <w:color w:val="000000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both"/>
        <w:rPr>
          <w:rFonts w:cs="Calibri"/>
          <w:color w:val="000000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both"/>
        <w:rPr>
          <w:rFonts w:cs="Calibri"/>
          <w:color w:val="000000"/>
        </w:rPr>
      </w:pPr>
    </w:p>
    <w:p w:rsidR="000B13ED" w:rsidRDefault="000B13ED" w:rsidP="000B13ED">
      <w:pPr>
        <w:pStyle w:val="a5"/>
        <w:widowControl/>
        <w:shd w:val="clear" w:color="auto" w:fill="FFFFFF"/>
        <w:spacing w:before="0" w:beforeAutospacing="0" w:after="0" w:afterAutospacing="0" w:line="480" w:lineRule="atLeast"/>
        <w:jc w:val="both"/>
        <w:rPr>
          <w:rFonts w:cs="Calibri"/>
          <w:color w:val="000000"/>
        </w:rPr>
      </w:pPr>
    </w:p>
    <w:p w:rsidR="00322299" w:rsidRPr="000B13ED" w:rsidRDefault="00322299"/>
    <w:sectPr w:rsidR="00322299" w:rsidRPr="000B13ED" w:rsidSect="00373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6D3" w:rsidRDefault="003676D3" w:rsidP="00DF1B2E">
      <w:r>
        <w:separator/>
      </w:r>
    </w:p>
  </w:endnote>
  <w:endnote w:type="continuationSeparator" w:id="1">
    <w:p w:rsidR="003676D3" w:rsidRDefault="003676D3" w:rsidP="00DF1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6D3" w:rsidRDefault="003676D3" w:rsidP="00DF1B2E">
      <w:r>
        <w:separator/>
      </w:r>
    </w:p>
  </w:footnote>
  <w:footnote w:type="continuationSeparator" w:id="1">
    <w:p w:rsidR="003676D3" w:rsidRDefault="003676D3" w:rsidP="00DF1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90876E"/>
    <w:multiLevelType w:val="singleLevel"/>
    <w:tmpl w:val="8D90876E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3E436EF"/>
    <w:multiLevelType w:val="singleLevel"/>
    <w:tmpl w:val="93E436EF"/>
    <w:lvl w:ilvl="0">
      <w:start w:val="1"/>
      <w:numFmt w:val="decimal"/>
      <w:suff w:val="nothing"/>
      <w:lvlText w:val="%1、"/>
      <w:lvlJc w:val="left"/>
    </w:lvl>
  </w:abstractNum>
  <w:abstractNum w:abstractNumId="2">
    <w:nsid w:val="A5C7BEEB"/>
    <w:multiLevelType w:val="singleLevel"/>
    <w:tmpl w:val="A5C7BEE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D8896196"/>
    <w:multiLevelType w:val="singleLevel"/>
    <w:tmpl w:val="D8896196"/>
    <w:lvl w:ilvl="0">
      <w:start w:val="2"/>
      <w:numFmt w:val="chineseCounting"/>
      <w:suff w:val="nothing"/>
      <w:lvlText w:val="（%1）"/>
      <w:lvlJc w:val="left"/>
      <w:pPr>
        <w:ind w:left="100"/>
      </w:pPr>
      <w:rPr>
        <w:rFonts w:hint="eastAsia"/>
      </w:rPr>
    </w:lvl>
  </w:abstractNum>
  <w:abstractNum w:abstractNumId="4">
    <w:nsid w:val="F91BFACE"/>
    <w:multiLevelType w:val="singleLevel"/>
    <w:tmpl w:val="F91BFAC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924DBC9"/>
    <w:multiLevelType w:val="singleLevel"/>
    <w:tmpl w:val="6924DBC9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1B2E"/>
    <w:rsid w:val="000B13ED"/>
    <w:rsid w:val="00322299"/>
    <w:rsid w:val="003676D3"/>
    <w:rsid w:val="0037363A"/>
    <w:rsid w:val="00DF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2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1B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1B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1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1B2E"/>
    <w:rPr>
      <w:sz w:val="18"/>
      <w:szCs w:val="18"/>
    </w:rPr>
  </w:style>
  <w:style w:type="paragraph" w:styleId="a5">
    <w:name w:val="Normal (Web)"/>
    <w:basedOn w:val="a"/>
    <w:rsid w:val="00DF1B2E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2024-08-29T03:04:00Z</dcterms:created>
  <dcterms:modified xsi:type="dcterms:W3CDTF">2024-08-29T03:56:00Z</dcterms:modified>
</cp:coreProperties>
</file>