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  <w:t>洪江区发改局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洪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江区发改局政府信息公开紧紧围绕区工委、区管委中心工作，深入贯彻落实党的方针政策，积极落实国家和省、市政府信息公开工作的有关要求，发挥政府网站信息公开第一平台作用，强化工作措施，进一步完善制度，积极推进我局政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府信息公开工作。结合工作实际，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20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年开展了几个方面工作：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主动公开政府信息情况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我局严格按照“公正、公平、便民”的总体原则及“及时、准确”的总体要求，将主动公开的政府信息发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政府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门户网站，公开的内容涉及部门机构职能、政策法规、</w:t>
      </w:r>
      <w:r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涉企收费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、服务内容、工作动态等与人民群众切身利益密切相关的各类信息</w:t>
      </w:r>
      <w:r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收到和处理政府信息公开申请情况、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政府信息公开行政复议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行政诉讼情况</w:t>
      </w: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截止20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底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，我局未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收到处理政府信息公开申请办理事项和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行政复议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行政诉讼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案件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二、主动公开政府信息情况</w:t>
      </w:r>
    </w:p>
    <w:tbl>
      <w:tblPr>
        <w:tblStyle w:val="3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600" w:firstLineChars="30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41"/>
              </w:tabs>
              <w:spacing w:before="0" w:beforeAutospacing="0" w:after="180" w:afterAutospacing="0"/>
              <w:ind w:right="0" w:firstLine="630" w:firstLineChars="30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00" w:firstLineChars="20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00" w:firstLineChars="20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00" w:firstLineChars="20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800" w:firstLineChars="400"/>
              <w:rPr>
                <w:rFonts w:hint="default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19.8万元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三、收到和处理政府信息公开申请情况</w:t>
      </w:r>
    </w:p>
    <w:tbl>
      <w:tblPr>
        <w:tblStyle w:val="3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20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年，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区发改局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政府信息公开工作在上级主管部门的正确领导下，做了大量工作，但标准还不够高，内容还不够全面，信息更新</w:t>
      </w:r>
      <w:r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不够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及时；公开形式便民性在今后的工作中需要进一步提高。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针对存在的问题，202</w:t>
      </w: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年主要改进措施：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按照《中华人民共和国政府信息公开条例》的规定和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政府信息公开工作要求，下一阶段将主要做好以下几方面工作：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一是加强工作衔接，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严格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审核对公开信息的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准确性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，提高公开信息的质量。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二是强化日常管理，将信息公开工作和日常业务工作紧密结合，在我局各类文件产生之初就鉴定其属性是否公开及公开范围，保证信息及时公开。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三是进一步拓宽信息公开途径。通过网络、微信等多种方式加大惠民政策宣传力度，进一步细化信息公开工作流程，拓宽公开渠道，确保操作简便明了，利于查找。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640"/>
        <w:jc w:val="left"/>
        <w:textAlignment w:val="baseline"/>
        <w:rPr>
          <w:rFonts w:hint="eastAsia" w:ascii="宋体" w:hAnsi="宋体" w:eastAsia="宋体" w:cs="宋体"/>
          <w:b/>
          <w:bCs/>
          <w:i w:val="0"/>
          <w:caps w:val="0"/>
          <w:color w:val="50505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505050"/>
          <w:spacing w:val="0"/>
          <w:kern w:val="0"/>
          <w:sz w:val="24"/>
          <w:szCs w:val="24"/>
          <w:u w:val="none"/>
          <w:shd w:val="clear" w:fill="FFFFFF"/>
          <w:vertAlign w:val="baseline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64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暂无其他需要报告的事项。</w:t>
      </w:r>
    </w:p>
    <w:p/>
    <w:sectPr>
      <w:pgSz w:w="12240" w:h="15840"/>
      <w:pgMar w:top="2098" w:right="1474" w:bottom="1984" w:left="1587" w:header="720" w:footer="720" w:gutter="0"/>
      <w:cols w:space="72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D72B7"/>
    <w:rsid w:val="19B72B87"/>
    <w:rsid w:val="3DE97F8A"/>
    <w:rsid w:val="418C0589"/>
    <w:rsid w:val="5A6C1DBB"/>
    <w:rsid w:val="5F737D68"/>
    <w:rsid w:val="62D507F6"/>
    <w:rsid w:val="6D507B71"/>
    <w:rsid w:val="73D8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2021-01-29T07:49:51Z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