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61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eastAsia" w:ascii="Times New Roman" w:hAnsi="Times New Roman" w:eastAsia="方正小标宋简体" w:cs="Times New Roman"/>
          <w:b/>
          <w:bCs/>
          <w:spacing w:val="1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pacing w:val="1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/>
          <w:bCs/>
          <w:spacing w:val="1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b/>
          <w:bCs/>
          <w:spacing w:val="1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b/>
          <w:bCs/>
          <w:spacing w:val="10"/>
          <w:sz w:val="44"/>
          <w:szCs w:val="44"/>
        </w:rPr>
        <w:t>年洪江区国民经济和社会发展</w:t>
      </w:r>
    </w:p>
    <w:p w14:paraId="351D8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rPr>
          <w:rFonts w:hint="eastAsia" w:ascii="Times New Roman" w:hAnsi="Times New Roman" w:eastAsia="方正小标宋简体" w:cs="Times New Roman"/>
          <w:b/>
          <w:bCs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bCs/>
          <w:spacing w:val="10"/>
          <w:sz w:val="44"/>
          <w:szCs w:val="44"/>
          <w:lang w:val="en-US"/>
        </w:rPr>
        <w:t>统计</w:t>
      </w:r>
      <w:r>
        <w:rPr>
          <w:rFonts w:hint="eastAsia" w:ascii="Times New Roman" w:hAnsi="Times New Roman" w:eastAsia="方正小标宋简体" w:cs="Times New Roman"/>
          <w:b/>
          <w:bCs/>
          <w:spacing w:val="10"/>
          <w:sz w:val="44"/>
          <w:szCs w:val="44"/>
        </w:rPr>
        <w:t>公报</w:t>
      </w:r>
    </w:p>
    <w:p w14:paraId="0E56805C">
      <w:pPr>
        <w:spacing w:line="54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 w14:paraId="201AB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2024</w:t>
      </w:r>
      <w:r>
        <w:rPr>
          <w:rFonts w:hint="eastAsia" w:ascii="仿宋_GB2312" w:hAnsi="仿宋" w:eastAsia="仿宋_GB2312" w:cs="仿宋_GB2312"/>
          <w:color w:val="auto"/>
          <w:spacing w:val="0"/>
          <w:w w:val="100"/>
          <w:sz w:val="32"/>
          <w:szCs w:val="32"/>
        </w:rPr>
        <w:t>年，</w:t>
      </w:r>
      <w:r>
        <w:rPr>
          <w:rFonts w:hint="eastAsia" w:ascii="Times New Roman" w:hAnsi="Times New Roman" w:eastAsia="仿宋_GB2312" w:cs="Times New Roman"/>
          <w:color w:val="auto"/>
          <w:spacing w:val="10"/>
          <w:sz w:val="32"/>
          <w:szCs w:val="32"/>
          <w:lang w:eastAsia="zh-CN"/>
        </w:rPr>
        <w:t>面对外部压力加大，内部困难增多的复杂严峻形势，在</w:t>
      </w:r>
      <w:r>
        <w:rPr>
          <w:rFonts w:hint="eastAsia" w:ascii="仿宋_GB2312" w:hAnsi="仿宋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区工委</w:t>
      </w:r>
      <w:r>
        <w:rPr>
          <w:rFonts w:hint="eastAsia" w:ascii="仿宋_GB2312" w:hAnsi="仿宋" w:eastAsia="仿宋_GB2312" w:cs="仿宋_GB2312"/>
          <w:color w:val="auto"/>
          <w:spacing w:val="0"/>
          <w:w w:val="100"/>
          <w:sz w:val="32"/>
          <w:szCs w:val="32"/>
        </w:rPr>
        <w:t>、</w:t>
      </w:r>
      <w:r>
        <w:rPr>
          <w:rFonts w:hint="eastAsia" w:ascii="仿宋_GB2312" w:hAnsi="仿宋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区管委</w:t>
      </w:r>
      <w:r>
        <w:rPr>
          <w:rFonts w:hint="eastAsia" w:ascii="仿宋_GB2312" w:hAnsi="仿宋" w:eastAsia="仿宋_GB2312" w:cs="仿宋_GB2312"/>
          <w:color w:val="auto"/>
          <w:spacing w:val="0"/>
          <w:w w:val="100"/>
          <w:sz w:val="32"/>
          <w:szCs w:val="32"/>
        </w:rPr>
        <w:t>的坚强领导下，</w:t>
      </w:r>
      <w:r>
        <w:rPr>
          <w:rFonts w:hint="eastAsia" w:ascii="仿宋_GB2312" w:hAnsi="仿宋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全区</w:t>
      </w:r>
      <w:r>
        <w:rPr>
          <w:rFonts w:hint="eastAsia" w:ascii="仿宋_GB2312" w:hAnsi="仿宋" w:eastAsia="仿宋_GB2312" w:cs="仿宋_GB2312"/>
          <w:color w:val="auto"/>
          <w:spacing w:val="0"/>
          <w:w w:val="100"/>
          <w:sz w:val="32"/>
          <w:szCs w:val="32"/>
        </w:rPr>
        <w:t>上下坚持以习近平新时代中国特色社会主义思想为指导，</w:t>
      </w:r>
      <w:r>
        <w:rPr>
          <w:rFonts w:hint="eastAsia" w:ascii="仿宋_GB2312" w:hAnsi="仿宋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深入学习</w:t>
      </w:r>
      <w:r>
        <w:rPr>
          <w:rFonts w:hint="eastAsia" w:ascii="仿宋_GB2312" w:hAnsi="仿宋" w:eastAsia="仿宋_GB2312" w:cs="仿宋_GB2312"/>
          <w:color w:val="auto"/>
          <w:spacing w:val="0"/>
          <w:w w:val="100"/>
          <w:sz w:val="32"/>
          <w:szCs w:val="32"/>
        </w:rPr>
        <w:t>贯彻党的二十大和二十届二中、三中全会精神，</w:t>
      </w:r>
      <w:r>
        <w:rPr>
          <w:rFonts w:hint="eastAsia" w:ascii="仿宋_GB2312" w:hAnsi="仿宋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认真</w:t>
      </w:r>
      <w:r>
        <w:rPr>
          <w:rFonts w:hint="eastAsia" w:ascii="仿宋_GB2312" w:hAnsi="仿宋" w:eastAsia="仿宋_GB2312" w:cs="仿宋_GB2312"/>
          <w:color w:val="auto"/>
          <w:spacing w:val="0"/>
          <w:w w:val="100"/>
          <w:sz w:val="32"/>
          <w:szCs w:val="32"/>
        </w:rPr>
        <w:t>落实习近平总书记</w:t>
      </w:r>
      <w:r>
        <w:rPr>
          <w:rFonts w:hint="eastAsia" w:ascii="仿宋_GB2312" w:hAnsi="仿宋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考察湖南</w:t>
      </w:r>
      <w:r>
        <w:rPr>
          <w:rFonts w:hint="eastAsia" w:ascii="仿宋_GB2312" w:hAnsi="仿宋" w:eastAsia="仿宋_GB2312" w:cs="仿宋_GB2312"/>
          <w:color w:val="auto"/>
          <w:spacing w:val="0"/>
          <w:w w:val="100"/>
          <w:sz w:val="32"/>
          <w:szCs w:val="32"/>
        </w:rPr>
        <w:t>重要讲话</w:t>
      </w:r>
      <w:r>
        <w:rPr>
          <w:rFonts w:hint="eastAsia" w:ascii="仿宋_GB2312" w:hAnsi="仿宋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和</w:t>
      </w:r>
      <w:r>
        <w:rPr>
          <w:rFonts w:hint="eastAsia" w:ascii="仿宋_GB2312" w:hAnsi="仿宋" w:eastAsia="仿宋_GB2312" w:cs="仿宋_GB2312"/>
          <w:color w:val="auto"/>
          <w:spacing w:val="0"/>
          <w:w w:val="100"/>
          <w:sz w:val="32"/>
          <w:szCs w:val="32"/>
        </w:rPr>
        <w:t>指示精神，</w:t>
      </w:r>
      <w:r>
        <w:rPr>
          <w:rFonts w:hint="eastAsia" w:ascii="仿宋_GB2312" w:hAnsi="仿宋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坚持稳中求进工作总基调，全力推进“八大行动”，开足马力搞建设，持之以恒强产业，全区经济总体运行平稳、稳中有进，</w:t>
      </w:r>
      <w:r>
        <w:rPr>
          <w:rFonts w:hint="eastAsia" w:ascii="仿宋_GB2312" w:hAnsi="仿宋" w:eastAsia="仿宋_GB2312" w:cs="仿宋_GB2312"/>
          <w:color w:val="auto"/>
          <w:spacing w:val="0"/>
          <w:w w:val="100"/>
          <w:sz w:val="32"/>
          <w:szCs w:val="32"/>
        </w:rPr>
        <w:t>高质量发展扎实推进，民生保障持续加强，社会大局保持稳定，全面建设社会主义现代化</w:t>
      </w:r>
      <w:r>
        <w:rPr>
          <w:rFonts w:hint="eastAsia" w:ascii="仿宋_GB2312" w:hAnsi="仿宋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洪江</w:t>
      </w:r>
      <w:r>
        <w:rPr>
          <w:rFonts w:hint="eastAsia" w:ascii="仿宋_GB2312" w:hAnsi="仿宋" w:eastAsia="仿宋_GB2312" w:cs="仿宋_GB2312"/>
          <w:color w:val="auto"/>
          <w:spacing w:val="0"/>
          <w:w w:val="100"/>
          <w:sz w:val="32"/>
          <w:szCs w:val="32"/>
        </w:rPr>
        <w:t>迈出坚实步伐</w:t>
      </w:r>
      <w:r>
        <w:rPr>
          <w:rFonts w:hint="eastAsia" w:ascii="仿宋_GB2312" w:hAnsi="仿宋" w:eastAsia="仿宋_GB2312" w:cs="仿宋_GB2312"/>
          <w:color w:val="auto"/>
          <w:spacing w:val="0"/>
          <w:w w:val="100"/>
          <w:sz w:val="32"/>
          <w:szCs w:val="32"/>
          <w:lang w:eastAsia="zh-CN"/>
        </w:rPr>
        <w:t>。</w:t>
      </w:r>
    </w:p>
    <w:p w14:paraId="72A615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综合</w:t>
      </w:r>
    </w:p>
    <w:p w14:paraId="2A0559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3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962660</wp:posOffset>
            </wp:positionH>
            <wp:positionV relativeFrom="paragraph">
              <wp:posOffset>1887220</wp:posOffset>
            </wp:positionV>
            <wp:extent cx="4175125" cy="2291080"/>
            <wp:effectExtent l="0" t="0" r="0" b="0"/>
            <wp:wrapNone/>
            <wp:docPr id="10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初步核算，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全年全区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生产总值（GDP）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48.39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亿元，比上年增长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。其中，第一产业增加值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3.77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亿元，增长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；第二产业增加值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27.19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亿元，增长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；第三产业增加值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17.42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亿元，增长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。全区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人均生产总值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8.54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万元，居全市第1位，比上年增长5.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%。</w:t>
      </w:r>
    </w:p>
    <w:p w14:paraId="770AF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 w14:paraId="5606C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</w:pPr>
    </w:p>
    <w:p w14:paraId="347D1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_GB2312" w:eastAsia="仿宋_GB2312"/>
          <w:b/>
          <w:bCs/>
          <w:color w:val="auto"/>
          <w:sz w:val="30"/>
          <w:szCs w:val="30"/>
          <w:lang w:val="en-US" w:eastAsia="zh-CN"/>
        </w:rPr>
      </w:pPr>
    </w:p>
    <w:p w14:paraId="272BC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_GB2312" w:eastAsia="仿宋_GB2312"/>
          <w:b/>
          <w:bCs/>
          <w:color w:val="auto"/>
          <w:sz w:val="30"/>
          <w:szCs w:val="30"/>
          <w:lang w:val="en-US" w:eastAsia="zh-CN"/>
        </w:rPr>
      </w:pPr>
    </w:p>
    <w:p w14:paraId="60E03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_GB2312" w:eastAsia="仿宋_GB2312"/>
          <w:b/>
          <w:bCs/>
          <w:color w:val="auto"/>
          <w:sz w:val="30"/>
          <w:szCs w:val="30"/>
          <w:lang w:val="en-US" w:eastAsia="zh-CN"/>
        </w:rPr>
      </w:pPr>
    </w:p>
    <w:p w14:paraId="09D65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b/>
          <w:bCs/>
          <w:color w:val="auto"/>
          <w:sz w:val="30"/>
          <w:szCs w:val="30"/>
          <w:lang w:val="en-US" w:eastAsia="zh-CN"/>
        </w:rPr>
        <w:t>图一、2019-2024年洪江区生产总值及增长速度</w:t>
      </w:r>
    </w:p>
    <w:p w14:paraId="07CC3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全年三次产业结构比例为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7.7:56:36.3，对经济增长的贡献率分别为6.6%、59.5%、33.9%。</w:t>
      </w:r>
    </w:p>
    <w:p w14:paraId="218C42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年新增民营经济市场主体0.07万户，年末民营经济市场主体总量0.46万户，占比95.3%。全年新增“四上”企业8家，年末在库“四上”企业107家。其中，规模以上工业企业57家，资质建筑业企业6家，限额以上批零住餐企业25家，房地产企业7家，规模以上服务业企业12家。</w:t>
      </w:r>
    </w:p>
    <w:p w14:paraId="205B04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年末全区常住人口5.64万人。其中，城镇人口4.89万人，城镇化率为86.7%，排全市第1位，比上年末提高1.11个百分点。全年出生159人，出生率2.81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，死亡703人，死亡率12.41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，人口自然增长率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-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9.6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243EE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黑体" w:hAnsi="宋体" w:eastAsia="黑体" w:cs="宋体"/>
          <w:bCs/>
          <w:color w:val="auto"/>
          <w:sz w:val="32"/>
          <w:szCs w:val="32"/>
        </w:rPr>
      </w:pPr>
      <w:r>
        <w:rPr>
          <w:rFonts w:hint="eastAsia" w:ascii="黑体" w:hAnsi="宋体" w:eastAsia="黑体" w:cs="宋体"/>
          <w:bCs/>
          <w:color w:val="auto"/>
          <w:sz w:val="32"/>
          <w:szCs w:val="32"/>
        </w:rPr>
        <w:t>二、农业</w:t>
      </w:r>
    </w:p>
    <w:p w14:paraId="018EE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全年实现农林牧渔业总产值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5.05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亿元，比上年增长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；实现农林牧渔业增加值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3.79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亿元，增长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3.6%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 w14:paraId="21765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全年粮食总产量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7000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吨，与上年持平；油菜籽产量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680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吨，增产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1.61%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；蔬菜及食用菌产量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11870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吨，增产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4.4%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；水果产量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9190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吨，增产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4.7%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35669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全年肉类总产量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2600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吨，比上年末减少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18.8%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。年末生猪存栏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0.67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万头，其中能繁母猪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0.08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万头，比上年末减少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20%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；山羊存栏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0.26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万只，比上年减少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16.1%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；家禽存笼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66.54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万羽，比上年末增加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1.5%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67F32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黑体" w:hAnsi="宋体" w:eastAsia="黑体" w:cs="宋体"/>
          <w:bCs/>
          <w:color w:val="auto"/>
          <w:sz w:val="32"/>
          <w:szCs w:val="32"/>
        </w:rPr>
      </w:pPr>
      <w:r>
        <w:rPr>
          <w:rFonts w:hint="eastAsia" w:ascii="黑体" w:hAnsi="宋体" w:eastAsia="黑体" w:cs="宋体"/>
          <w:bCs/>
          <w:color w:val="auto"/>
          <w:sz w:val="32"/>
          <w:szCs w:val="32"/>
        </w:rPr>
        <w:t>三、工业和建筑业</w:t>
      </w:r>
    </w:p>
    <w:p w14:paraId="712EF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全年规模以上工业增加值比上年增长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16.0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，排全市第4位，增速高于全市6.3个百分点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。其中，非公有制工业企业增加值增长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，占全区规模以上工业的比重为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69.7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；省级及以上产业园区工业增加值增长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，占全区规模以上工业的比重为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79.9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，比上年提高1.4个百分点</w:t>
      </w:r>
    </w:p>
    <w:p w14:paraId="0B8E004C">
      <w:pPr>
        <w:pStyle w:val="2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17780</wp:posOffset>
            </wp:positionV>
            <wp:extent cx="4564380" cy="2270125"/>
            <wp:effectExtent l="0" t="0" r="0" b="0"/>
            <wp:wrapNone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14:paraId="7291C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 w14:paraId="216A2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 w14:paraId="792CB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 w14:paraId="374FD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仿宋_GB2312" w:eastAsia="仿宋_GB2312"/>
          <w:b/>
          <w:bCs/>
          <w:color w:val="auto"/>
          <w:sz w:val="30"/>
          <w:szCs w:val="30"/>
          <w:lang w:val="en-US" w:eastAsia="zh-CN"/>
        </w:rPr>
      </w:pPr>
    </w:p>
    <w:p w14:paraId="615E3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_GB2312" w:eastAsia="仿宋_GB2312"/>
          <w:b/>
          <w:bCs/>
          <w:color w:val="auto"/>
          <w:sz w:val="30"/>
          <w:szCs w:val="30"/>
          <w:lang w:val="en-US" w:eastAsia="zh-CN"/>
        </w:rPr>
      </w:pPr>
    </w:p>
    <w:p w14:paraId="14102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仿宋_GB2312" w:eastAsia="仿宋_GB2312"/>
          <w:sz w:val="30"/>
          <w:szCs w:val="30"/>
          <w:lang w:val="en-US"/>
        </w:rPr>
      </w:pPr>
      <w:r>
        <w:rPr>
          <w:rFonts w:hint="eastAsia" w:ascii="仿宋_GB2312" w:eastAsia="仿宋_GB2312"/>
          <w:b/>
          <w:bCs/>
          <w:color w:val="auto"/>
          <w:sz w:val="30"/>
          <w:szCs w:val="30"/>
          <w:lang w:val="en-US" w:eastAsia="zh-CN"/>
        </w:rPr>
        <w:t>图二、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201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b/>
          <w:bCs/>
          <w:color w:val="auto"/>
          <w:sz w:val="30"/>
          <w:szCs w:val="30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b/>
          <w:bCs/>
          <w:color w:val="auto"/>
          <w:sz w:val="30"/>
          <w:szCs w:val="30"/>
          <w:lang w:val="en-US" w:eastAsia="zh-CN"/>
        </w:rPr>
        <w:t>年洪江区规模工业增加值增长速度</w:t>
      </w:r>
    </w:p>
    <w:p w14:paraId="21B5B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制造业增加值占全区生产总值的比重为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37.5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，排全市第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位，对全区经济增长的贡献率为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35.8%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 w14:paraId="1D365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全年规模以上工业企业营业利润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3.55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亿元，比上年减少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 w14:paraId="3DE16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年末全区具有资质等级总承包和专业承包建筑业企业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家，全年完成总产值增长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。全年实现建筑业增加值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4.35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亿元，比上年增长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，占全区生产总值的比重为9.0%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 w14:paraId="17857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四、固定资产投资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</w:p>
    <w:p w14:paraId="3D9F7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全年固定资产投资比上年增长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，高于全市3.2个百分点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。其中：项目投资增长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13.0%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，房地产开发投资增长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42.8%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。民间投资占比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66.5%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，高技投资占比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17.6%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 w14:paraId="111AC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_GB2312" w:eastAsia="仿宋_GB2312" w:cs="Times New Roman"/>
          <w:b/>
          <w:bCs/>
          <w:color w:val="auto"/>
          <w:sz w:val="30"/>
          <w:szCs w:val="30"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747395</wp:posOffset>
            </wp:positionH>
            <wp:positionV relativeFrom="paragraph">
              <wp:posOffset>-188595</wp:posOffset>
            </wp:positionV>
            <wp:extent cx="4032885" cy="2116455"/>
            <wp:effectExtent l="0" t="0" r="0" b="0"/>
            <wp:wrapNone/>
            <wp:docPr id="11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15E12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_GB2312" w:eastAsia="仿宋_GB2312" w:cs="Times New Roman"/>
          <w:b/>
          <w:bCs/>
          <w:color w:val="auto"/>
          <w:sz w:val="30"/>
          <w:szCs w:val="30"/>
          <w:lang w:val="en-US" w:eastAsia="zh-CN"/>
        </w:rPr>
      </w:pPr>
    </w:p>
    <w:p w14:paraId="5143D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_GB2312" w:eastAsia="仿宋_GB2312" w:cs="Times New Roman"/>
          <w:b/>
          <w:bCs/>
          <w:color w:val="auto"/>
          <w:sz w:val="30"/>
          <w:szCs w:val="30"/>
          <w:lang w:val="en-US" w:eastAsia="zh-CN"/>
        </w:rPr>
      </w:pPr>
    </w:p>
    <w:p w14:paraId="7338A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_GB2312" w:eastAsia="仿宋_GB2312" w:cs="Times New Roman"/>
          <w:b/>
          <w:bCs/>
          <w:color w:val="auto"/>
          <w:sz w:val="30"/>
          <w:szCs w:val="30"/>
          <w:lang w:val="en-US" w:eastAsia="zh-CN"/>
        </w:rPr>
      </w:pPr>
    </w:p>
    <w:p w14:paraId="05B05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_GB2312" w:eastAsia="仿宋_GB2312" w:cs="Times New Roman"/>
          <w:b/>
          <w:bCs/>
          <w:color w:val="auto"/>
          <w:sz w:val="30"/>
          <w:szCs w:val="30"/>
          <w:lang w:val="en-US" w:eastAsia="zh-CN"/>
        </w:rPr>
      </w:pPr>
    </w:p>
    <w:p w14:paraId="3912F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仿宋_GB2312" w:eastAsia="仿宋_GB2312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color w:val="auto"/>
          <w:sz w:val="30"/>
          <w:szCs w:val="30"/>
          <w:lang w:val="en-US" w:eastAsia="zh-CN"/>
        </w:rPr>
        <w:t>图三、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201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-202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 w:cs="Times New Roman"/>
          <w:b/>
          <w:bCs/>
          <w:color w:val="auto"/>
          <w:sz w:val="30"/>
          <w:szCs w:val="30"/>
          <w:lang w:val="en-US" w:eastAsia="zh-CN"/>
        </w:rPr>
        <w:t>年洪江区固定资产投资增长速度</w:t>
      </w:r>
    </w:p>
    <w:p w14:paraId="519E7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黑体" w:hAnsi="宋体" w:eastAsia="黑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Cs/>
          <w:color w:val="auto"/>
          <w:sz w:val="32"/>
          <w:szCs w:val="32"/>
        </w:rPr>
        <w:t>五、</w:t>
      </w:r>
      <w:r>
        <w:rPr>
          <w:rFonts w:hint="eastAsia" w:ascii="黑体" w:hAnsi="宋体" w:eastAsia="黑体" w:cs="宋体"/>
          <w:bCs/>
          <w:color w:val="auto"/>
          <w:sz w:val="32"/>
          <w:szCs w:val="32"/>
          <w:lang w:val="en-US" w:eastAsia="zh-CN"/>
        </w:rPr>
        <w:t>国内</w:t>
      </w:r>
      <w:r>
        <w:rPr>
          <w:rFonts w:hint="eastAsia" w:ascii="黑体" w:hAnsi="宋体" w:eastAsia="黑体" w:cs="宋体"/>
          <w:bCs/>
          <w:color w:val="auto"/>
          <w:sz w:val="32"/>
          <w:szCs w:val="32"/>
        </w:rPr>
        <w:t>贸易</w:t>
      </w:r>
      <w:r>
        <w:rPr>
          <w:rFonts w:hint="eastAsia" w:ascii="黑体" w:hAnsi="宋体" w:eastAsia="黑体" w:cs="宋体"/>
          <w:bCs/>
          <w:color w:val="auto"/>
          <w:sz w:val="32"/>
          <w:szCs w:val="32"/>
          <w:lang w:val="en-US" w:eastAsia="zh-CN"/>
        </w:rPr>
        <w:t>与物价</w:t>
      </w:r>
    </w:p>
    <w:p w14:paraId="037B6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全年社会消费品零售总额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15.01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亿元，比上年增长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，排全市第7位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。批发业销售额增长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，零售业销售额增长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8.8%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，住宿业营业额增长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，餐饮业营业额增长13.9%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 w14:paraId="7B6F0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41275</wp:posOffset>
            </wp:positionV>
            <wp:extent cx="4128135" cy="2100580"/>
            <wp:effectExtent l="0" t="0" r="0" b="0"/>
            <wp:wrapNone/>
            <wp:docPr id="1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10A15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_GB2312" w:eastAsia="仿宋_GB2312" w:cs="Times New Roman"/>
          <w:b/>
          <w:bCs/>
          <w:color w:val="auto"/>
          <w:sz w:val="30"/>
          <w:szCs w:val="30"/>
          <w:lang w:val="en-US" w:eastAsia="zh-CN"/>
        </w:rPr>
      </w:pPr>
    </w:p>
    <w:p w14:paraId="10844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_GB2312" w:eastAsia="仿宋_GB2312" w:cs="Times New Roman"/>
          <w:b/>
          <w:bCs/>
          <w:color w:val="auto"/>
          <w:sz w:val="30"/>
          <w:szCs w:val="30"/>
          <w:lang w:val="en-US" w:eastAsia="zh-CN"/>
        </w:rPr>
      </w:pPr>
    </w:p>
    <w:p w14:paraId="5AB54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_GB2312" w:eastAsia="仿宋_GB2312" w:cs="Times New Roman"/>
          <w:b/>
          <w:bCs/>
          <w:color w:val="auto"/>
          <w:sz w:val="30"/>
          <w:szCs w:val="30"/>
          <w:lang w:val="en-US" w:eastAsia="zh-CN"/>
        </w:rPr>
      </w:pPr>
    </w:p>
    <w:p w14:paraId="5FA60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_GB2312" w:eastAsia="仿宋_GB2312" w:cs="Times New Roman"/>
          <w:b/>
          <w:bCs/>
          <w:color w:val="auto"/>
          <w:sz w:val="30"/>
          <w:szCs w:val="30"/>
          <w:lang w:val="en-US" w:eastAsia="zh-CN"/>
        </w:rPr>
      </w:pPr>
    </w:p>
    <w:p w14:paraId="5C8B9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_GB2312" w:eastAsia="仿宋_GB2312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color w:val="auto"/>
          <w:sz w:val="30"/>
          <w:szCs w:val="30"/>
          <w:lang w:val="en-US" w:eastAsia="zh-CN"/>
        </w:rPr>
        <w:t>图四、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201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-202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 w:cs="Times New Roman"/>
          <w:b/>
          <w:bCs/>
          <w:color w:val="auto"/>
          <w:sz w:val="30"/>
          <w:szCs w:val="30"/>
          <w:lang w:val="en-US" w:eastAsia="zh-CN"/>
        </w:rPr>
        <w:t>年洪江区社会消费品零售总额增长速度</w:t>
      </w:r>
    </w:p>
    <w:p w14:paraId="4D183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全年居民消费价格增长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4EA0C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表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年居民消费价格比上年涨跌幅度（%）</w:t>
      </w:r>
    </w:p>
    <w:tbl>
      <w:tblPr>
        <w:tblStyle w:val="5"/>
        <w:tblW w:w="61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3"/>
        <w:gridCol w:w="2396"/>
      </w:tblGrid>
      <w:tr w14:paraId="00F42E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FE1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居民消费价格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9BCE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</w:tr>
      <w:tr w14:paraId="67C42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06C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食品类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C32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 w14:paraId="74B0E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7BC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衣着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C81B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</w:tr>
      <w:tr w14:paraId="1C874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2DE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居住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32BE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-0.4</w:t>
            </w:r>
          </w:p>
        </w:tc>
      </w:tr>
      <w:tr w14:paraId="5AD5D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8F7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生活用品及服务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7E6F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-0.5</w:t>
            </w:r>
          </w:p>
        </w:tc>
      </w:tr>
      <w:tr w14:paraId="75CC2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9D7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交通和通信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9149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-1.3</w:t>
            </w:r>
          </w:p>
        </w:tc>
      </w:tr>
      <w:tr w14:paraId="3F3B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551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教育文化和娱乐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B731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0.7</w:t>
            </w:r>
          </w:p>
        </w:tc>
      </w:tr>
      <w:tr w14:paraId="3FCAD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3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CD6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医疗保健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F68D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0.7</w:t>
            </w:r>
          </w:p>
        </w:tc>
      </w:tr>
      <w:tr w14:paraId="3B492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53B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其他用品和服务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C2CE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4.1</w:t>
            </w:r>
          </w:p>
        </w:tc>
      </w:tr>
    </w:tbl>
    <w:p w14:paraId="2B3FE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黑体" w:hAnsi="黑体" w:eastAsia="黑体" w:cs="黑体"/>
          <w:color w:val="auto"/>
          <w:spacing w:val="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10"/>
          <w:sz w:val="32"/>
          <w:szCs w:val="32"/>
        </w:rPr>
        <w:t>六、</w:t>
      </w:r>
      <w:r>
        <w:rPr>
          <w:rFonts w:hint="eastAsia" w:ascii="黑体" w:hAnsi="黑体" w:eastAsia="黑体" w:cs="黑体"/>
          <w:color w:val="auto"/>
          <w:spacing w:val="10"/>
          <w:sz w:val="32"/>
          <w:szCs w:val="32"/>
          <w:lang w:val="en-US" w:eastAsia="zh-CN"/>
        </w:rPr>
        <w:t>对外经济</w:t>
      </w:r>
    </w:p>
    <w:p w14:paraId="4AAED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default" w:ascii="黑体" w:eastAsia="黑体"/>
          <w:color w:val="auto"/>
          <w:spacing w:val="10"/>
          <w:sz w:val="32"/>
          <w:szCs w:val="32"/>
          <w:lang w:val="en-US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全年实现进出口贸易总额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5.55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亿元，增长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108.6%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。其中，民营企业进口总额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0.32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亿元，增长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314.7%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；民营企业出口总额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5.24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亿元，增长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107.8%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 w14:paraId="4BC9E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黑体" w:eastAsia="黑体"/>
          <w:color w:val="auto"/>
          <w:spacing w:val="10"/>
          <w:sz w:val="32"/>
          <w:szCs w:val="32"/>
        </w:rPr>
      </w:pPr>
      <w:r>
        <w:rPr>
          <w:rFonts w:hint="eastAsia" w:ascii="黑体" w:eastAsia="黑体"/>
          <w:color w:val="auto"/>
          <w:spacing w:val="10"/>
          <w:sz w:val="32"/>
          <w:szCs w:val="32"/>
          <w:lang w:val="en-US" w:eastAsia="zh-CN"/>
        </w:rPr>
        <w:t>七</w:t>
      </w:r>
      <w:r>
        <w:rPr>
          <w:rFonts w:hint="eastAsia" w:ascii="黑体" w:eastAsia="黑体"/>
          <w:color w:val="auto"/>
          <w:spacing w:val="10"/>
          <w:sz w:val="32"/>
          <w:szCs w:val="32"/>
        </w:rPr>
        <w:t>、</w:t>
      </w:r>
      <w:r>
        <w:rPr>
          <w:rFonts w:hint="eastAsia" w:ascii="黑体" w:eastAsia="黑体"/>
          <w:color w:val="auto"/>
          <w:spacing w:val="10"/>
          <w:sz w:val="32"/>
          <w:szCs w:val="32"/>
          <w:lang w:val="en-US" w:eastAsia="zh-CN"/>
        </w:rPr>
        <w:t>旅游、</w:t>
      </w:r>
      <w:r>
        <w:rPr>
          <w:rFonts w:hint="eastAsia" w:ascii="黑体" w:eastAsia="黑体"/>
          <w:color w:val="auto"/>
          <w:spacing w:val="10"/>
          <w:sz w:val="32"/>
          <w:szCs w:val="32"/>
        </w:rPr>
        <w:t>交通</w:t>
      </w:r>
      <w:r>
        <w:rPr>
          <w:rFonts w:hint="eastAsia" w:ascii="黑体" w:eastAsia="黑体"/>
          <w:color w:val="auto"/>
          <w:spacing w:val="10"/>
          <w:sz w:val="32"/>
          <w:szCs w:val="32"/>
          <w:lang w:val="en-US" w:eastAsia="zh-CN"/>
        </w:rPr>
        <w:t>和邮电</w:t>
      </w:r>
    </w:p>
    <w:p w14:paraId="05D55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全年接待游客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372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人次，比上年增长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11.4%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，实现旅游总收入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亿元，增长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13.2%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。年末全区共有国家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A级景区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个，国家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A级景区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个，湖南省五星级乡村旅游示范点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个，湖南省四星级乡村旅游示范点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个。</w:t>
      </w:r>
    </w:p>
    <w:p w14:paraId="5DD42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年末全区公路通车里程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174.4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公里。</w:t>
      </w:r>
    </w:p>
    <w:p w14:paraId="54BBE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年末全区固定电话用户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0.53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万户，移动电话用户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6.46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万户，互联网宽带接入用户数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2.33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万户。</w:t>
      </w:r>
    </w:p>
    <w:p w14:paraId="7D72A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黑体" w:hAnsi="宋体" w:eastAsia="黑体" w:cs="宋体"/>
          <w:bCs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  <w:lang w:val="en-US" w:eastAsia="zh-CN"/>
        </w:rPr>
        <w:t>八</w:t>
      </w:r>
      <w:r>
        <w:rPr>
          <w:rFonts w:hint="eastAsia" w:ascii="黑体" w:hAnsi="宋体" w:eastAsia="黑体" w:cs="宋体"/>
          <w:bCs/>
          <w:sz w:val="32"/>
          <w:szCs w:val="32"/>
        </w:rPr>
        <w:t>、财政与金融</w:t>
      </w:r>
    </w:p>
    <w:p w14:paraId="57738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全年财政总收入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4.43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亿元，比上年减少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7.1%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。其中，地方财政收入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亿元，增长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，高于全市2.7个百分点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 w14:paraId="2D594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全区税收收入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3.24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亿元，比上年减少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14.4%。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主体税种中，增值税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1.45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亿元，减少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36.0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；企业所得税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0.21亿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51.7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；个人所得税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0.11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亿元，减少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33.7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；契税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1.17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亿元，增长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.0%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4628F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全年一般公共预算支出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12.23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亿元，增长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6.6%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。其中，教育、医疗卫生、社会保障与就业、住房保障等民生支出增长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9.0%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，占一般公共预算支出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73.9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，比上年提高1.6个百分点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 w14:paraId="15768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698500</wp:posOffset>
            </wp:positionH>
            <wp:positionV relativeFrom="paragraph">
              <wp:posOffset>-96520</wp:posOffset>
            </wp:positionV>
            <wp:extent cx="4176395" cy="2013585"/>
            <wp:effectExtent l="0" t="0" r="0" b="0"/>
            <wp:wrapNone/>
            <wp:docPr id="1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366FC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 w14:paraId="1F036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 w14:paraId="26764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 w14:paraId="4920A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  <w:lang w:val="en-US" w:eastAsia="zh-CN"/>
          <w14:textFill>
            <w14:noFill/>
          </w14:textFill>
        </w:rPr>
      </w:pPr>
    </w:p>
    <w:p w14:paraId="34F12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图五、2019-2024年洪江区财政收入及支出</w:t>
      </w:r>
    </w:p>
    <w:p w14:paraId="0CC32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年末全区金融机构各项存款余额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65.36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亿元，比年初新增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6.52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亿元，增长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11.1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。其中，住户存款余额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58.10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亿元，比年初新增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4.81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亿元，增长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9.0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。人均住户存款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10.26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万元，居全市第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位，增长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9.6%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。各项贷款余额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21.52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亿元，比年初新增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亿元，增长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 w14:paraId="0DACE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黑体" w:hAnsi="宋体" w:eastAsia="黑体" w:cs="宋体"/>
          <w:bCs/>
          <w:color w:val="auto"/>
          <w:sz w:val="32"/>
          <w:szCs w:val="32"/>
        </w:rPr>
      </w:pPr>
      <w:r>
        <w:rPr>
          <w:rFonts w:hint="eastAsia" w:ascii="黑体" w:hAnsi="宋体" w:eastAsia="黑体" w:cs="宋体"/>
          <w:bCs/>
          <w:color w:val="auto"/>
          <w:sz w:val="32"/>
          <w:szCs w:val="32"/>
          <w:lang w:val="en-US" w:eastAsia="zh-CN"/>
        </w:rPr>
        <w:t>九</w:t>
      </w:r>
      <w:r>
        <w:rPr>
          <w:rFonts w:hint="eastAsia" w:ascii="黑体" w:hAnsi="宋体" w:eastAsia="黑体" w:cs="宋体"/>
          <w:bCs/>
          <w:color w:val="auto"/>
          <w:sz w:val="32"/>
          <w:szCs w:val="32"/>
        </w:rPr>
        <w:t>、教育与科学技术</w:t>
      </w:r>
    </w:p>
    <w:p w14:paraId="3249C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年末全区有</w:t>
      </w:r>
      <w:r>
        <w:rPr>
          <w:rFonts w:hint="eastAsia" w:ascii="仿宋_GB2312" w:eastAsia="仿宋_GB2312"/>
          <w:color w:val="auto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学前毛入学率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小学辍学率为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，初中巩固率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100%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75D0A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年末全区有普通中学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所，在校学生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2077</w:t>
      </w:r>
      <w:r>
        <w:rPr>
          <w:rFonts w:hint="eastAsia" w:ascii="仿宋_GB2312" w:eastAsia="仿宋_GB2312"/>
          <w:color w:val="auto"/>
          <w:sz w:val="32"/>
          <w:szCs w:val="32"/>
        </w:rPr>
        <w:t>人，专任教师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181</w:t>
      </w:r>
      <w:r>
        <w:rPr>
          <w:rFonts w:hint="eastAsia" w:ascii="仿宋_GB2312" w:eastAsia="仿宋_GB2312"/>
          <w:color w:val="auto"/>
          <w:sz w:val="32"/>
          <w:szCs w:val="32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小学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所，在校学生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2580</w:t>
      </w:r>
      <w:r>
        <w:rPr>
          <w:rFonts w:hint="eastAsia" w:ascii="仿宋_GB2312" w:eastAsia="仿宋_GB2312"/>
          <w:color w:val="auto"/>
          <w:sz w:val="32"/>
          <w:szCs w:val="32"/>
        </w:rPr>
        <w:t>人，专任教师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260</w:t>
      </w:r>
      <w:r>
        <w:rPr>
          <w:rFonts w:hint="eastAsia" w:ascii="仿宋_GB2312" w:eastAsia="仿宋_GB2312"/>
          <w:color w:val="auto"/>
          <w:sz w:val="32"/>
          <w:szCs w:val="32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 w14:paraId="3D231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Times New Roman" w:eastAsia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年末全区有国家科技部认定的高新技术企业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家；国家级专精特新“小巨人”企业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家，省级专精特新中小企业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家；省级研发机构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个。</w:t>
      </w:r>
      <w:r>
        <w:rPr>
          <w:rFonts w:hint="eastAsia" w:ascii="仿宋_GB2312" w:hAnsi="仿宋" w:eastAsia="仿宋_GB2312" w:cs="仿宋"/>
          <w:color w:val="auto"/>
          <w:spacing w:val="10"/>
          <w:sz w:val="32"/>
          <w:szCs w:val="32"/>
        </w:rPr>
        <w:t>每万人发明专利拥有量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16.3</w:t>
      </w:r>
      <w:r>
        <w:rPr>
          <w:rFonts w:hint="eastAsia" w:ascii="仿宋_GB2312" w:hAnsi="仿宋" w:eastAsia="仿宋_GB2312" w:cs="仿宋"/>
          <w:color w:val="auto"/>
          <w:spacing w:val="10"/>
          <w:sz w:val="32"/>
          <w:szCs w:val="32"/>
        </w:rPr>
        <w:t>件</w:t>
      </w:r>
      <w:r>
        <w:rPr>
          <w:rFonts w:hint="eastAsia" w:ascii="仿宋_GB2312" w:hAnsi="仿宋" w:eastAsia="仿宋_GB2312" w:cs="仿宋"/>
          <w:color w:val="auto"/>
          <w:spacing w:val="10"/>
          <w:sz w:val="32"/>
          <w:szCs w:val="32"/>
          <w:lang w:val="en-US" w:eastAsia="zh-CN"/>
        </w:rPr>
        <w:t>。</w:t>
      </w:r>
    </w:p>
    <w:p w14:paraId="5BFD0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黑体" w:hAnsi="Times New Roman" w:eastAsia="黑体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Times New Roman" w:eastAsia="黑体"/>
          <w:color w:val="auto"/>
          <w:kern w:val="0"/>
          <w:sz w:val="32"/>
          <w:szCs w:val="32"/>
          <w:shd w:val="clear" w:color="auto" w:fill="FFFFFF"/>
          <w:lang w:val="en-US" w:eastAsia="zh-CN"/>
        </w:rPr>
        <w:t>十</w:t>
      </w:r>
      <w:r>
        <w:rPr>
          <w:rFonts w:hint="eastAsia" w:ascii="黑体" w:hAnsi="Times New Roman" w:eastAsia="黑体"/>
          <w:color w:val="auto"/>
          <w:kern w:val="0"/>
          <w:sz w:val="32"/>
          <w:szCs w:val="32"/>
          <w:shd w:val="clear" w:color="auto" w:fill="FFFFFF"/>
        </w:rPr>
        <w:t>、文化、卫生与体育</w:t>
      </w:r>
    </w:p>
    <w:p w14:paraId="4504C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年末全区有公共文化馆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个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图书馆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个，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洪商文化博物馆1个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爱国主义教育基地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个，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D数字影院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个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乡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lang w:val="en-US" w:eastAsia="zh-CN"/>
        </w:rPr>
        <w:t>街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综合文化站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个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</w:p>
    <w:p w14:paraId="17421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年末全区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有医疗卫生机构（含村卫生室）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个。</w:t>
      </w:r>
      <w:r>
        <w:rPr>
          <w:rFonts w:hint="eastAsia" w:ascii="仿宋_GB2312" w:eastAsia="仿宋_GB2312"/>
          <w:color w:val="auto"/>
          <w:sz w:val="32"/>
          <w:szCs w:val="32"/>
        </w:rPr>
        <w:t>医疗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卫生</w:t>
      </w:r>
      <w:r>
        <w:rPr>
          <w:rFonts w:hint="eastAsia" w:ascii="仿宋_GB2312" w:eastAsia="仿宋_GB2312"/>
          <w:color w:val="auto"/>
          <w:sz w:val="32"/>
          <w:szCs w:val="32"/>
        </w:rPr>
        <w:t>机构床位数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495</w:t>
      </w:r>
      <w:r>
        <w:rPr>
          <w:rFonts w:hint="eastAsia" w:ascii="仿宋_GB2312" w:eastAsia="仿宋_GB2312"/>
          <w:color w:val="auto"/>
          <w:sz w:val="32"/>
          <w:szCs w:val="32"/>
        </w:rPr>
        <w:t>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医疗机构</w:t>
      </w:r>
      <w:r>
        <w:rPr>
          <w:rFonts w:hint="eastAsia" w:ascii="仿宋_GB2312" w:eastAsia="仿宋_GB2312"/>
          <w:color w:val="auto"/>
          <w:sz w:val="32"/>
          <w:szCs w:val="32"/>
        </w:rPr>
        <w:t>卫生技术人员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541</w:t>
      </w:r>
      <w:r>
        <w:rPr>
          <w:rFonts w:hint="eastAsia" w:ascii="仿宋_GB2312" w:eastAsia="仿宋_GB2312"/>
          <w:color w:val="auto"/>
          <w:sz w:val="32"/>
          <w:szCs w:val="32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其中，执业（助理）医师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198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48DDD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年末全区有体育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场馆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个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体育场地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个。</w:t>
      </w:r>
    </w:p>
    <w:p w14:paraId="3960F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黑体" w:hAnsi="宋体" w:eastAsia="黑体" w:cs="宋体"/>
          <w:bCs/>
          <w:color w:val="auto"/>
          <w:sz w:val="32"/>
          <w:szCs w:val="32"/>
        </w:rPr>
      </w:pPr>
      <w:r>
        <w:rPr>
          <w:rFonts w:hint="eastAsia" w:ascii="黑体" w:hAnsi="仿宋_GB2312" w:eastAsia="黑体" w:cs="仿宋_GB2312"/>
          <w:color w:val="auto"/>
          <w:sz w:val="32"/>
          <w:szCs w:val="32"/>
          <w:lang w:val="en-US" w:eastAsia="zh-CN"/>
        </w:rPr>
        <w:t>十一</w:t>
      </w:r>
      <w:r>
        <w:rPr>
          <w:rFonts w:hint="eastAsia" w:ascii="黑体" w:hAnsi="仿宋_GB2312" w:eastAsia="黑体" w:cs="仿宋_GB2312"/>
          <w:color w:val="auto"/>
          <w:sz w:val="32"/>
          <w:szCs w:val="32"/>
        </w:rPr>
        <w:t>、人民生活和社会保障</w:t>
      </w:r>
    </w:p>
    <w:p w14:paraId="5368D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300"/>
        <w:rPr>
          <w:rFonts w:hint="eastAsia" w:ascii="仿宋_GB2312" w:eastAsia="仿宋_GB2312"/>
          <w:color w:val="auto"/>
          <w:sz w:val="32"/>
          <w:szCs w:val="32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488315</wp:posOffset>
            </wp:positionH>
            <wp:positionV relativeFrom="paragraph">
              <wp:posOffset>1129665</wp:posOffset>
            </wp:positionV>
            <wp:extent cx="4430395" cy="2155825"/>
            <wp:effectExtent l="0" t="0" r="0" b="0"/>
            <wp:wrapNone/>
            <wp:docPr id="2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全年</w:t>
      </w:r>
      <w:r>
        <w:rPr>
          <w:rFonts w:hint="eastAsia" w:ascii="仿宋_GB2312" w:eastAsia="仿宋_GB2312"/>
          <w:color w:val="auto"/>
          <w:sz w:val="32"/>
          <w:szCs w:val="32"/>
        </w:rPr>
        <w:t>居民人均可支配收入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29275</w:t>
      </w:r>
      <w:r>
        <w:rPr>
          <w:rFonts w:hint="eastAsia" w:ascii="仿宋_GB2312" w:eastAsia="仿宋_GB2312"/>
          <w:color w:val="auto"/>
          <w:sz w:val="32"/>
          <w:szCs w:val="32"/>
        </w:rPr>
        <w:t>元，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比上年</w:t>
      </w:r>
      <w:r>
        <w:rPr>
          <w:rFonts w:hint="eastAsia" w:ascii="仿宋_GB2312" w:eastAsia="仿宋_GB2312"/>
          <w:color w:val="auto"/>
          <w:sz w:val="32"/>
          <w:szCs w:val="32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ascii="仿宋_GB2312" w:eastAsia="仿宋_GB2312"/>
          <w:color w:val="auto"/>
          <w:sz w:val="32"/>
          <w:szCs w:val="32"/>
        </w:rPr>
        <w:t>。其中，城镇居民人均可支配收入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30573</w:t>
      </w:r>
      <w:r>
        <w:rPr>
          <w:rFonts w:hint="eastAsia" w:ascii="仿宋_GB2312" w:eastAsia="仿宋_GB2312"/>
          <w:color w:val="auto"/>
          <w:sz w:val="32"/>
          <w:szCs w:val="32"/>
        </w:rPr>
        <w:t>元，增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eastAsia="仿宋_GB2312"/>
          <w:color w:val="auto"/>
          <w:sz w:val="32"/>
          <w:szCs w:val="32"/>
        </w:rPr>
        <w:t>；农村居民人均可支配收入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17464</w:t>
      </w:r>
      <w:r>
        <w:rPr>
          <w:rFonts w:hint="eastAsia" w:ascii="仿宋_GB2312" w:eastAsia="仿宋_GB2312"/>
          <w:color w:val="auto"/>
          <w:sz w:val="32"/>
          <w:szCs w:val="32"/>
        </w:rPr>
        <w:t>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48AC6DBB">
      <w:pPr>
        <w:pStyle w:val="2"/>
        <w:rPr>
          <w:rFonts w:hint="eastAsia"/>
        </w:rPr>
      </w:pPr>
    </w:p>
    <w:p w14:paraId="01ABE85D">
      <w:pPr>
        <w:pStyle w:val="2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 w14:paraId="3A7317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 w14:paraId="2F308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</w:pPr>
    </w:p>
    <w:p w14:paraId="1D0AB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</w:pPr>
      <w:bookmarkStart w:id="0" w:name="_GoBack"/>
      <w:bookmarkEnd w:id="0"/>
    </w:p>
    <w:p w14:paraId="45A37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图六、2019-2023年洪江区居民人均可支配收入及增速</w:t>
      </w:r>
    </w:p>
    <w:p w14:paraId="22E137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300"/>
        <w:textAlignment w:val="auto"/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1336040</wp:posOffset>
            </wp:positionH>
            <wp:positionV relativeFrom="paragraph">
              <wp:posOffset>809625</wp:posOffset>
            </wp:positionV>
            <wp:extent cx="4051300" cy="3023870"/>
            <wp:effectExtent l="0" t="0" r="6350" b="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全年</w:t>
      </w:r>
      <w:r>
        <w:rPr>
          <w:rFonts w:hint="eastAsia" w:ascii="仿宋_GB2312" w:eastAsia="仿宋_GB2312"/>
          <w:color w:val="auto"/>
          <w:sz w:val="32"/>
          <w:szCs w:val="32"/>
        </w:rPr>
        <w:t>居民人均消费支出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21981</w:t>
      </w:r>
      <w:r>
        <w:rPr>
          <w:rFonts w:hint="eastAsia" w:ascii="仿宋_GB2312" w:eastAsia="仿宋_GB2312"/>
          <w:color w:val="auto"/>
          <w:sz w:val="32"/>
          <w:szCs w:val="32"/>
        </w:rPr>
        <w:t>元，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比上年</w:t>
      </w:r>
      <w:r>
        <w:rPr>
          <w:rFonts w:hint="eastAsia" w:ascii="仿宋_GB2312" w:eastAsia="仿宋_GB2312"/>
          <w:color w:val="auto"/>
          <w:sz w:val="32"/>
          <w:szCs w:val="32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其中，</w:t>
      </w:r>
      <w:r>
        <w:rPr>
          <w:rFonts w:hint="eastAsia" w:ascii="仿宋_GB2312" w:eastAsia="仿宋_GB2312"/>
          <w:color w:val="auto"/>
          <w:sz w:val="32"/>
          <w:szCs w:val="32"/>
        </w:rPr>
        <w:t>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乡</w:t>
      </w:r>
      <w:r>
        <w:rPr>
          <w:rFonts w:hint="eastAsia" w:ascii="仿宋_GB2312" w:eastAsia="仿宋_GB2312"/>
          <w:color w:val="auto"/>
          <w:sz w:val="32"/>
          <w:szCs w:val="32"/>
        </w:rPr>
        <w:t>居民人均消费支出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分别为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22694元、15486元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分别增长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 w14:paraId="7188482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 w14:paraId="26B94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75908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2C449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47496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4AB1C063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yellow"/>
          <w:lang w:val="en-US" w:eastAsia="zh-CN" w:bidi="ar"/>
        </w:rPr>
      </w:pPr>
    </w:p>
    <w:p w14:paraId="7C4A88CD">
      <w:pPr>
        <w:keepNext w:val="0"/>
        <w:keepLines w:val="0"/>
        <w:widowControl/>
        <w:suppressLineNumbers w:val="0"/>
        <w:jc w:val="center"/>
        <w:rPr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t>图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t>七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t>202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t>年洪江区居民消费支出结构</w:t>
      </w:r>
    </w:p>
    <w:p w14:paraId="239E0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全年新增城镇就业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1094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人；失业人员再就业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613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人；就业困难人员再就业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253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人；新增农村劳动力转移就业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109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人。城镇调查失业率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2.54%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67C6B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年末参加基本养老保险人数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4.39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万人。其中，参加城镇职工基本养老保险人数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3.08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万人，参加城乡居民基本养老保险参保人数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万人。参加基本医疗保险人数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48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万人。其中，参加城镇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职工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基本医疗保险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人数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1.8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万人，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参加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城乡居民基本医疗保险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人数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万人。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失业保险参保总人数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0.71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万人。</w:t>
      </w:r>
    </w:p>
    <w:p w14:paraId="60D1C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eastAsia="仿宋_GB2312"/>
          <w:color w:val="auto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年末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全区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获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城市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最低生活保障人数1609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保障标准为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8400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元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/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获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农村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最低生活保障人数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10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保障标准为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5400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元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/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172E6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黑体" w:eastAsia="黑体"/>
          <w:color w:val="FF0000"/>
          <w:spacing w:val="1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pacing w:val="10"/>
          <w:sz w:val="32"/>
          <w:szCs w:val="32"/>
        </w:rPr>
        <w:t>十</w:t>
      </w:r>
      <w:r>
        <w:rPr>
          <w:rFonts w:hint="eastAsia" w:ascii="黑体" w:eastAsia="黑体"/>
          <w:color w:val="auto"/>
          <w:spacing w:val="10"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color w:val="auto"/>
          <w:spacing w:val="10"/>
          <w:sz w:val="32"/>
          <w:szCs w:val="32"/>
        </w:rPr>
        <w:t>、环境</w:t>
      </w:r>
      <w:r>
        <w:rPr>
          <w:rFonts w:hint="eastAsia" w:ascii="黑体" w:eastAsia="黑体"/>
          <w:color w:val="auto"/>
          <w:spacing w:val="10"/>
          <w:sz w:val="32"/>
          <w:szCs w:val="32"/>
          <w:lang w:val="en-US" w:eastAsia="zh-CN"/>
        </w:rPr>
        <w:t>与安全生产</w:t>
      </w:r>
    </w:p>
    <w:p w14:paraId="17755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全年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城镇污水处理率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；城镇生活垃圾无害化处理率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，农村垃圾集中处理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。在实际检测的地表水断面中，</w:t>
      </w:r>
      <w:r>
        <w:rPr>
          <w:rFonts w:hint="eastAsia" w:ascii="仿宋_GB2312" w:eastAsia="仿宋_GB2312"/>
          <w:color w:val="auto"/>
          <w:sz w:val="32"/>
          <w:szCs w:val="32"/>
        </w:rPr>
        <w:t>水质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保持在Ⅱ类及以上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标准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，达标率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100%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优良以上空气质量达标率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99.7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1306C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全年全社会用电量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7.73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亿千瓦时，增长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15.7%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。其中，工业用电量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6.79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亿千瓦时，增长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17.0%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 w14:paraId="42EBC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全年全区未发生安全生产死亡事故，亿元GDP生产安全事故死亡率为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 w14:paraId="2F4E0845">
      <w:pPr>
        <w:spacing w:line="400" w:lineRule="exact"/>
        <w:ind w:firstLine="420" w:firstLineChars="200"/>
        <w:rPr>
          <w:rFonts w:hint="eastAsia"/>
          <w:color w:val="auto"/>
        </w:rPr>
      </w:pPr>
    </w:p>
    <w:p w14:paraId="1436653A">
      <w:pPr>
        <w:spacing w:line="400" w:lineRule="exact"/>
        <w:ind w:firstLine="420" w:firstLineChars="200"/>
        <w:rPr>
          <w:rFonts w:hint="eastAsia"/>
          <w:color w:val="auto"/>
        </w:rPr>
      </w:pPr>
    </w:p>
    <w:p w14:paraId="722EF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3BD21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1.本公报数据均为初步统计数，统计时点为</w:t>
      </w:r>
      <w:r>
        <w:rPr>
          <w:rFonts w:hint="default"/>
        </w:rPr>
        <w:t>20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default"/>
        </w:rPr>
        <w:t>1</w:t>
      </w:r>
      <w:r>
        <w:rPr>
          <w:rFonts w:hint="eastAsia"/>
        </w:rPr>
        <w:t>月</w:t>
      </w:r>
      <w:r>
        <w:rPr>
          <w:rFonts w:hint="default"/>
        </w:rPr>
        <w:t>1</w:t>
      </w:r>
      <w:r>
        <w:rPr>
          <w:rFonts w:hint="eastAsia"/>
        </w:rPr>
        <w:t>日至</w:t>
      </w:r>
      <w:r>
        <w:rPr>
          <w:rFonts w:hint="default"/>
        </w:rPr>
        <w:t>20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default"/>
        </w:rPr>
        <w:t>12</w:t>
      </w:r>
      <w:r>
        <w:rPr>
          <w:rFonts w:hint="eastAsia"/>
        </w:rPr>
        <w:t>月</w:t>
      </w:r>
      <w:r>
        <w:rPr>
          <w:rFonts w:hint="default"/>
        </w:rPr>
        <w:t>31</w:t>
      </w:r>
      <w:r>
        <w:rPr>
          <w:rFonts w:hint="eastAsia"/>
        </w:rPr>
        <w:t>日，最终数据以</w:t>
      </w:r>
      <w:r>
        <w:rPr>
          <w:rFonts w:hint="default"/>
        </w:rPr>
        <w:t>20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年统计年鉴为准，部分数据因四舍五入的原因，存在与分项合计不等情况。</w:t>
      </w:r>
    </w:p>
    <w:p w14:paraId="677D6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2.地区生产总值、各产业增加值按现价计算，增长速度按不变价格计算。根据第五次全国经济普查结果，2023年</w:t>
      </w:r>
      <w:r>
        <w:rPr>
          <w:rFonts w:hint="eastAsia"/>
          <w:lang w:val="en-US" w:eastAsia="zh-CN"/>
        </w:rPr>
        <w:t>洪江区</w:t>
      </w:r>
      <w:r>
        <w:rPr>
          <w:rFonts w:hint="eastAsia"/>
        </w:rPr>
        <w:t>生产总值修订</w:t>
      </w:r>
      <w:r>
        <w:rPr>
          <w:rFonts w:hint="eastAsia"/>
          <w:lang w:val="en-US" w:eastAsia="zh-CN"/>
        </w:rPr>
        <w:t>为46.01</w:t>
      </w:r>
      <w:r>
        <w:rPr>
          <w:rFonts w:hint="eastAsia"/>
        </w:rPr>
        <w:t>亿元</w:t>
      </w:r>
      <w:r>
        <w:rPr>
          <w:rFonts w:hint="eastAsia"/>
          <w:lang w:eastAsia="zh-CN"/>
        </w:rPr>
        <w:t>，</w:t>
      </w:r>
      <w:r>
        <w:rPr>
          <w:rFonts w:hint="eastAsia"/>
        </w:rPr>
        <w:t>社会消费品零售总额修订</w:t>
      </w:r>
      <w:r>
        <w:rPr>
          <w:rFonts w:hint="eastAsia"/>
          <w:lang w:val="en-US" w:eastAsia="zh-CN"/>
        </w:rPr>
        <w:t>为14.18亿元</w:t>
      </w:r>
      <w:r>
        <w:rPr>
          <w:rFonts w:hint="eastAsia"/>
        </w:rPr>
        <w:t>。</w:t>
      </w:r>
    </w:p>
    <w:p w14:paraId="4AC5B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color w:val="auto"/>
          <w:lang w:val="en-US" w:eastAsia="zh-CN"/>
          <w14:textFill>
            <w14:noFill/>
          </w14:textFill>
        </w:rPr>
      </w:pPr>
      <w:r>
        <w:rPr>
          <w:rFonts w:hint="eastAsia"/>
        </w:rPr>
        <w:t>3.非统计监测数据来自区直相关部门。</w:t>
      </w:r>
      <w:r>
        <w:rPr>
          <w:rFonts w:hint="eastAsia"/>
          <w:lang w:val="en-US" w:eastAsia="zh-CN"/>
        </w:rPr>
        <w:tab/>
      </w:r>
    </w:p>
    <w:sectPr>
      <w:footerReference r:id="rId3" w:type="default"/>
      <w:pgSz w:w="11906" w:h="16838"/>
      <w:pgMar w:top="1417" w:right="1587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30B5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B4F4F1">
                          <w:pPr>
                            <w:pStyle w:val="3"/>
                            <w:rPr>
                              <w:rFonts w:hint="eastAsia" w:eastAsia="宋体"/>
                              <w:color w:val="00000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00000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color w:val="00000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color w:val="00000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color w:val="00000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sqWTIsAgAAVQ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uypZMi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B4F4F1">
                    <w:pPr>
                      <w:pStyle w:val="3"/>
                      <w:rPr>
                        <w:rFonts w:hint="eastAsia" w:eastAsia="宋体"/>
                        <w:color w:val="000000"/>
                        <w:lang w:eastAsia="zh-CN"/>
                      </w:rPr>
                    </w:pPr>
                    <w:r>
                      <w:rPr>
                        <w:rFonts w:hint="eastAsia"/>
                        <w:color w:val="00000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color w:val="00000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color w:val="00000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color w:val="00000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color w:val="00000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A18BA2"/>
    <w:multiLevelType w:val="singleLevel"/>
    <w:tmpl w:val="C9A18B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31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ZDIyNzA0OTViMmY3MmUyZDg5ZjJmZWVhOTZjZWMifQ=="/>
  </w:docVars>
  <w:rsids>
    <w:rsidRoot w:val="4823168C"/>
    <w:rsid w:val="003E61E8"/>
    <w:rsid w:val="00707A93"/>
    <w:rsid w:val="018969CF"/>
    <w:rsid w:val="01AD1A55"/>
    <w:rsid w:val="04ED064B"/>
    <w:rsid w:val="052F160A"/>
    <w:rsid w:val="056D1E48"/>
    <w:rsid w:val="0696312F"/>
    <w:rsid w:val="072A2647"/>
    <w:rsid w:val="07E55609"/>
    <w:rsid w:val="09E638BB"/>
    <w:rsid w:val="0C85216B"/>
    <w:rsid w:val="0C894EF1"/>
    <w:rsid w:val="0CD95242"/>
    <w:rsid w:val="0CEC2F96"/>
    <w:rsid w:val="0D127B87"/>
    <w:rsid w:val="0D1955C5"/>
    <w:rsid w:val="0D5E53C8"/>
    <w:rsid w:val="0F7A0007"/>
    <w:rsid w:val="10481591"/>
    <w:rsid w:val="12A165D1"/>
    <w:rsid w:val="12AD7994"/>
    <w:rsid w:val="134F6443"/>
    <w:rsid w:val="142E71D4"/>
    <w:rsid w:val="147844F8"/>
    <w:rsid w:val="14D25325"/>
    <w:rsid w:val="14EA3841"/>
    <w:rsid w:val="15A367DB"/>
    <w:rsid w:val="15AA4477"/>
    <w:rsid w:val="16132DD7"/>
    <w:rsid w:val="1832657D"/>
    <w:rsid w:val="19527611"/>
    <w:rsid w:val="1A1D1843"/>
    <w:rsid w:val="1AFC2F3E"/>
    <w:rsid w:val="1C43370D"/>
    <w:rsid w:val="1CDE516D"/>
    <w:rsid w:val="1D41732E"/>
    <w:rsid w:val="2054682E"/>
    <w:rsid w:val="20750964"/>
    <w:rsid w:val="21BC3427"/>
    <w:rsid w:val="21F21086"/>
    <w:rsid w:val="243B72D3"/>
    <w:rsid w:val="24661428"/>
    <w:rsid w:val="24DA46EF"/>
    <w:rsid w:val="25203CCD"/>
    <w:rsid w:val="25AE56AD"/>
    <w:rsid w:val="26E06898"/>
    <w:rsid w:val="2802590C"/>
    <w:rsid w:val="283878AB"/>
    <w:rsid w:val="292C422D"/>
    <w:rsid w:val="2D072122"/>
    <w:rsid w:val="2F2638EC"/>
    <w:rsid w:val="31170053"/>
    <w:rsid w:val="317F6EBF"/>
    <w:rsid w:val="31914650"/>
    <w:rsid w:val="368165EC"/>
    <w:rsid w:val="368640B8"/>
    <w:rsid w:val="371151F6"/>
    <w:rsid w:val="38F27671"/>
    <w:rsid w:val="3958538C"/>
    <w:rsid w:val="3A8C0626"/>
    <w:rsid w:val="3B001A2D"/>
    <w:rsid w:val="3BC3750B"/>
    <w:rsid w:val="3BC724E2"/>
    <w:rsid w:val="3BF635D6"/>
    <w:rsid w:val="3CD808C1"/>
    <w:rsid w:val="3E7F160D"/>
    <w:rsid w:val="3E8409D1"/>
    <w:rsid w:val="3E9158D7"/>
    <w:rsid w:val="3F376510"/>
    <w:rsid w:val="3FD547F5"/>
    <w:rsid w:val="40460A9F"/>
    <w:rsid w:val="40A47108"/>
    <w:rsid w:val="42AF1905"/>
    <w:rsid w:val="44B26661"/>
    <w:rsid w:val="44C82C56"/>
    <w:rsid w:val="45C2075D"/>
    <w:rsid w:val="4823168C"/>
    <w:rsid w:val="48D3222D"/>
    <w:rsid w:val="491B38EF"/>
    <w:rsid w:val="49F76799"/>
    <w:rsid w:val="4A2736D4"/>
    <w:rsid w:val="4A786CBE"/>
    <w:rsid w:val="4A7E6C1C"/>
    <w:rsid w:val="4B5D523A"/>
    <w:rsid w:val="4B9A1A7E"/>
    <w:rsid w:val="4ED435E7"/>
    <w:rsid w:val="50213E3D"/>
    <w:rsid w:val="514E340E"/>
    <w:rsid w:val="53120B02"/>
    <w:rsid w:val="53A743F5"/>
    <w:rsid w:val="56090AAF"/>
    <w:rsid w:val="58030B0F"/>
    <w:rsid w:val="59AF1561"/>
    <w:rsid w:val="5AB9306E"/>
    <w:rsid w:val="5C2614AA"/>
    <w:rsid w:val="5C2B0342"/>
    <w:rsid w:val="5D042FB1"/>
    <w:rsid w:val="5E12532A"/>
    <w:rsid w:val="5F2B4A1B"/>
    <w:rsid w:val="5F5B6537"/>
    <w:rsid w:val="61B93AB6"/>
    <w:rsid w:val="630717C2"/>
    <w:rsid w:val="63183A98"/>
    <w:rsid w:val="63807F02"/>
    <w:rsid w:val="643C74D4"/>
    <w:rsid w:val="6686712D"/>
    <w:rsid w:val="66E62E4B"/>
    <w:rsid w:val="683E1A6D"/>
    <w:rsid w:val="6A6C1B6B"/>
    <w:rsid w:val="6B7B1473"/>
    <w:rsid w:val="6BD44820"/>
    <w:rsid w:val="6D5D21AF"/>
    <w:rsid w:val="6D5D5341"/>
    <w:rsid w:val="742E0DEA"/>
    <w:rsid w:val="74380611"/>
    <w:rsid w:val="74725578"/>
    <w:rsid w:val="74864618"/>
    <w:rsid w:val="765E32DA"/>
    <w:rsid w:val="774D25B8"/>
    <w:rsid w:val="77572190"/>
    <w:rsid w:val="77842E02"/>
    <w:rsid w:val="7A5B64AE"/>
    <w:rsid w:val="7B0108B1"/>
    <w:rsid w:val="7C110556"/>
    <w:rsid w:val="7F8E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UserStyle_0"/>
    <w:link w:val="9"/>
    <w:semiHidden/>
    <w:qFormat/>
    <w:uiPriority w:val="99"/>
    <w:rPr>
      <w:rFonts w:ascii="Times New Roman" w:hAnsi="Times New Roman"/>
      <w:kern w:val="0"/>
      <w:sz w:val="24"/>
      <w:szCs w:val="20"/>
    </w:rPr>
  </w:style>
  <w:style w:type="paragraph" w:customStyle="1" w:styleId="9">
    <w:name w:val="UserStyle_1"/>
    <w:basedOn w:val="1"/>
    <w:link w:val="8"/>
    <w:qFormat/>
    <w:uiPriority w:val="99"/>
    <w:pPr>
      <w:spacing w:after="160" w:line="240" w:lineRule="exact"/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10">
    <w:name w:val="NormalCharacter"/>
    <w:qFormat/>
    <w:uiPriority w:val="99"/>
    <w:rPr>
      <w:rFonts w:ascii="Times New Roman" w:hAnsi="Times New Roman"/>
      <w:kern w:val="0"/>
      <w:sz w:val="24"/>
      <w:szCs w:val="20"/>
    </w:rPr>
  </w:style>
  <w:style w:type="paragraph" w:customStyle="1" w:styleId="11">
    <w:name w:val="UserStyle_10"/>
    <w:basedOn w:val="1"/>
    <w:link w:val="13"/>
    <w:qFormat/>
    <w:uiPriority w:val="99"/>
    <w:pPr>
      <w:spacing w:after="160" w:line="240" w:lineRule="exact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12">
    <w:name w:val="BodyText"/>
    <w:basedOn w:val="1"/>
    <w:qFormat/>
    <w:uiPriority w:val="0"/>
    <w:pPr>
      <w:spacing w:after="120"/>
    </w:pPr>
  </w:style>
  <w:style w:type="character" w:customStyle="1" w:styleId="13">
    <w:name w:val="UserStyle_10 Char"/>
    <w:basedOn w:val="7"/>
    <w:link w:val="11"/>
    <w:qFormat/>
    <w:uiPriority w:val="0"/>
    <w:rPr>
      <w:rFonts w:ascii="Times New Roman" w:hAnsi="Times New Roman" w:eastAsia="宋体" w:cs="Arial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chart" Target="charts/chart6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&#24037;&#20316;&#31807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&#24037;&#20316;&#31807;1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&#24037;&#20316;&#31807;1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&#24037;&#20316;&#31807;1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762631578947368"/>
          <c:y val="0.168981481481481"/>
          <c:w val="0.842868421052631"/>
          <c:h val="0.715370370370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[工作簿1]Sheet1!$I$27</c:f>
              <c:strCache>
                <c:ptCount val="1"/>
                <c:pt idx="0">
                  <c:v>地区生产总值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0.020833333333333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0592105263157895"/>
                  <c:y val="0.027777777777777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0.024305555555555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[工作簿1]Sheet1!$J$26:$O$26</c:f>
              <c:strCache>
                <c:ptCount val="6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  <c:pt idx="5">
                  <c:v>2024年</c:v>
                </c:pt>
              </c:strCache>
            </c:strRef>
          </c:cat>
          <c:val>
            <c:numRef>
              <c:f>[工作簿1]Sheet1!$J$27:$O$27</c:f>
              <c:numCache>
                <c:formatCode>General</c:formatCode>
                <c:ptCount val="6"/>
                <c:pt idx="0">
                  <c:v>39.13</c:v>
                </c:pt>
                <c:pt idx="1">
                  <c:v>39.79</c:v>
                </c:pt>
                <c:pt idx="2">
                  <c:v>41.48</c:v>
                </c:pt>
                <c:pt idx="3">
                  <c:v>42.46</c:v>
                </c:pt>
                <c:pt idx="4">
                  <c:v>46.01</c:v>
                </c:pt>
                <c:pt idx="5">
                  <c:v>48.39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51248762"/>
        <c:axId val="784767607"/>
      </c:barChart>
      <c:lineChart>
        <c:grouping val="stacked"/>
        <c:varyColors val="0"/>
        <c:ser>
          <c:idx val="1"/>
          <c:order val="1"/>
          <c:tx>
            <c:strRef>
              <c:f>[工作簿1]Sheet1!$I$28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8575" cap="sq">
              <a:solidFill>
                <a:schemeClr val="accent2"/>
              </a:solidFill>
              <a:bevel/>
              <a:headEnd type="none" w="med" len="med"/>
              <a:tailEnd type="none"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headEnd type="diamond"/>
              </a:ln>
              <a:effectLst/>
            </c:spPr>
          </c:marker>
          <c:dLbls>
            <c:dLbl>
              <c:idx val="0"/>
              <c:layout>
                <c:manualLayout>
                  <c:x val="-0.0296052631578947"/>
                  <c:y val="-0.05902777777777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197368421052632"/>
                  <c:y val="0.0034722222222222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[工作簿1]Sheet1!$J$26:$O$26</c:f>
              <c:strCache>
                <c:ptCount val="6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  <c:pt idx="5">
                  <c:v>2024年</c:v>
                </c:pt>
              </c:strCache>
            </c:strRef>
          </c:cat>
          <c:val>
            <c:numRef>
              <c:f>[工作簿1]Sheet1!$J$28:$O$28</c:f>
              <c:numCache>
                <c:formatCode>General</c:formatCode>
                <c:ptCount val="6"/>
                <c:pt idx="0">
                  <c:v>7.7</c:v>
                </c:pt>
                <c:pt idx="1">
                  <c:v>3.6</c:v>
                </c:pt>
                <c:pt idx="2">
                  <c:v>7.7</c:v>
                </c:pt>
                <c:pt idx="3">
                  <c:v>4.2</c:v>
                </c:pt>
                <c:pt idx="4">
                  <c:v>5.8</c:v>
                </c:pt>
                <c:pt idx="5">
                  <c:v>4.6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0887335"/>
        <c:axId val="564687911"/>
      </c:lineChart>
      <c:catAx>
        <c:axId val="95124876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4767607"/>
        <c:crosses val="autoZero"/>
        <c:auto val="1"/>
        <c:lblAlgn val="ctr"/>
        <c:lblOffset val="100"/>
        <c:noMultiLvlLbl val="0"/>
      </c:catAx>
      <c:valAx>
        <c:axId val="784767607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亿元</a:t>
                </a:r>
              </a:p>
            </c:rich>
          </c:tx>
          <c:layout>
            <c:manualLayout>
              <c:xMode val="edge"/>
              <c:yMode val="edge"/>
              <c:x val="0.0151315789473684"/>
              <c:y val="0.041612774082286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51248762"/>
        <c:crosses val="autoZero"/>
        <c:crossBetween val="between"/>
      </c:valAx>
      <c:catAx>
        <c:axId val="150887335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64687911"/>
        <c:crosses val="autoZero"/>
        <c:auto val="1"/>
        <c:lblAlgn val="ctr"/>
        <c:lblOffset val="100"/>
        <c:noMultiLvlLbl val="0"/>
      </c:catAx>
      <c:valAx>
        <c:axId val="564687911"/>
        <c:scaling>
          <c:orientation val="minMax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/>
                  <a:t>%</a:t>
                </a:r>
                <a:endParaRPr lang="en-US" altLang="zh-CN"/>
              </a:p>
            </c:rich>
          </c:tx>
          <c:layout>
            <c:manualLayout>
              <c:xMode val="edge"/>
              <c:yMode val="edge"/>
              <c:x val="0.928016309785871"/>
              <c:y val="0.047515654512605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50887335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6290524314589"/>
          <c:y val="0.033881497905888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1bf108cf-a915-4656-8690-bfa5b6a30888}"/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763216471897607"/>
          <c:y val="0.133503836317136"/>
          <c:w val="0.84284919309961"/>
          <c:h val="0.75074168797954"/>
        </c:manualLayout>
      </c:layout>
      <c:lineChart>
        <c:grouping val="stacked"/>
        <c:varyColors val="0"/>
        <c:ser>
          <c:idx val="1"/>
          <c:order val="0"/>
          <c:tx>
            <c:strRef>
              <c:f>[工作簿1]Sheet1!$I$27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8575" cap="sq">
              <a:solidFill>
                <a:schemeClr val="accent2"/>
              </a:solidFill>
              <a:bevel/>
              <a:headEnd type="none" w="med" len="med"/>
              <a:tailEnd type="none"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headEnd type="diamond"/>
              </a:ln>
              <a:effectLst/>
            </c:spPr>
          </c:marker>
          <c:dLbls>
            <c:dLbl>
              <c:idx val="0"/>
              <c:layout>
                <c:manualLayout>
                  <c:x val="-0.0296052631578947"/>
                  <c:y val="-0.05902777777777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197368421052632"/>
                  <c:y val="0.0034722222222222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180856983861992"/>
                  <c:y val="-0.02352623039480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95715080690039"/>
                  <c:y val="-0.05732828555976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0514746800222593"/>
                  <c:y val="-0.0453146853146853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16</a:t>
                    </a:r>
                    <a:r>
                      <a:rPr lang="en-US" altLang="zh-CN"/>
                      <a:t>.0</a:t>
                    </a:r>
                    <a:endParaRPr lang="en-US" altLang="zh-CN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[工作簿1]Sheet1!$J$26:$O$26</c:f>
              <c:strCache>
                <c:ptCount val="6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  <c:pt idx="5">
                  <c:v>2024年</c:v>
                </c:pt>
              </c:strCache>
            </c:strRef>
          </c:cat>
          <c:val>
            <c:numRef>
              <c:f>[工作簿1]Sheet1!$J$27:$O$27</c:f>
              <c:numCache>
                <c:formatCode>General</c:formatCode>
                <c:ptCount val="6"/>
                <c:pt idx="0">
                  <c:v>8.2</c:v>
                </c:pt>
                <c:pt idx="1">
                  <c:v>5.2</c:v>
                </c:pt>
                <c:pt idx="2">
                  <c:v>9.9</c:v>
                </c:pt>
                <c:pt idx="3">
                  <c:v>8.5</c:v>
                </c:pt>
                <c:pt idx="4">
                  <c:v>14.2</c:v>
                </c:pt>
                <c:pt idx="5">
                  <c:v>16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51248762"/>
        <c:axId val="784767607"/>
      </c:lineChart>
      <c:catAx>
        <c:axId val="95124876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4767607"/>
        <c:crosses val="autoZero"/>
        <c:auto val="1"/>
        <c:lblAlgn val="ctr"/>
        <c:lblOffset val="100"/>
        <c:noMultiLvlLbl val="0"/>
      </c:catAx>
      <c:valAx>
        <c:axId val="784767607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/>
                  <a:t>%</a:t>
                </a:r>
                <a:endParaRPr lang="en-US" altLang="zh-CN"/>
              </a:p>
            </c:rich>
          </c:tx>
          <c:layout>
            <c:manualLayout>
              <c:xMode val="edge"/>
              <c:yMode val="edge"/>
              <c:x val="0.0294167179216824"/>
              <c:y val="0.016996407613415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5124876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3829fad2-37a8-46b2-9d68-9289169dfb91}"/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762631578947368"/>
          <c:y val="0.168981481481481"/>
          <c:w val="0.842868421052631"/>
          <c:h val="0.71537037037037"/>
        </c:manualLayout>
      </c:layout>
      <c:lineChart>
        <c:grouping val="stacked"/>
        <c:varyColors val="0"/>
        <c:ser>
          <c:idx val="1"/>
          <c:order val="0"/>
          <c:tx>
            <c:strRef>
              <c:f>[工作簿1]Sheet1!$I$27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8575" cap="sq">
              <a:solidFill>
                <a:schemeClr val="accent2"/>
              </a:solidFill>
              <a:bevel/>
              <a:headEnd type="none" w="med" len="med"/>
              <a:tailEnd type="none"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headEnd type="diamond"/>
              </a:ln>
              <a:effectLst/>
            </c:spPr>
          </c:marker>
          <c:dLbls>
            <c:dLbl>
              <c:idx val="0"/>
              <c:layout>
                <c:manualLayout>
                  <c:x val="-0.0296052631578947"/>
                  <c:y val="-0.05902777777777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197368421052632"/>
                  <c:y val="0.0034722222222222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986842105263158"/>
                  <c:y val="-0.048611111111111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197368421052632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[工作簿1]Sheet1!$J$26:$O$26</c:f>
              <c:strCache>
                <c:ptCount val="6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  <c:pt idx="5">
                  <c:v>2024年</c:v>
                </c:pt>
              </c:strCache>
            </c:strRef>
          </c:cat>
          <c:val>
            <c:numRef>
              <c:f>[工作簿1]Sheet1!$J$27:$O$27</c:f>
              <c:numCache>
                <c:formatCode>General</c:formatCode>
                <c:ptCount val="6"/>
                <c:pt idx="0">
                  <c:v>7.3</c:v>
                </c:pt>
                <c:pt idx="1">
                  <c:v>8.2</c:v>
                </c:pt>
                <c:pt idx="2">
                  <c:v>13.7</c:v>
                </c:pt>
                <c:pt idx="3">
                  <c:v>13.5</c:v>
                </c:pt>
                <c:pt idx="4">
                  <c:v>8.3</c:v>
                </c:pt>
                <c:pt idx="5">
                  <c:v>14.4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51248762"/>
        <c:axId val="784767607"/>
      </c:lineChart>
      <c:catAx>
        <c:axId val="95124876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4767607"/>
        <c:crosses val="autoZero"/>
        <c:auto val="1"/>
        <c:lblAlgn val="ctr"/>
        <c:lblOffset val="100"/>
        <c:noMultiLvlLbl val="0"/>
      </c:catAx>
      <c:valAx>
        <c:axId val="784767607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/>
                  <a:t>%</a:t>
                </a:r>
                <a:endParaRPr lang="en-US" altLang="zh-CN"/>
              </a:p>
            </c:rich>
          </c:tx>
          <c:layout>
            <c:manualLayout>
              <c:xMode val="edge"/>
              <c:yMode val="edge"/>
              <c:x val="0.0210855729309102"/>
              <c:y val="0.059027777777777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5124876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9680abb7-5d84-40f2-8bf5-f6863f8623db}"/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762631578947368"/>
          <c:y val="0.168981481481481"/>
          <c:w val="0.842868421052631"/>
          <c:h val="0.71537037037037"/>
        </c:manualLayout>
      </c:layout>
      <c:lineChart>
        <c:grouping val="stacked"/>
        <c:varyColors val="0"/>
        <c:ser>
          <c:idx val="1"/>
          <c:order val="0"/>
          <c:tx>
            <c:strRef>
              <c:f>[工作簿1]Sheet1!$I$27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8575" cap="sq">
              <a:solidFill>
                <a:schemeClr val="accent2"/>
              </a:solidFill>
              <a:bevel/>
              <a:headEnd type="none" w="med" len="med"/>
              <a:tailEnd type="none"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headEnd type="diamond"/>
              </a:ln>
              <a:effectLst/>
            </c:spPr>
          </c:marker>
          <c:dLbls>
            <c:dLbl>
              <c:idx val="0"/>
              <c:layout>
                <c:manualLayout>
                  <c:x val="-0.0296052631578947"/>
                  <c:y val="-0.05902777777777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197368421052632"/>
                  <c:y val="0.0034722222222222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986842105263158"/>
                  <c:y val="-0.048611111111111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197368421052632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[工作簿1]Sheet1!$J$26:$O$26</c:f>
              <c:strCache>
                <c:ptCount val="6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  <c:pt idx="5">
                  <c:v>2024年</c:v>
                </c:pt>
              </c:strCache>
            </c:strRef>
          </c:cat>
          <c:val>
            <c:numRef>
              <c:f>[工作簿1]Sheet1!$J$27:$O$27</c:f>
              <c:numCache>
                <c:formatCode>General</c:formatCode>
                <c:ptCount val="6"/>
                <c:pt idx="0">
                  <c:v>9.8</c:v>
                </c:pt>
                <c:pt idx="1">
                  <c:v>-2.8</c:v>
                </c:pt>
                <c:pt idx="2">
                  <c:v>12.8</c:v>
                </c:pt>
                <c:pt idx="3">
                  <c:v>2.3</c:v>
                </c:pt>
                <c:pt idx="4">
                  <c:v>9.2</c:v>
                </c:pt>
                <c:pt idx="5">
                  <c:v>5.8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51248762"/>
        <c:axId val="784767607"/>
      </c:lineChart>
      <c:catAx>
        <c:axId val="95124876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4767607"/>
        <c:crosses val="autoZero"/>
        <c:auto val="1"/>
        <c:lblAlgn val="ctr"/>
        <c:lblOffset val="100"/>
        <c:noMultiLvlLbl val="0"/>
      </c:catAx>
      <c:valAx>
        <c:axId val="784767607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/>
                  <a:t>%</a:t>
                </a:r>
                <a:endParaRPr lang="en-US" altLang="zh-CN"/>
              </a:p>
            </c:rich>
          </c:tx>
          <c:layout>
            <c:manualLayout>
              <c:xMode val="edge"/>
              <c:yMode val="edge"/>
              <c:x val="0.0272033047547341"/>
              <c:y val="0.059027777777777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5124876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59cb0a3c-f11b-45ad-844e-73a53210f956}"/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02256617966151"/>
          <c:y val="0.157605552342394"/>
          <c:w val="0.865239404021409"/>
          <c:h val="0.7094852515905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[工作簿1]Sheet1!$I$27</c:f>
              <c:strCache>
                <c:ptCount val="1"/>
                <c:pt idx="0">
                  <c:v>财政总收入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[工作簿1]Sheet1!$J$26:$O$26</c:f>
              <c:strCache>
                <c:ptCount val="6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  <c:pt idx="5">
                  <c:v>2024年</c:v>
                </c:pt>
              </c:strCache>
            </c:strRef>
          </c:cat>
          <c:val>
            <c:numRef>
              <c:f>[工作簿1]Sheet1!$J$27:$O$27</c:f>
              <c:numCache>
                <c:formatCode>0.00_ </c:formatCode>
                <c:ptCount val="6"/>
                <c:pt idx="0">
                  <c:v>3.64</c:v>
                </c:pt>
                <c:pt idx="1">
                  <c:v>3.6</c:v>
                </c:pt>
                <c:pt idx="2">
                  <c:v>4.07</c:v>
                </c:pt>
                <c:pt idx="3">
                  <c:v>4.09</c:v>
                </c:pt>
                <c:pt idx="4">
                  <c:v>4.76</c:v>
                </c:pt>
                <c:pt idx="5">
                  <c:v>4.43</c:v>
                </c:pt>
              </c:numCache>
            </c:numRef>
          </c:val>
        </c:ser>
        <c:ser>
          <c:idx val="1"/>
          <c:order val="1"/>
          <c:tx>
            <c:strRef>
              <c:f>[工作簿1]Sheet1!$I$28</c:f>
              <c:strCache>
                <c:ptCount val="1"/>
                <c:pt idx="0">
                  <c:v>财政总支出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[工作簿1]Sheet1!$J$26:$O$26</c:f>
              <c:strCache>
                <c:ptCount val="6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  <c:pt idx="5">
                  <c:v>2024年</c:v>
                </c:pt>
              </c:strCache>
            </c:strRef>
          </c:cat>
          <c:val>
            <c:numRef>
              <c:f>[工作簿1]Sheet1!$J$28:$O$28</c:f>
              <c:numCache>
                <c:formatCode>0.00_ </c:formatCode>
                <c:ptCount val="6"/>
                <c:pt idx="0">
                  <c:v>11.76</c:v>
                </c:pt>
                <c:pt idx="1">
                  <c:v>12.5</c:v>
                </c:pt>
                <c:pt idx="2">
                  <c:v>10.33</c:v>
                </c:pt>
                <c:pt idx="3">
                  <c:v>10.91</c:v>
                </c:pt>
                <c:pt idx="4">
                  <c:v>11.48</c:v>
                </c:pt>
                <c:pt idx="5">
                  <c:v>12.23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803965822"/>
        <c:axId val="697658456"/>
      </c:barChart>
      <c:catAx>
        <c:axId val="80396582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7658456"/>
        <c:crosses val="autoZero"/>
        <c:auto val="1"/>
        <c:lblAlgn val="ctr"/>
        <c:lblOffset val="100"/>
        <c:noMultiLvlLbl val="0"/>
      </c:catAx>
      <c:valAx>
        <c:axId val="697658456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亿元</a:t>
                </a:r>
              </a:p>
            </c:rich>
          </c:tx>
          <c:layout>
            <c:manualLayout>
              <c:xMode val="edge"/>
              <c:yMode val="edge"/>
              <c:x val="0.0210526315789474"/>
              <c:y val="0.062893518518518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_);[Red]\(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0396582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393057416614"/>
          <c:y val="0.0253723250433777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87b08d71-e1e4-4bc8-ab59-4182404b5891}"/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5531772575251"/>
          <c:y val="0.173756122712039"/>
          <c:w val="0.778167224080268"/>
          <c:h val="0.7196184583655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[工作簿1]Sheet1!$I$27</c:f>
              <c:strCache>
                <c:ptCount val="1"/>
                <c:pt idx="0">
                  <c:v>居民人均可支配收入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[工作簿1]Sheet1!$J$26:$O$26</c:f>
              <c:strCache>
                <c:ptCount val="6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  <c:pt idx="5">
                  <c:v>2024年</c:v>
                </c:pt>
              </c:strCache>
            </c:strRef>
          </c:cat>
          <c:val>
            <c:numRef>
              <c:f>[工作簿1]Sheet1!$J$27:$O$27</c:f>
              <c:numCache>
                <c:formatCode>0_ </c:formatCode>
                <c:ptCount val="6"/>
                <c:pt idx="0">
                  <c:v>22401</c:v>
                </c:pt>
                <c:pt idx="1">
                  <c:v>23328</c:v>
                </c:pt>
                <c:pt idx="2">
                  <c:v>25101</c:v>
                </c:pt>
                <c:pt idx="3">
                  <c:v>26139</c:v>
                </c:pt>
                <c:pt idx="4">
                  <c:v>27785</c:v>
                </c:pt>
                <c:pt idx="5">
                  <c:v>29275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44152226"/>
        <c:axId val="345660404"/>
      </c:barChart>
      <c:lineChart>
        <c:grouping val="stacked"/>
        <c:varyColors val="0"/>
        <c:ser>
          <c:idx val="1"/>
          <c:order val="1"/>
          <c:tx>
            <c:strRef>
              <c:f>[工作簿1]Sheet1!$I$28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[工作簿1]Sheet1!$J$26:$O$26</c:f>
              <c:strCache>
                <c:ptCount val="6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  <c:pt idx="5">
                  <c:v>2024年</c:v>
                </c:pt>
              </c:strCache>
            </c:strRef>
          </c:cat>
          <c:val>
            <c:numRef>
              <c:f>[工作簿1]Sheet1!$J$28:$O$28</c:f>
              <c:numCache>
                <c:formatCode>0.0_ </c:formatCode>
                <c:ptCount val="6"/>
                <c:pt idx="0">
                  <c:v>9.3</c:v>
                </c:pt>
                <c:pt idx="1">
                  <c:v>4.1</c:v>
                </c:pt>
                <c:pt idx="2">
                  <c:v>7.6</c:v>
                </c:pt>
                <c:pt idx="3">
                  <c:v>4.1</c:v>
                </c:pt>
                <c:pt idx="4">
                  <c:v>6.3</c:v>
                </c:pt>
                <c:pt idx="5">
                  <c:v>5.4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64250688"/>
        <c:axId val="363842655"/>
      </c:lineChart>
      <c:catAx>
        <c:axId val="74415222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45660404"/>
        <c:crosses val="autoZero"/>
        <c:auto val="1"/>
        <c:lblAlgn val="ctr"/>
        <c:lblOffset val="100"/>
        <c:noMultiLvlLbl val="0"/>
      </c:catAx>
      <c:valAx>
        <c:axId val="345660404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元</a:t>
                </a:r>
              </a:p>
            </c:rich>
          </c:tx>
          <c:layout>
            <c:manualLayout>
              <c:xMode val="edge"/>
              <c:yMode val="edge"/>
              <c:x val="0.0413814272152409"/>
              <c:y val="0.059353365941146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44152226"/>
        <c:crosses val="autoZero"/>
        <c:crossBetween val="between"/>
      </c:valAx>
      <c:catAx>
        <c:axId val="964250688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63842655"/>
        <c:crosses val="autoZero"/>
        <c:auto val="1"/>
        <c:lblAlgn val="ctr"/>
        <c:lblOffset val="100"/>
        <c:noMultiLvlLbl val="0"/>
      </c:catAx>
      <c:valAx>
        <c:axId val="363842655"/>
        <c:scaling>
          <c:orientation val="minMax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/>
                  <a:t>%</a:t>
                </a:r>
                <a:endParaRPr lang="en-US" altLang="zh-CN"/>
              </a:p>
            </c:rich>
          </c:tx>
          <c:layout>
            <c:manualLayout>
              <c:xMode val="edge"/>
              <c:yMode val="edge"/>
              <c:x val="0.901469052720768"/>
              <c:y val="0.039094739195530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_);[Red]\(0\)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64250688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4413818048706"/>
          <c:y val="0.016632025740553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7a51c29a-82c8-4719-bc3c-e7de3e3950d3}"/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2855</Words>
  <Characters>3522</Characters>
  <Lines>0</Lines>
  <Paragraphs>0</Paragraphs>
  <TotalTime>323</TotalTime>
  <ScaleCrop>false</ScaleCrop>
  <LinksUpToDate>false</LinksUpToDate>
  <CharactersWithSpaces>3561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2020-03-18T05:32:00Z</dcterms:created>
  <dc:creator>静止的风1368090721</dc:creator>
  <cp:lastModifiedBy>静止的风1368090721</cp:lastModifiedBy>
  <dcterms:modified xsi:type="dcterms:W3CDTF">2025-03-31T03:54:38Z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64CECD7B3E9440C193F7F6B788D34C96</vt:lpwstr>
  </property>
  <property fmtid="{D5CDD505-2E9C-101B-9397-08002B2CF9AE}" pid="4" name="KSOTemplateDocerSaveRecord">
    <vt:lpwstr>eyJoZGlkIjoiOGQ1ZDIyNzA0OTViMmY3MmUyZDg5ZjJmZWVhOTZjZWMiLCJ1c2VySWQiOiIxNTQxMzAzIn0=</vt:lpwstr>
  </property>
</Properties>
</file>